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90B87" w14:textId="377E3C46" w:rsidR="008658F9" w:rsidRPr="00754442" w:rsidRDefault="00B22B9E" w:rsidP="00582842">
      <w:pPr>
        <w:rPr>
          <w:rFonts w:ascii="Arial" w:hAnsi="Arial" w:cs="Arial"/>
          <w:b/>
          <w:sz w:val="32"/>
          <w:szCs w:val="32"/>
        </w:rPr>
      </w:pPr>
      <w:bookmarkStart w:id="0" w:name="_Toc492295218"/>
      <w:bookmarkStart w:id="1" w:name="_Toc240939915"/>
      <w:r>
        <w:rPr>
          <w:rFonts w:ascii="Arial" w:hAnsi="Arial"/>
          <w:b/>
          <w:sz w:val="32"/>
        </w:rPr>
        <w:t>2026 Payroll Special</w:t>
      </w:r>
      <w:bookmarkEnd w:id="0"/>
    </w:p>
    <w:p w14:paraId="2CDBE38E" w14:textId="77777777" w:rsidR="008F7E0C" w:rsidRPr="00754442" w:rsidRDefault="008F7E0C" w:rsidP="00582842">
      <w:pPr>
        <w:rPr>
          <w:rFonts w:ascii="Arial" w:hAnsi="Arial" w:cs="Arial"/>
          <w:sz w:val="28"/>
          <w:szCs w:val="28"/>
        </w:rPr>
      </w:pPr>
    </w:p>
    <w:p w14:paraId="377415FC" w14:textId="2EEC91D7" w:rsidR="001D4148" w:rsidRDefault="00E36C6E" w:rsidP="00E36C6E">
      <w:pPr>
        <w:rPr>
          <w:rFonts w:ascii="Arial" w:hAnsi="Arial" w:cs="Arial"/>
          <w:sz w:val="22"/>
          <w:szCs w:val="22"/>
        </w:rPr>
      </w:pPr>
      <w:r>
        <w:rPr>
          <w:rFonts w:ascii="Arial" w:hAnsi="Arial"/>
          <w:sz w:val="22"/>
        </w:rPr>
        <w:t xml:space="preserve">The 2026 Payroll Special is a handy reference work for you as an employer or HR professional. </w:t>
      </w:r>
    </w:p>
    <w:p w14:paraId="650B34D2" w14:textId="77777777" w:rsidR="001D4148" w:rsidRDefault="001D4148" w:rsidP="00E36C6E">
      <w:pPr>
        <w:rPr>
          <w:rFonts w:ascii="Arial" w:hAnsi="Arial" w:cs="Arial"/>
          <w:sz w:val="22"/>
          <w:szCs w:val="22"/>
        </w:rPr>
      </w:pPr>
    </w:p>
    <w:p w14:paraId="136411CF" w14:textId="2BCA7909" w:rsidR="00E36C6E" w:rsidRDefault="00E36C6E" w:rsidP="00E36C6E">
      <w:pPr>
        <w:rPr>
          <w:rFonts w:ascii="Arial" w:hAnsi="Arial" w:cs="Arial"/>
          <w:sz w:val="22"/>
          <w:szCs w:val="22"/>
        </w:rPr>
      </w:pPr>
      <w:r>
        <w:rPr>
          <w:rFonts w:ascii="Arial" w:hAnsi="Arial"/>
          <w:sz w:val="22"/>
        </w:rPr>
        <w:t>It contains up-to-date figures and details of relevant legislation relating to areas such as payroll tax, the customary salary scheme, company cars, the work-related expenses scheme (WKR), employer subsidies, various employment-law matters and pensions At the end of this document you will find a number of tables setting out the figures and rates applicable for 2026.</w:t>
      </w:r>
    </w:p>
    <w:p w14:paraId="27FBD169" w14:textId="77777777" w:rsidR="00E36C6E" w:rsidRPr="00754442" w:rsidRDefault="00E36C6E" w:rsidP="00E36C6E">
      <w:pPr>
        <w:rPr>
          <w:rFonts w:ascii="Arial" w:hAnsi="Arial" w:cs="Arial"/>
          <w:sz w:val="22"/>
          <w:szCs w:val="22"/>
        </w:rPr>
      </w:pPr>
    </w:p>
    <w:p w14:paraId="10EEF65B" w14:textId="77777777" w:rsidR="00ED253A" w:rsidRDefault="004501B6" w:rsidP="258BD887">
      <w:pPr>
        <w:shd w:val="clear" w:color="auto" w:fill="D9D9D9" w:themeFill="background1" w:themeFillShade="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b/>
          <w:sz w:val="22"/>
          <w:szCs w:val="22"/>
        </w:rPr>
      </w:pPr>
      <w:bookmarkStart w:id="2" w:name="_Hlk155600694"/>
      <w:r>
        <w:rPr>
          <w:rFonts w:ascii="Arial" w:hAnsi="Arial"/>
          <w:b/>
          <w:sz w:val="22"/>
        </w:rPr>
        <w:t>Please note:</w:t>
      </w:r>
    </w:p>
    <w:p w14:paraId="1A01003B" w14:textId="6923BB1C" w:rsidR="00BF6113" w:rsidRPr="00754442" w:rsidRDefault="004501B6" w:rsidP="258BD887">
      <w:pPr>
        <w:shd w:val="clear" w:color="auto" w:fill="D9D9D9" w:themeFill="background1" w:themeFillShade="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r>
        <w:rPr>
          <w:rFonts w:ascii="Arial" w:hAnsi="Arial"/>
          <w:sz w:val="22"/>
        </w:rPr>
        <w:t>We are keen to ensure we provide up-to-date information. As we are writing, however, new measures may be announced by the government. The overview in this Special is based on the information available as at 5 p.m. on 12 January 2026.</w:t>
      </w:r>
    </w:p>
    <w:bookmarkEnd w:id="2"/>
    <w:p w14:paraId="79EE2DD1" w14:textId="77777777" w:rsidR="00AB7B10" w:rsidRDefault="00AB7B10" w:rsidP="004C7AA5">
      <w:pPr>
        <w:rPr>
          <w:rFonts w:ascii="Arial" w:hAnsi="Arial" w:cs="Arial"/>
          <w:sz w:val="20"/>
          <w:szCs w:val="20"/>
        </w:rPr>
      </w:pPr>
    </w:p>
    <w:p w14:paraId="22DCEF94" w14:textId="2F84D2EE" w:rsidR="006D5780" w:rsidRPr="00B2417B" w:rsidRDefault="006D5780" w:rsidP="00B2417B">
      <w:pPr>
        <w:rPr>
          <w:rFonts w:ascii="Arial" w:hAnsi="Arial" w:cs="Arial"/>
          <w:sz w:val="22"/>
          <w:szCs w:val="22"/>
        </w:rPr>
      </w:pPr>
      <w:r>
        <w:rPr>
          <w:rFonts w:ascii="Arial" w:hAnsi="Arial"/>
          <w:sz w:val="22"/>
        </w:rPr>
        <w:t>This Payroll Special is divided into the following sections:</w:t>
      </w:r>
    </w:p>
    <w:p w14:paraId="1C00FF9F" w14:textId="244855F0" w:rsidR="006D5780" w:rsidRPr="00B2417B" w:rsidRDefault="006D5780" w:rsidP="002F233C">
      <w:pPr>
        <w:pStyle w:val="Lijstalinea"/>
        <w:numPr>
          <w:ilvl w:val="0"/>
          <w:numId w:val="10"/>
        </w:numPr>
        <w:ind w:hanging="720"/>
        <w:rPr>
          <w:rFonts w:ascii="Arial" w:hAnsi="Arial" w:cs="Arial"/>
        </w:rPr>
      </w:pPr>
      <w:r>
        <w:rPr>
          <w:rFonts w:ascii="Arial" w:hAnsi="Arial"/>
        </w:rPr>
        <w:t>Rates for payroll tax, contributions and tax credits, and miscellaneous information</w:t>
      </w:r>
    </w:p>
    <w:p w14:paraId="118D2CD7" w14:textId="77777777" w:rsidR="006D5780" w:rsidRPr="00B2417B" w:rsidRDefault="006D5780" w:rsidP="002F233C">
      <w:pPr>
        <w:pStyle w:val="Lijstalinea"/>
        <w:numPr>
          <w:ilvl w:val="0"/>
          <w:numId w:val="10"/>
        </w:numPr>
        <w:ind w:hanging="720"/>
        <w:rPr>
          <w:rFonts w:ascii="Arial" w:hAnsi="Arial" w:cs="Arial"/>
        </w:rPr>
      </w:pPr>
      <w:r>
        <w:rPr>
          <w:rFonts w:ascii="Arial" w:hAnsi="Arial"/>
        </w:rPr>
        <w:t>Customary salary and volunteer’s allowance</w:t>
      </w:r>
    </w:p>
    <w:p w14:paraId="197687B1" w14:textId="77777777" w:rsidR="006D5780" w:rsidRDefault="006D5780" w:rsidP="002F233C">
      <w:pPr>
        <w:pStyle w:val="Lijstalinea"/>
        <w:numPr>
          <w:ilvl w:val="0"/>
          <w:numId w:val="10"/>
        </w:numPr>
        <w:ind w:hanging="720"/>
        <w:rPr>
          <w:rFonts w:ascii="Arial" w:hAnsi="Arial" w:cs="Arial"/>
        </w:rPr>
      </w:pPr>
      <w:r>
        <w:rPr>
          <w:rFonts w:ascii="Arial" w:hAnsi="Arial"/>
        </w:rPr>
        <w:t>Transport</w:t>
      </w:r>
    </w:p>
    <w:p w14:paraId="67CC7C06" w14:textId="77777777" w:rsidR="006D5780" w:rsidRPr="006D5780" w:rsidRDefault="006D5780" w:rsidP="002F233C">
      <w:pPr>
        <w:pStyle w:val="Lijstalinea"/>
        <w:numPr>
          <w:ilvl w:val="0"/>
          <w:numId w:val="10"/>
        </w:numPr>
        <w:ind w:hanging="720"/>
        <w:rPr>
          <w:rFonts w:ascii="Arial" w:hAnsi="Arial" w:cs="Arial"/>
        </w:rPr>
      </w:pPr>
      <w:r>
        <w:rPr>
          <w:rFonts w:ascii="Arial" w:hAnsi="Arial"/>
        </w:rPr>
        <w:t>Work-related expenses scheme</w:t>
      </w:r>
    </w:p>
    <w:p w14:paraId="5E7CB19B" w14:textId="0078E69B" w:rsidR="006D5780" w:rsidRDefault="006D5780" w:rsidP="002F233C">
      <w:pPr>
        <w:pStyle w:val="Lijstalinea"/>
        <w:numPr>
          <w:ilvl w:val="0"/>
          <w:numId w:val="10"/>
        </w:numPr>
        <w:ind w:hanging="720"/>
        <w:rPr>
          <w:rFonts w:ascii="Arial" w:hAnsi="Arial" w:cs="Arial"/>
        </w:rPr>
      </w:pPr>
      <w:r>
        <w:rPr>
          <w:rFonts w:ascii="Arial" w:hAnsi="Arial"/>
        </w:rPr>
        <w:t>Subsidies and allowances</w:t>
      </w:r>
    </w:p>
    <w:p w14:paraId="028F160D" w14:textId="77777777" w:rsidR="006D5780" w:rsidRPr="006D5780" w:rsidRDefault="006D5780" w:rsidP="002F233C">
      <w:pPr>
        <w:pStyle w:val="Lijstalinea"/>
        <w:numPr>
          <w:ilvl w:val="0"/>
          <w:numId w:val="10"/>
        </w:numPr>
        <w:ind w:hanging="720"/>
        <w:rPr>
          <w:rFonts w:ascii="Arial" w:hAnsi="Arial" w:cs="Arial"/>
        </w:rPr>
      </w:pPr>
      <w:r>
        <w:rPr>
          <w:rFonts w:ascii="Arial" w:hAnsi="Arial"/>
        </w:rPr>
        <w:t>International</w:t>
      </w:r>
    </w:p>
    <w:p w14:paraId="5F74E66F" w14:textId="29DA081C" w:rsidR="006D5780" w:rsidRDefault="006D5780" w:rsidP="002F233C">
      <w:pPr>
        <w:pStyle w:val="Lijstalinea"/>
        <w:numPr>
          <w:ilvl w:val="0"/>
          <w:numId w:val="10"/>
        </w:numPr>
        <w:ind w:hanging="720"/>
        <w:rPr>
          <w:rFonts w:ascii="Arial" w:hAnsi="Arial" w:cs="Arial"/>
        </w:rPr>
      </w:pPr>
      <w:r>
        <w:rPr>
          <w:rFonts w:ascii="Arial" w:hAnsi="Arial"/>
        </w:rPr>
        <w:t>Employment law and social security law – miscellaneous</w:t>
      </w:r>
    </w:p>
    <w:p w14:paraId="107BDDCD" w14:textId="7D08D708" w:rsidR="006D5780" w:rsidRDefault="006D5780" w:rsidP="002F233C">
      <w:pPr>
        <w:pStyle w:val="Lijstalinea"/>
        <w:numPr>
          <w:ilvl w:val="0"/>
          <w:numId w:val="10"/>
        </w:numPr>
        <w:ind w:hanging="720"/>
        <w:rPr>
          <w:rFonts w:ascii="Arial" w:hAnsi="Arial" w:cs="Arial"/>
        </w:rPr>
      </w:pPr>
      <w:r>
        <w:rPr>
          <w:rFonts w:ascii="Arial" w:hAnsi="Arial"/>
        </w:rPr>
        <w:t>Self-employed persons</w:t>
      </w:r>
    </w:p>
    <w:p w14:paraId="11951CF6" w14:textId="28B226E2" w:rsidR="00C72605" w:rsidRDefault="006D5780" w:rsidP="002F233C">
      <w:pPr>
        <w:pStyle w:val="Lijstalinea"/>
        <w:numPr>
          <w:ilvl w:val="0"/>
          <w:numId w:val="10"/>
        </w:numPr>
        <w:ind w:hanging="720"/>
        <w:rPr>
          <w:rFonts w:ascii="Arial" w:hAnsi="Arial" w:cs="Arial"/>
        </w:rPr>
      </w:pPr>
      <w:r>
        <w:rPr>
          <w:rFonts w:ascii="Arial" w:hAnsi="Arial"/>
        </w:rPr>
        <w:t>Pensions</w:t>
      </w:r>
    </w:p>
    <w:p w14:paraId="719137D4" w14:textId="73291637" w:rsidR="002864B3" w:rsidRDefault="002864B3" w:rsidP="002F233C">
      <w:pPr>
        <w:pStyle w:val="Lijstalinea"/>
        <w:numPr>
          <w:ilvl w:val="0"/>
          <w:numId w:val="10"/>
        </w:numPr>
        <w:ind w:hanging="720"/>
        <w:rPr>
          <w:rFonts w:ascii="Arial" w:hAnsi="Arial" w:cs="Arial"/>
        </w:rPr>
      </w:pPr>
      <w:r>
        <w:rPr>
          <w:rFonts w:ascii="Arial" w:hAnsi="Arial"/>
        </w:rPr>
        <w:t>Appendices</w:t>
      </w:r>
    </w:p>
    <w:p w14:paraId="77B34949" w14:textId="77777777" w:rsidR="00C72605" w:rsidRDefault="00C72605" w:rsidP="00C72605">
      <w:pPr>
        <w:rPr>
          <w:rFonts w:ascii="Arial" w:hAnsi="Arial" w:cs="Arial"/>
        </w:rPr>
      </w:pPr>
    </w:p>
    <w:p w14:paraId="401F3BB2" w14:textId="77777777" w:rsidR="00FC3D9F" w:rsidRPr="00C72605" w:rsidRDefault="00FC3D9F" w:rsidP="00C72605">
      <w:pPr>
        <w:rPr>
          <w:rFonts w:ascii="Arial" w:hAnsi="Arial" w:cs="Arial"/>
        </w:rPr>
      </w:pPr>
    </w:p>
    <w:p w14:paraId="689F3264" w14:textId="5831DD4C" w:rsidR="00EE2FC7" w:rsidRDefault="009E1F82" w:rsidP="006009D4">
      <w:pPr>
        <w:pStyle w:val="Kop1"/>
      </w:pPr>
      <w:bookmarkStart w:id="3" w:name="_Toc155866612"/>
      <w:bookmarkStart w:id="4" w:name="_Toc106639593"/>
      <w:bookmarkStart w:id="5" w:name="_Toc152927274"/>
      <w:bookmarkStart w:id="6" w:name="_Hlk155257393"/>
      <w:bookmarkEnd w:id="1"/>
      <w:r>
        <w:t>Rates for payroll tax, contributions and tax credits,</w:t>
      </w:r>
      <w:bookmarkEnd w:id="3"/>
      <w:r>
        <w:t xml:space="preserve"> </w:t>
      </w:r>
      <w:bookmarkEnd w:id="4"/>
      <w:bookmarkEnd w:id="5"/>
      <w:r>
        <w:t>and miscellaneous information</w:t>
      </w:r>
    </w:p>
    <w:bookmarkEnd w:id="6"/>
    <w:p w14:paraId="6C73DDCF" w14:textId="77777777" w:rsidR="00A40168" w:rsidRDefault="00A40168" w:rsidP="00A40168"/>
    <w:p w14:paraId="03B50F8B" w14:textId="77777777" w:rsidR="00B15B01" w:rsidRPr="00A40168" w:rsidRDefault="00B15B01" w:rsidP="00A40168"/>
    <w:p w14:paraId="3E5D1167" w14:textId="0FD6E5E0" w:rsidR="00ED13E3" w:rsidRPr="00754442" w:rsidRDefault="00ED13E3" w:rsidP="00957F2F">
      <w:pPr>
        <w:pStyle w:val="Kop2"/>
        <w:tabs>
          <w:tab w:val="clear" w:pos="539"/>
          <w:tab w:val="left" w:pos="567"/>
        </w:tabs>
        <w:ind w:hanging="283"/>
        <w:rPr>
          <w:rFonts w:cs="Arial"/>
          <w:szCs w:val="24"/>
        </w:rPr>
      </w:pPr>
      <w:bookmarkStart w:id="7" w:name="_Toc106639594"/>
      <w:bookmarkStart w:id="8" w:name="_Toc152927275"/>
      <w:bookmarkStart w:id="9" w:name="_Toc155866613"/>
      <w:r>
        <w:t>Changes to payroll tax rates</w:t>
      </w:r>
      <w:bookmarkEnd w:id="7"/>
      <w:bookmarkEnd w:id="8"/>
      <w:bookmarkEnd w:id="9"/>
    </w:p>
    <w:p w14:paraId="1371658D" w14:textId="77777777" w:rsidR="00ED13E3" w:rsidRPr="00754442" w:rsidRDefault="00ED13E3" w:rsidP="00ED13E3">
      <w:pPr>
        <w:rPr>
          <w:rFonts w:ascii="Arial" w:hAnsi="Arial" w:cs="Arial"/>
        </w:rPr>
      </w:pPr>
    </w:p>
    <w:p w14:paraId="3225A8D9" w14:textId="6A5A0BCA" w:rsidR="00457E4E" w:rsidRDefault="00A62DBC" w:rsidP="00457E4E">
      <w:pPr>
        <w:rPr>
          <w:rFonts w:ascii="Arial" w:hAnsi="Arial" w:cs="Arial"/>
          <w:color w:val="000000"/>
          <w:sz w:val="22"/>
          <w:szCs w:val="22"/>
        </w:rPr>
      </w:pPr>
      <w:r>
        <w:rPr>
          <w:rFonts w:ascii="Arial" w:hAnsi="Arial"/>
          <w:color w:val="000000"/>
          <w:sz w:val="22"/>
        </w:rPr>
        <w:t>The rate applicable in the first tax band is being reduced slightly, but there will be a small rise in the rate in the second band.</w:t>
      </w:r>
    </w:p>
    <w:p w14:paraId="15752578" w14:textId="77777777" w:rsidR="009C0003" w:rsidRPr="00ED06D5" w:rsidRDefault="009C0003" w:rsidP="00457E4E">
      <w:pPr>
        <w:rPr>
          <w:rFonts w:ascii="Arial" w:hAnsi="Arial" w:cs="Arial"/>
          <w:sz w:val="22"/>
          <w:szCs w:val="22"/>
        </w:rPr>
      </w:pPr>
    </w:p>
    <w:p w14:paraId="6401B963" w14:textId="1DD70B83" w:rsidR="00457E4E" w:rsidRPr="00C72605" w:rsidRDefault="009B6408" w:rsidP="00C72605">
      <w:pPr>
        <w:rPr>
          <w:rFonts w:ascii="Arial" w:hAnsi="Arial" w:cs="Arial"/>
          <w:b/>
          <w:bCs/>
          <w:sz w:val="22"/>
          <w:szCs w:val="22"/>
        </w:rPr>
      </w:pPr>
      <w:bookmarkStart w:id="10" w:name="_Toc152927276"/>
      <w:r>
        <w:rPr>
          <w:rFonts w:ascii="Arial" w:hAnsi="Arial"/>
          <w:b/>
          <w:sz w:val="22"/>
        </w:rPr>
        <w:t>Decrease in rate in first tax band</w:t>
      </w:r>
      <w:bookmarkEnd w:id="10"/>
    </w:p>
    <w:p w14:paraId="3131FC55" w14:textId="1DBE4016" w:rsidR="00457E4E" w:rsidRDefault="004F20A9" w:rsidP="00457E4E">
      <w:pPr>
        <w:rPr>
          <w:rFonts w:ascii="Arial" w:hAnsi="Arial" w:cs="Arial"/>
          <w:sz w:val="22"/>
          <w:szCs w:val="22"/>
        </w:rPr>
      </w:pPr>
      <w:r>
        <w:rPr>
          <w:rFonts w:ascii="Arial" w:hAnsi="Arial"/>
          <w:sz w:val="22"/>
        </w:rPr>
        <w:t>The rate applicable in the first tax band is being reduced from 35.82% to 35.75% from 1 January 2026. This first tax band applies to incomes up to € 38,883. The rate reduction and increase in the threshold will result in a maximum tax saving of € 35.</w:t>
      </w:r>
    </w:p>
    <w:p w14:paraId="3F8D9B8E" w14:textId="77777777" w:rsidR="009B6408" w:rsidRDefault="009B6408" w:rsidP="00457E4E">
      <w:pPr>
        <w:rPr>
          <w:rFonts w:ascii="Arial" w:hAnsi="Arial" w:cs="Arial"/>
          <w:sz w:val="22"/>
          <w:szCs w:val="22"/>
        </w:rPr>
      </w:pPr>
    </w:p>
    <w:p w14:paraId="1D412797" w14:textId="35AE4661" w:rsidR="009B6408" w:rsidRDefault="00160DBE" w:rsidP="00457E4E">
      <w:pPr>
        <w:rPr>
          <w:rFonts w:ascii="Arial" w:hAnsi="Arial" w:cs="Arial"/>
          <w:sz w:val="22"/>
          <w:szCs w:val="22"/>
        </w:rPr>
      </w:pPr>
      <w:r>
        <w:rPr>
          <w:rFonts w:ascii="Arial" w:hAnsi="Arial"/>
          <w:b/>
          <w:sz w:val="22"/>
        </w:rPr>
        <w:t>Increase in rate in second tax band</w:t>
      </w:r>
      <w:r>
        <w:rPr>
          <w:rFonts w:ascii="Arial" w:hAnsi="Arial"/>
          <w:b/>
          <w:sz w:val="22"/>
        </w:rPr>
        <w:br/>
      </w:r>
      <w:r>
        <w:rPr>
          <w:rFonts w:ascii="Arial" w:hAnsi="Arial"/>
          <w:sz w:val="22"/>
        </w:rPr>
        <w:t>A rate of 37.56% will apply in the second band in 2026. This band will apply to incomes up to € 78,426. In spite of the slight rise in the rate, the increase in the threshold means that there will be a resulting maximum tax saving of € 162.</w:t>
      </w:r>
    </w:p>
    <w:p w14:paraId="7C7D76AA" w14:textId="77777777" w:rsidR="00794F91" w:rsidRDefault="00794F91" w:rsidP="00457E4E">
      <w:pPr>
        <w:rPr>
          <w:rFonts w:ascii="Arial" w:hAnsi="Arial" w:cs="Arial"/>
          <w:sz w:val="22"/>
          <w:szCs w:val="22"/>
        </w:rPr>
      </w:pPr>
    </w:p>
    <w:p w14:paraId="3A822DEB" w14:textId="55C2BA64" w:rsidR="00457E4E" w:rsidRPr="00ED06D5" w:rsidRDefault="00794F91" w:rsidP="00457E4E">
      <w:pPr>
        <w:rPr>
          <w:rFonts w:ascii="Arial" w:hAnsi="Arial" w:cs="Arial"/>
          <w:sz w:val="22"/>
          <w:szCs w:val="22"/>
        </w:rPr>
      </w:pPr>
      <w:r>
        <w:rPr>
          <w:rFonts w:ascii="Arial" w:hAnsi="Arial"/>
          <w:b/>
          <w:sz w:val="22"/>
        </w:rPr>
        <w:lastRenderedPageBreak/>
        <w:t>Top tax band to remain unchanged</w:t>
      </w:r>
      <w:r>
        <w:rPr>
          <w:rFonts w:ascii="Arial" w:hAnsi="Arial"/>
          <w:b/>
          <w:sz w:val="22"/>
        </w:rPr>
        <w:br/>
      </w:r>
      <w:r>
        <w:rPr>
          <w:rFonts w:ascii="Arial" w:hAnsi="Arial"/>
          <w:sz w:val="22"/>
        </w:rPr>
        <w:t>The top tax band will remain at 49.50% in 2026.</w:t>
      </w:r>
    </w:p>
    <w:p w14:paraId="4017CA0F" w14:textId="07FCEDE0" w:rsidR="002F05A3" w:rsidRDefault="002F05A3" w:rsidP="00457E4E">
      <w:pPr>
        <w:rPr>
          <w:rFonts w:ascii="Arial" w:hAnsi="Arial" w:cs="Arial"/>
          <w:sz w:val="22"/>
          <w:szCs w:val="22"/>
        </w:rPr>
      </w:pPr>
    </w:p>
    <w:p w14:paraId="47F59244" w14:textId="612EA3B3" w:rsidR="00E517BB" w:rsidRDefault="00E517BB" w:rsidP="00957F2F">
      <w:pPr>
        <w:pStyle w:val="Kop2"/>
        <w:ind w:hanging="283"/>
        <w:rPr>
          <w:rFonts w:cs="Arial"/>
          <w:color w:val="000000"/>
          <w:szCs w:val="24"/>
        </w:rPr>
      </w:pPr>
      <w:bookmarkStart w:id="11" w:name="_Toc152927279"/>
      <w:bookmarkStart w:id="12" w:name="_Toc155866614"/>
      <w:r>
        <w:rPr>
          <w:color w:val="000000"/>
        </w:rPr>
        <w:t>What changes are being made to tax credits?</w:t>
      </w:r>
      <w:bookmarkEnd w:id="11"/>
      <w:bookmarkEnd w:id="12"/>
    </w:p>
    <w:p w14:paraId="38B14978" w14:textId="77777777" w:rsidR="00C9418C" w:rsidRPr="00C9418C" w:rsidRDefault="00C9418C" w:rsidP="00C9418C"/>
    <w:p w14:paraId="5FD11E10" w14:textId="5EC48F4C" w:rsidR="005C2451" w:rsidRDefault="000166A3" w:rsidP="005235B8">
      <w:pPr>
        <w:rPr>
          <w:rFonts w:ascii="Arial" w:hAnsi="Arial" w:cs="Arial"/>
          <w:sz w:val="22"/>
          <w:szCs w:val="22"/>
        </w:rPr>
      </w:pPr>
      <w:r>
        <w:rPr>
          <w:rFonts w:ascii="Arial" w:hAnsi="Arial"/>
          <w:sz w:val="22"/>
        </w:rPr>
        <w:t>Tax credits have also been adjusted. What figures will apply in 2026?</w:t>
      </w:r>
    </w:p>
    <w:p w14:paraId="01FD9D68" w14:textId="77777777" w:rsidR="00AC550F" w:rsidRDefault="00AC550F" w:rsidP="005235B8">
      <w:pPr>
        <w:rPr>
          <w:rFonts w:ascii="Arial" w:hAnsi="Arial" w:cs="Arial"/>
          <w:sz w:val="22"/>
          <w:szCs w:val="22"/>
        </w:rPr>
      </w:pPr>
    </w:p>
    <w:p w14:paraId="5F722444" w14:textId="333CE86F" w:rsidR="00AC550F" w:rsidRPr="00AC550F" w:rsidRDefault="00AC550F" w:rsidP="005235B8">
      <w:pPr>
        <w:rPr>
          <w:rFonts w:ascii="Arial" w:hAnsi="Arial" w:cs="Arial"/>
          <w:sz w:val="22"/>
          <w:szCs w:val="22"/>
        </w:rPr>
      </w:pPr>
      <w:r>
        <w:rPr>
          <w:rFonts w:ascii="Arial" w:hAnsi="Arial"/>
          <w:b/>
          <w:sz w:val="22"/>
        </w:rPr>
        <w:t>General tax credit to rise again slightly, but also rate by which it is reduced for higher incomes</w:t>
      </w:r>
      <w:r>
        <w:rPr>
          <w:rFonts w:ascii="Arial" w:hAnsi="Arial"/>
          <w:b/>
          <w:sz w:val="22"/>
        </w:rPr>
        <w:br/>
      </w:r>
      <w:r>
        <w:rPr>
          <w:rFonts w:ascii="Arial" w:hAnsi="Arial"/>
          <w:sz w:val="22"/>
        </w:rPr>
        <w:t>To ensure that taxpayers earning the statutory minimum wage are entitled to the maximum general tax credit, the point from which this tax credit is reduced for higher incomes has been linked to the level of the statutory minimum wage. In 2026 the point from which it tapers will be set at € 29,736 (2025: € 28,406). The rate of the reduction will be 6.398% in 2026 and therefore slightly higher than in 2025 (6.337%). At € 3,115, the maximum general tax credit in 2026 will again show a small rise (2025: € 3,068). From the threshold for the highest tax band (€ 78,426 in 2026) the general tax credit will be € 0.</w:t>
      </w:r>
    </w:p>
    <w:p w14:paraId="333AEB06" w14:textId="77777777" w:rsidR="005C2451" w:rsidRPr="00AA7EF5" w:rsidRDefault="005C2451" w:rsidP="00AA7EF5">
      <w:pPr>
        <w:rPr>
          <w:rFonts w:ascii="Arial" w:hAnsi="Arial" w:cs="Arial"/>
          <w:sz w:val="22"/>
          <w:szCs w:val="22"/>
        </w:rPr>
      </w:pPr>
    </w:p>
    <w:p w14:paraId="1E84899B" w14:textId="01783745" w:rsidR="00925190" w:rsidRPr="00C9418C" w:rsidRDefault="00925190" w:rsidP="00C9418C">
      <w:pPr>
        <w:rPr>
          <w:rFonts w:ascii="Arial" w:hAnsi="Arial" w:cs="Arial"/>
          <w:b/>
          <w:bCs/>
          <w:sz w:val="22"/>
          <w:szCs w:val="22"/>
        </w:rPr>
      </w:pPr>
      <w:bookmarkStart w:id="13" w:name="_Toc152927280"/>
      <w:r>
        <w:rPr>
          <w:rFonts w:ascii="Arial" w:hAnsi="Arial"/>
          <w:b/>
          <w:sz w:val="22"/>
        </w:rPr>
        <w:t>Employed person’s tax credit and point from which it is reduced for higher incomes to rise slightly</w:t>
      </w:r>
      <w:bookmarkEnd w:id="13"/>
      <w:r>
        <w:rPr>
          <w:rFonts w:ascii="Arial" w:hAnsi="Arial"/>
          <w:b/>
          <w:sz w:val="22"/>
        </w:rPr>
        <w:t>, but rate of reduction to remain unchanged</w:t>
      </w:r>
    </w:p>
    <w:p w14:paraId="65F25ED7" w14:textId="189348F2" w:rsidR="00A46381" w:rsidRDefault="00BF1F42" w:rsidP="00925190">
      <w:pPr>
        <w:rPr>
          <w:rFonts w:ascii="Arial" w:hAnsi="Arial" w:cs="Arial"/>
          <w:sz w:val="22"/>
          <w:szCs w:val="22"/>
        </w:rPr>
      </w:pPr>
      <w:r>
        <w:rPr>
          <w:rFonts w:ascii="Arial" w:hAnsi="Arial"/>
          <w:sz w:val="22"/>
        </w:rPr>
        <w:t>In 2026 the maximum employed person’s tax credit will increase slightly to € 5,685 (2025: € 5,599). The amount of the employed person’s tax credit increases with earnings, up to a salary of € 45,592 (2025: € 43,071). For salaries from € 45,592 the employed person’s tax credit will be reduced by 6.51% (the same percentage as in 2025 and 2024). From a salary of € 132,920 the employed person’s tax credit is € 0.</w:t>
      </w:r>
    </w:p>
    <w:p w14:paraId="64F6A151" w14:textId="77777777" w:rsidR="003D1578" w:rsidRDefault="003D1578" w:rsidP="00925190">
      <w:pPr>
        <w:rPr>
          <w:rFonts w:ascii="Arial" w:hAnsi="Arial" w:cs="Arial"/>
          <w:sz w:val="22"/>
          <w:szCs w:val="22"/>
        </w:rPr>
      </w:pPr>
    </w:p>
    <w:p w14:paraId="7691DEC0" w14:textId="77777777" w:rsidR="00F4113B" w:rsidRDefault="003D1578" w:rsidP="00F4113B">
      <w:pPr>
        <w:shd w:val="clear" w:color="auto" w:fill="D9D9D9" w:themeFill="background1" w:themeFillShade="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b/>
          <w:bCs/>
          <w:sz w:val="22"/>
          <w:szCs w:val="22"/>
        </w:rPr>
      </w:pPr>
      <w:r>
        <w:rPr>
          <w:rFonts w:ascii="Arial" w:hAnsi="Arial"/>
          <w:b/>
          <w:sz w:val="22"/>
        </w:rPr>
        <w:t>Please note:</w:t>
      </w:r>
    </w:p>
    <w:p w14:paraId="7EF2127C" w14:textId="10F1FDCB" w:rsidR="003D1578" w:rsidRPr="003D1578" w:rsidRDefault="003D1578" w:rsidP="00F4113B">
      <w:pPr>
        <w:shd w:val="clear" w:color="auto" w:fill="D9D9D9" w:themeFill="background1" w:themeFillShade="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r>
        <w:rPr>
          <w:rFonts w:ascii="Arial" w:hAnsi="Arial"/>
          <w:sz w:val="22"/>
        </w:rPr>
        <w:t>If you pay an incapacity for work benefit to an employee, you can currently deduct the employed person’s tax credit from this, subject to certain conditions. If such a benefit is paid by the Employee Insurance Agency (UWV), the UWV cannot take this tax credit into account. At the end of 2024, the Supreme Court ruled that this difference in treatment contravened the prohibition of discrimination. It has therefore been announced that, from 2027, an employer will also no longer be permitted to apply the employed person’s tax credit to the payment of an incapacity for work benefit.</w:t>
      </w:r>
    </w:p>
    <w:p w14:paraId="4C203D99" w14:textId="77777777" w:rsidR="004C59E6" w:rsidRDefault="004C59E6" w:rsidP="00925190">
      <w:pPr>
        <w:rPr>
          <w:rFonts w:ascii="Arial" w:hAnsi="Arial" w:cs="Arial"/>
          <w:sz w:val="22"/>
          <w:szCs w:val="22"/>
        </w:rPr>
      </w:pPr>
    </w:p>
    <w:p w14:paraId="56B6AB5B" w14:textId="22348F89" w:rsidR="00925190" w:rsidRPr="00C9418C" w:rsidRDefault="00925190" w:rsidP="00C9418C">
      <w:pPr>
        <w:rPr>
          <w:rFonts w:ascii="Arial" w:hAnsi="Arial" w:cs="Arial"/>
          <w:b/>
          <w:bCs/>
          <w:sz w:val="22"/>
          <w:szCs w:val="22"/>
        </w:rPr>
      </w:pPr>
      <w:bookmarkStart w:id="14" w:name="_Toc152927281"/>
      <w:r>
        <w:rPr>
          <w:rFonts w:ascii="Arial" w:hAnsi="Arial"/>
          <w:b/>
          <w:sz w:val="22"/>
        </w:rPr>
        <w:t>Elderly person’s tax credit</w:t>
      </w:r>
      <w:r>
        <w:t xml:space="preserve"> </w:t>
      </w:r>
      <w:bookmarkEnd w:id="14"/>
      <w:r>
        <w:rPr>
          <w:rFonts w:ascii="Arial" w:hAnsi="Arial"/>
          <w:b/>
          <w:sz w:val="22"/>
        </w:rPr>
        <w:t>to rise slightly</w:t>
      </w:r>
    </w:p>
    <w:p w14:paraId="70574A5F" w14:textId="3D44EF5C" w:rsidR="002D252A" w:rsidRDefault="00C91F2B" w:rsidP="00925190">
      <w:pPr>
        <w:rPr>
          <w:rFonts w:ascii="Arial" w:hAnsi="Arial" w:cs="Arial"/>
          <w:sz w:val="22"/>
          <w:szCs w:val="22"/>
        </w:rPr>
      </w:pPr>
      <w:r>
        <w:rPr>
          <w:rFonts w:ascii="Arial" w:hAnsi="Arial"/>
          <w:sz w:val="22"/>
        </w:rPr>
        <w:t>The maximum elderly person’s tax credit will increase slightly in 2026 to € 2,067 (2025: € 2,035). The point from which it is reduced for higher incomes will also rise slightly to € 46,002 in 2026 (2025: € 45,308). As in 2025 and 2024, the rate by which it tapers from this point will be 15%. There will be no entitlement to the elderly person’s tax credit from an income of € 59,782 (2025: € 58,875). The single elderly person’s tax credit will amount to € 540 in 2026 (2025: € 531).</w:t>
      </w:r>
    </w:p>
    <w:p w14:paraId="1565E32A" w14:textId="77777777" w:rsidR="002D252A" w:rsidRDefault="002D252A" w:rsidP="00925190">
      <w:pPr>
        <w:rPr>
          <w:rFonts w:ascii="Arial" w:hAnsi="Arial" w:cs="Arial"/>
          <w:sz w:val="22"/>
          <w:szCs w:val="22"/>
        </w:rPr>
      </w:pPr>
    </w:p>
    <w:p w14:paraId="69CBC224" w14:textId="6EEF097D" w:rsidR="000D0DCB" w:rsidRPr="00754442" w:rsidRDefault="000D0DCB" w:rsidP="000D0DCB">
      <w:pPr>
        <w:shd w:val="clear" w:color="auto" w:fill="D9D9D9" w:themeFill="background1" w:themeFillShade="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r>
        <w:rPr>
          <w:rFonts w:ascii="Arial" w:hAnsi="Arial"/>
          <w:b/>
          <w:sz w:val="22"/>
        </w:rPr>
        <w:t>Please note:</w:t>
      </w:r>
      <w:r>
        <w:br/>
      </w:r>
      <w:r>
        <w:rPr>
          <w:rFonts w:ascii="Arial" w:hAnsi="Arial"/>
          <w:sz w:val="22"/>
        </w:rPr>
        <w:t xml:space="preserve">In principle, the Social Insurance Bank (SVB) applies the single elderly person’s tax credit. Since 2024, however, you have also been able to apply this tax credit as an employer, if your employee meets the conditions and asks you to do so in writing. He/she can do this, for example, using the </w:t>
      </w:r>
      <w:hyperlink r:id="rId11" w:history="1">
        <w:r>
          <w:rPr>
            <w:rStyle w:val="Hyperlink"/>
            <w:rFonts w:ascii="Arial" w:hAnsi="Arial"/>
            <w:sz w:val="22"/>
          </w:rPr>
          <w:t>Model Statement of data for payroll taxes</w:t>
        </w:r>
      </w:hyperlink>
      <w:r>
        <w:rPr>
          <w:rFonts w:ascii="Arial" w:hAnsi="Arial"/>
          <w:sz w:val="22"/>
        </w:rPr>
        <w:t>. You must, however, make your employee aware that this tax credit may only be applied by one withholding entity and that he/she must ask the SVB to stop applying it.</w:t>
      </w:r>
    </w:p>
    <w:p w14:paraId="2A642278" w14:textId="77777777" w:rsidR="00946C4F" w:rsidRDefault="00946C4F" w:rsidP="004C59E6">
      <w:pPr>
        <w:rPr>
          <w:rFonts w:ascii="Arial" w:hAnsi="Arial" w:cs="Arial"/>
          <w:sz w:val="22"/>
          <w:szCs w:val="22"/>
        </w:rPr>
      </w:pPr>
    </w:p>
    <w:p w14:paraId="476C5EE3" w14:textId="631BE688" w:rsidR="00B628F2" w:rsidRDefault="0057210B" w:rsidP="00957F2F">
      <w:pPr>
        <w:pStyle w:val="Kop2"/>
        <w:ind w:hanging="283"/>
      </w:pPr>
      <w:bookmarkStart w:id="15" w:name="_Toc155866615"/>
      <w:r>
        <w:lastRenderedPageBreak/>
        <w:t>Same differentiated Awf contribution, but higher maximum assessable salary</w:t>
      </w:r>
      <w:bookmarkEnd w:id="15"/>
    </w:p>
    <w:p w14:paraId="6323673B" w14:textId="77777777" w:rsidR="00C9418C" w:rsidRPr="00C9418C" w:rsidRDefault="00C9418C" w:rsidP="00C9418C"/>
    <w:p w14:paraId="23810D13" w14:textId="1A9B749F" w:rsidR="00B628F2" w:rsidRDefault="00B628F2" w:rsidP="004C59E6">
      <w:pPr>
        <w:rPr>
          <w:rFonts w:ascii="Arial" w:hAnsi="Arial" w:cs="Arial"/>
          <w:sz w:val="22"/>
          <w:szCs w:val="22"/>
        </w:rPr>
      </w:pPr>
      <w:r>
        <w:rPr>
          <w:rFonts w:ascii="Arial" w:hAnsi="Arial"/>
          <w:sz w:val="22"/>
        </w:rPr>
        <w:t>The differentiated contribution to the General Unemployment Fund (Awf) consists of a high and a low contribution. As an employer you can apply a low Awf contribution if a number of conditions are met. If you do not meet these conditions, you pay a high Awf contribution. The conditions relate to your employees’ employment contracts and are intended to combat highly flexible contracts and protect permanent contracts.</w:t>
      </w:r>
    </w:p>
    <w:p w14:paraId="3218CCB2" w14:textId="53D8E31E" w:rsidR="000D0DCB" w:rsidRDefault="00B628F2" w:rsidP="004C59E6">
      <w:pPr>
        <w:rPr>
          <w:rFonts w:ascii="Arial" w:hAnsi="Arial" w:cs="Arial"/>
          <w:sz w:val="22"/>
          <w:szCs w:val="22"/>
        </w:rPr>
      </w:pPr>
      <w:r>
        <w:rPr>
          <w:rFonts w:ascii="Arial" w:hAnsi="Arial"/>
          <w:sz w:val="22"/>
        </w:rPr>
        <w:t>In 2026 the Awf contribution will be the same as in 2025 for both contributions. The low Awf contribution will amount to 2.74% and the high Awf contribution will stand at 7.74%. The maximum assessable salary has increased sharply in recent years (from € 66,956 in 2023 to € 71,628 in 2024 and € 75,864 in 2025). In 2026 it will rise further to € 79,409. For employees with an assessable salary from € 75,864, as an employer you may therefore owe up to € 97 (for the low contribution) and € 274 (for the high contribution) more in Awf contributions per employee in 2026.</w:t>
      </w:r>
    </w:p>
    <w:p w14:paraId="7E3ED552" w14:textId="77777777" w:rsidR="000D0DCB" w:rsidRDefault="000D0DCB" w:rsidP="000D0DCB">
      <w:pPr>
        <w:rPr>
          <w:rFonts w:ascii="Arial" w:hAnsi="Arial" w:cs="Arial"/>
          <w:sz w:val="22"/>
          <w:szCs w:val="22"/>
        </w:rPr>
      </w:pPr>
    </w:p>
    <w:p w14:paraId="41730DE9" w14:textId="66205152" w:rsidR="00F911B9" w:rsidRDefault="00C32480" w:rsidP="00562949">
      <w:pPr>
        <w:rPr>
          <w:rFonts w:ascii="Arial" w:hAnsi="Arial" w:cs="Arial"/>
          <w:sz w:val="22"/>
          <w:szCs w:val="22"/>
        </w:rPr>
      </w:pPr>
      <w:r>
        <w:rPr>
          <w:rFonts w:ascii="Arial" w:hAnsi="Arial"/>
          <w:b/>
          <w:sz w:val="22"/>
        </w:rPr>
        <w:t>Adjustment to contribution due to exceeding contracted hours applicable since 2025</w:t>
      </w:r>
      <w:r>
        <w:rPr>
          <w:rFonts w:ascii="Arial" w:hAnsi="Arial"/>
          <w:sz w:val="22"/>
        </w:rPr>
        <w:br/>
        <w:t xml:space="preserve">Since 2025 employers have had to apply the high Awf contribution with retroactive effect if an employee with an employment contract for an average of 30 hours or fewer per week has paid hours that exceed his/her contracted hours by more than 30%. </w:t>
      </w:r>
    </w:p>
    <w:p w14:paraId="17312A15" w14:textId="77777777" w:rsidR="002341B5" w:rsidRDefault="002341B5" w:rsidP="002341B5">
      <w:pPr>
        <w:rPr>
          <w:rFonts w:ascii="Arial" w:hAnsi="Arial" w:cs="Arial"/>
          <w:sz w:val="22"/>
          <w:szCs w:val="22"/>
        </w:rPr>
      </w:pPr>
    </w:p>
    <w:p w14:paraId="40CB2B9F" w14:textId="77777777" w:rsidR="00F04411" w:rsidRDefault="00F04411" w:rsidP="00F04411">
      <w:pPr>
        <w:shd w:val="clear" w:color="auto" w:fill="D9D9D9" w:themeFill="background1" w:themeFillShade="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b/>
          <w:sz w:val="22"/>
          <w:szCs w:val="22"/>
        </w:rPr>
      </w:pPr>
      <w:r>
        <w:rPr>
          <w:rFonts w:ascii="Arial" w:hAnsi="Arial"/>
          <w:b/>
          <w:sz w:val="22"/>
        </w:rPr>
        <w:t>Please note:</w:t>
      </w:r>
    </w:p>
    <w:p w14:paraId="55C40B34" w14:textId="6D382FF0" w:rsidR="00F04411" w:rsidRDefault="00F04411" w:rsidP="00F04411">
      <w:pPr>
        <w:shd w:val="clear" w:color="auto" w:fill="D9D9D9" w:themeFill="background1" w:themeFillShade="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Style w:val="cf01"/>
          <w:rFonts w:ascii="Arial" w:hAnsi="Arial" w:cs="Arial"/>
          <w:i w:val="0"/>
          <w:iCs w:val="0"/>
          <w:sz w:val="22"/>
          <w:szCs w:val="22"/>
        </w:rPr>
      </w:pPr>
      <w:r>
        <w:rPr>
          <w:rStyle w:val="cf01"/>
          <w:rFonts w:ascii="Arial" w:hAnsi="Arial"/>
          <w:i w:val="0"/>
          <w:sz w:val="22"/>
        </w:rPr>
        <w:t>In addition to the adjustment in cases where paid hours exceed contracted hours by more than 30%, the low Awf contribution must also be adjusted to the high Awf contribution if a new employee resigns or is dismissed within two months of his/her employment commencing. This adjustment is not dependent on the number of contracted hours and therefore applies to all contracts.</w:t>
      </w:r>
    </w:p>
    <w:p w14:paraId="1CC4F0D7" w14:textId="77777777" w:rsidR="00F911B9" w:rsidRPr="00F911B9" w:rsidRDefault="00F911B9" w:rsidP="00F911B9">
      <w:pPr>
        <w:rPr>
          <w:rFonts w:ascii="Arial" w:hAnsi="Arial" w:cs="Arial"/>
          <w:sz w:val="22"/>
          <w:szCs w:val="22"/>
        </w:rPr>
      </w:pPr>
    </w:p>
    <w:p w14:paraId="7D67876F" w14:textId="28E75F30" w:rsidR="006E3072" w:rsidRDefault="00592418" w:rsidP="00957F2F">
      <w:pPr>
        <w:pStyle w:val="Kop2"/>
        <w:numPr>
          <w:ilvl w:val="1"/>
          <w:numId w:val="8"/>
        </w:numPr>
        <w:ind w:hanging="283"/>
      </w:pPr>
      <w:bookmarkStart w:id="16" w:name="_Toc152927286"/>
      <w:bookmarkStart w:id="17" w:name="_Toc155866616"/>
      <w:r>
        <w:t>Higher contributions to Return to Work Fund in 202</w:t>
      </w:r>
      <w:bookmarkEnd w:id="16"/>
      <w:bookmarkEnd w:id="17"/>
      <w:r>
        <w:t>6</w:t>
      </w:r>
    </w:p>
    <w:p w14:paraId="22459CED" w14:textId="597B11A7" w:rsidR="004C59E6" w:rsidRPr="00FC3D9F" w:rsidRDefault="004C59E6" w:rsidP="004C59E6">
      <w:pPr>
        <w:rPr>
          <w:rFonts w:ascii="Arial" w:hAnsi="Arial" w:cs="Arial"/>
          <w:sz w:val="22"/>
          <w:szCs w:val="22"/>
        </w:rPr>
      </w:pPr>
    </w:p>
    <w:p w14:paraId="1AF8726A" w14:textId="436418C0" w:rsidR="00C32480" w:rsidRPr="005F42CB" w:rsidRDefault="006E3072" w:rsidP="00D74ADB">
      <w:pPr>
        <w:rPr>
          <w:rFonts w:ascii="Arial" w:hAnsi="Arial" w:cs="Arial"/>
          <w:sz w:val="22"/>
          <w:szCs w:val="22"/>
        </w:rPr>
      </w:pPr>
      <w:r>
        <w:rPr>
          <w:rFonts w:ascii="Arial" w:hAnsi="Arial"/>
          <w:color w:val="000000"/>
          <w:sz w:val="22"/>
        </w:rPr>
        <w:t xml:space="preserve">As an employer you pay social contributions to the </w:t>
      </w:r>
      <w:hyperlink r:id="rId12" w:history="1">
        <w:r>
          <w:rPr>
            <w:rStyle w:val="Hyperlink"/>
            <w:rFonts w:ascii="Arial" w:hAnsi="Arial"/>
            <w:sz w:val="22"/>
          </w:rPr>
          <w:t>Return to Work Fund</w:t>
        </w:r>
      </w:hyperlink>
      <w:r>
        <w:rPr>
          <w:rFonts w:ascii="Arial" w:hAnsi="Arial"/>
          <w:color w:val="000000"/>
          <w:sz w:val="22"/>
        </w:rPr>
        <w:t xml:space="preserve"> (Whk) every year.</w:t>
      </w:r>
      <w:r>
        <w:rPr>
          <w:rFonts w:ascii="Arial" w:hAnsi="Arial"/>
          <w:color w:val="444444"/>
          <w:sz w:val="22"/>
        </w:rPr>
        <w:t xml:space="preserve"> </w:t>
      </w:r>
      <w:r>
        <w:rPr>
          <w:rFonts w:ascii="Arial" w:hAnsi="Arial"/>
          <w:sz w:val="22"/>
        </w:rPr>
        <w:t>The average contribution percentage for the Return to Work (Partially Disabled) Regulations (WGA) component is rising from 0.83% in 2025 to 0.96% in 2026. The average percentage for the Sickness Benefits Act flexible employment (ZW-flex) component is increasing from 0.50% in 2025 to 0.56% in 2026. This increase is mainly due to a rise in cases of long-term sickness amongst young people, including long COVID and mental health problems. As a result, more claims are being made under incapacity benefit schemes.</w:t>
      </w:r>
    </w:p>
    <w:p w14:paraId="78102BDA" w14:textId="77777777" w:rsidR="006A0D69" w:rsidRDefault="006A0D69" w:rsidP="00F04411">
      <w:pPr>
        <w:rPr>
          <w:rFonts w:ascii="Arial" w:hAnsi="Arial" w:cs="Arial"/>
          <w:sz w:val="22"/>
          <w:szCs w:val="22"/>
        </w:rPr>
      </w:pPr>
    </w:p>
    <w:p w14:paraId="363BDA96" w14:textId="77777777" w:rsidR="00F04411" w:rsidRDefault="00F04411" w:rsidP="00F04411">
      <w:pPr>
        <w:shd w:val="clear" w:color="auto" w:fill="D9D9D9" w:themeFill="background1" w:themeFillShade="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b/>
          <w:sz w:val="22"/>
          <w:szCs w:val="22"/>
        </w:rPr>
      </w:pPr>
      <w:bookmarkStart w:id="18" w:name="_Hlk185231603"/>
      <w:r>
        <w:rPr>
          <w:rFonts w:ascii="Arial" w:hAnsi="Arial"/>
          <w:b/>
          <w:sz w:val="22"/>
        </w:rPr>
        <w:t>Please note:</w:t>
      </w:r>
    </w:p>
    <w:p w14:paraId="31C04944" w14:textId="0B1957E5" w:rsidR="00F04411" w:rsidRDefault="00F04411" w:rsidP="00F04411">
      <w:pPr>
        <w:shd w:val="clear" w:color="auto" w:fill="D9D9D9" w:themeFill="background1" w:themeFillShade="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Style w:val="cf01"/>
          <w:rFonts w:ascii="Arial" w:hAnsi="Arial" w:cs="Arial"/>
          <w:i w:val="0"/>
          <w:iCs w:val="0"/>
          <w:sz w:val="22"/>
          <w:szCs w:val="22"/>
        </w:rPr>
      </w:pPr>
      <w:r>
        <w:rPr>
          <w:rStyle w:val="cf01"/>
          <w:rFonts w:ascii="Arial" w:hAnsi="Arial"/>
          <w:i w:val="0"/>
          <w:sz w:val="22"/>
        </w:rPr>
        <w:t>The WGA contribution component applies to all employment relationships for which contributions to employee insurance schemes have to be paid. The ZW contribution component applies only to flexible and temporary employment relationships.</w:t>
      </w:r>
    </w:p>
    <w:p w14:paraId="74DE4439" w14:textId="77777777" w:rsidR="006A0D69" w:rsidRDefault="006A0D69" w:rsidP="00C9418C">
      <w:pPr>
        <w:rPr>
          <w:rFonts w:ascii="Arial" w:hAnsi="Arial" w:cs="Arial"/>
          <w:b/>
          <w:bCs/>
          <w:sz w:val="22"/>
          <w:szCs w:val="22"/>
        </w:rPr>
      </w:pPr>
      <w:bookmarkStart w:id="19" w:name="_Toc152927288"/>
      <w:bookmarkEnd w:id="18"/>
    </w:p>
    <w:p w14:paraId="50C80456" w14:textId="11F165E2" w:rsidR="006E3072" w:rsidRPr="00C9418C" w:rsidRDefault="00D74ADB" w:rsidP="00C9418C">
      <w:pPr>
        <w:rPr>
          <w:rFonts w:ascii="Arial" w:hAnsi="Arial" w:cs="Arial"/>
          <w:b/>
          <w:bCs/>
          <w:sz w:val="22"/>
          <w:szCs w:val="22"/>
        </w:rPr>
      </w:pPr>
      <w:r>
        <w:rPr>
          <w:rFonts w:ascii="Arial" w:hAnsi="Arial"/>
          <w:b/>
          <w:sz w:val="22"/>
        </w:rPr>
        <w:t>Average salary on which contributions are payable</w:t>
      </w:r>
      <w:bookmarkEnd w:id="19"/>
    </w:p>
    <w:p w14:paraId="0DD62D9C" w14:textId="7634C0B8" w:rsidR="007D5898" w:rsidRDefault="00C32480" w:rsidP="006E3072">
      <w:pPr>
        <w:rPr>
          <w:rFonts w:ascii="Arial" w:hAnsi="Arial" w:cs="Arial"/>
          <w:sz w:val="22"/>
          <w:szCs w:val="22"/>
        </w:rPr>
      </w:pPr>
      <w:r>
        <w:rPr>
          <w:rFonts w:ascii="Arial" w:hAnsi="Arial"/>
          <w:sz w:val="22"/>
        </w:rPr>
        <w:t>How the differentiated Whk contribution is calculated depends on the size of your company. The category you fall into as an employer in 2026 is determined on the basis of your wage bill in 2024. The calculation is based on the average salary on which contributions are payable, which amounted to € 39,600 in 2025 and is increasing to € 43,300 in 2026.</w:t>
      </w:r>
    </w:p>
    <w:p w14:paraId="4C92E375" w14:textId="77777777" w:rsidR="009C0003" w:rsidRDefault="009C0003" w:rsidP="006E3072">
      <w:pPr>
        <w:rPr>
          <w:rFonts w:ascii="Arial" w:hAnsi="Arial" w:cs="Arial"/>
          <w:sz w:val="22"/>
          <w:szCs w:val="22"/>
        </w:rPr>
      </w:pPr>
    </w:p>
    <w:p w14:paraId="7B538560" w14:textId="77777777" w:rsidR="007C4EBB" w:rsidRDefault="007C4EBB" w:rsidP="00D74ADB">
      <w:pPr>
        <w:rPr>
          <w:rFonts w:ascii="Arial" w:hAnsi="Arial"/>
          <w:b/>
          <w:sz w:val="22"/>
        </w:rPr>
      </w:pPr>
    </w:p>
    <w:p w14:paraId="3C37437F" w14:textId="77777777" w:rsidR="007C4EBB" w:rsidRDefault="007C4EBB" w:rsidP="00D74ADB">
      <w:pPr>
        <w:rPr>
          <w:rFonts w:ascii="Arial" w:hAnsi="Arial"/>
          <w:b/>
          <w:sz w:val="22"/>
        </w:rPr>
      </w:pPr>
    </w:p>
    <w:p w14:paraId="34A50BC2" w14:textId="4E30ABAF" w:rsidR="00D74ADB" w:rsidRPr="00D74ADB" w:rsidRDefault="00D74ADB" w:rsidP="00D74ADB">
      <w:pPr>
        <w:rPr>
          <w:rFonts w:ascii="Arial" w:hAnsi="Arial" w:cs="Arial"/>
          <w:b/>
          <w:bCs/>
          <w:sz w:val="22"/>
          <w:szCs w:val="22"/>
        </w:rPr>
      </w:pPr>
      <w:r>
        <w:rPr>
          <w:rFonts w:ascii="Arial" w:hAnsi="Arial"/>
          <w:b/>
          <w:sz w:val="22"/>
        </w:rPr>
        <w:lastRenderedPageBreak/>
        <w:t>Thresholds for small/medium-sized/large employers</w:t>
      </w:r>
    </w:p>
    <w:p w14:paraId="4F816509" w14:textId="423770E4" w:rsidR="005B3416" w:rsidRDefault="00C32480" w:rsidP="005B3416">
      <w:pPr>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r>
        <w:rPr>
          <w:rFonts w:ascii="Arial" w:hAnsi="Arial"/>
          <w:sz w:val="22"/>
        </w:rPr>
        <w:t>In 2026 the threshold between small and medium-sized employers has been set at a wage bill not exceeding € 1,082,500 (2025: € 990,000). If you have a wage bill exceeding € 4,330,000, you will be regarded as a large employer in 2026 (2025: € 3,960,000).</w:t>
      </w:r>
    </w:p>
    <w:p w14:paraId="5B1A0AA7" w14:textId="77777777" w:rsidR="005B3416" w:rsidRDefault="005B3416" w:rsidP="005B3416">
      <w:pPr>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p>
    <w:p w14:paraId="7776C366" w14:textId="320DEBC1" w:rsidR="00F04411" w:rsidRDefault="00F04411" w:rsidP="005B3416">
      <w:pPr>
        <w:shd w:val="clear" w:color="auto" w:fill="D9D9D9" w:themeFill="background1" w:themeFillShade="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b/>
          <w:sz w:val="22"/>
          <w:szCs w:val="22"/>
        </w:rPr>
      </w:pPr>
      <w:r>
        <w:rPr>
          <w:rFonts w:ascii="Arial" w:hAnsi="Arial"/>
          <w:b/>
          <w:sz w:val="22"/>
        </w:rPr>
        <w:t>Please note:</w:t>
      </w:r>
    </w:p>
    <w:p w14:paraId="575C2152" w14:textId="63F2C556" w:rsidR="00BE0A07" w:rsidRDefault="00C32480" w:rsidP="005B3416">
      <w:pPr>
        <w:shd w:val="clear" w:color="auto" w:fill="D9D9D9" w:themeFill="background1" w:themeFillShade="D9"/>
        <w:rPr>
          <w:rStyle w:val="cf01"/>
          <w:rFonts w:ascii="Arial" w:hAnsi="Arial" w:cs="Arial"/>
          <w:i w:val="0"/>
          <w:iCs w:val="0"/>
          <w:sz w:val="22"/>
          <w:szCs w:val="22"/>
        </w:rPr>
      </w:pPr>
      <w:r>
        <w:rPr>
          <w:rFonts w:ascii="Arial" w:hAnsi="Arial"/>
          <w:sz w:val="22"/>
        </w:rPr>
        <w:t>In 2026 it is the wage bill from two years earlier, i.e. 2024, that is relevant. If your wage bill in 2024 did not exceed € 1,082,500, you are considered a small employer.</w:t>
      </w:r>
    </w:p>
    <w:p w14:paraId="2BE0336B" w14:textId="77777777" w:rsidR="009C0003" w:rsidRPr="00D74ADB" w:rsidRDefault="009C0003" w:rsidP="00D74ADB">
      <w:pPr>
        <w:rPr>
          <w:rFonts w:ascii="Arial" w:hAnsi="Arial" w:cs="Arial"/>
          <w:sz w:val="22"/>
          <w:szCs w:val="22"/>
        </w:rPr>
      </w:pPr>
    </w:p>
    <w:p w14:paraId="008F24E6" w14:textId="3864525D" w:rsidR="00266F71" w:rsidRPr="00C9418C" w:rsidRDefault="00266F71" w:rsidP="00C9418C">
      <w:pPr>
        <w:rPr>
          <w:rFonts w:ascii="Arial" w:hAnsi="Arial" w:cs="Arial"/>
          <w:b/>
          <w:bCs/>
          <w:sz w:val="22"/>
          <w:szCs w:val="22"/>
        </w:rPr>
      </w:pPr>
      <w:bookmarkStart w:id="20" w:name="_Toc152927290"/>
      <w:r>
        <w:rPr>
          <w:rFonts w:ascii="Arial" w:hAnsi="Arial"/>
          <w:b/>
          <w:sz w:val="22"/>
        </w:rPr>
        <w:t>Decision from Tax and Customs Administration</w:t>
      </w:r>
      <w:bookmarkEnd w:id="20"/>
    </w:p>
    <w:p w14:paraId="596645C1" w14:textId="43E13CCA" w:rsidR="00D74ADB" w:rsidRDefault="00266F71" w:rsidP="00266F71">
      <w:pPr>
        <w:rPr>
          <w:rFonts w:ascii="Arial" w:hAnsi="Arial" w:cs="Arial"/>
          <w:sz w:val="22"/>
          <w:szCs w:val="22"/>
        </w:rPr>
      </w:pPr>
      <w:r>
        <w:rPr>
          <w:rFonts w:ascii="Arial" w:hAnsi="Arial"/>
          <w:sz w:val="22"/>
        </w:rPr>
        <w:t>If you are a large or medium-sized employer, at the end of 2025 you will have received a decision from the Tax and Customs Administration on the level of the contribution. For large and medium-sized employers the level depends on the number of employees who have started receiving benefits under the ZW and WGA. It is a good idea to lodge a pro forma objection within six weeks of the date of the Whk decision, in anticipation of receiving the lists of employees who are newly receiving such benefits.</w:t>
      </w:r>
    </w:p>
    <w:p w14:paraId="67A1FF0B" w14:textId="298D5F51" w:rsidR="000D0DCB" w:rsidRDefault="00266F71" w:rsidP="00266F71">
      <w:pPr>
        <w:rPr>
          <w:rFonts w:ascii="Arial" w:hAnsi="Arial" w:cs="Arial"/>
          <w:sz w:val="22"/>
          <w:szCs w:val="22"/>
        </w:rPr>
      </w:pPr>
      <w:r>
        <w:rPr>
          <w:rFonts w:ascii="Arial" w:hAnsi="Arial"/>
          <w:sz w:val="22"/>
        </w:rPr>
        <w:t>Small employers will have received a notification from the Tax and Customs Administration in December 2025. If you are a small employer, you pay a contribution that is dependent on the sector in which you operate. This contribution is a fixed percentage and it is not possible to object against it. However, you should always check that the sector applied still corresponds to your company’s activities.</w:t>
      </w:r>
    </w:p>
    <w:p w14:paraId="088E8875" w14:textId="77777777" w:rsidR="000D0DCB" w:rsidRDefault="000D0DCB" w:rsidP="000D0DCB">
      <w:pPr>
        <w:rPr>
          <w:rFonts w:ascii="Arial" w:hAnsi="Arial" w:cs="Arial"/>
          <w:sz w:val="22"/>
          <w:szCs w:val="22"/>
        </w:rPr>
      </w:pPr>
    </w:p>
    <w:p w14:paraId="5F15A002" w14:textId="77777777" w:rsidR="000D0DCB" w:rsidRDefault="000D0DCB" w:rsidP="000D0DCB">
      <w:pPr>
        <w:shd w:val="clear" w:color="auto" w:fill="D9D9D9" w:themeFill="background1" w:themeFillShade="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b/>
          <w:sz w:val="22"/>
          <w:szCs w:val="22"/>
        </w:rPr>
      </w:pPr>
      <w:r>
        <w:rPr>
          <w:rFonts w:ascii="Arial" w:hAnsi="Arial"/>
          <w:b/>
          <w:sz w:val="22"/>
        </w:rPr>
        <w:t>Please note:</w:t>
      </w:r>
    </w:p>
    <w:p w14:paraId="5BA84CB5" w14:textId="6632342A" w:rsidR="000D0DCB" w:rsidRPr="004C59E6" w:rsidRDefault="000D0DCB" w:rsidP="000D0DCB">
      <w:pPr>
        <w:shd w:val="clear" w:color="auto" w:fill="D9D9D9" w:themeFill="background1" w:themeFillShade="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bCs/>
          <w:sz w:val="22"/>
          <w:szCs w:val="22"/>
        </w:rPr>
      </w:pPr>
      <w:r>
        <w:rPr>
          <w:rFonts w:ascii="Arial" w:hAnsi="Arial"/>
          <w:sz w:val="22"/>
        </w:rPr>
        <w:t>Besides the contribution percentages for 2026, the increase in the maximum assessable salary may also affect the level of the contribution you have to pay. The maximum assessable salary will increase to € 79,409 in 2026 (2025: € 75,864). For employees with an assessable salary between € 75,864 and € 79,409 you may therefore owe a higher contribution as an employer, even if the contribution percentages have fallen compared with 2025.</w:t>
      </w:r>
    </w:p>
    <w:p w14:paraId="74646560" w14:textId="77777777" w:rsidR="00562949" w:rsidRDefault="00562949" w:rsidP="00266F71">
      <w:pPr>
        <w:rPr>
          <w:rFonts w:ascii="Arial" w:hAnsi="Arial" w:cs="Arial"/>
          <w:b/>
          <w:bCs/>
          <w:sz w:val="22"/>
          <w:szCs w:val="22"/>
        </w:rPr>
      </w:pPr>
    </w:p>
    <w:p w14:paraId="4A69E01D" w14:textId="74912E29" w:rsidR="00C9418C" w:rsidRDefault="005E0602" w:rsidP="00266F71">
      <w:pPr>
        <w:rPr>
          <w:rFonts w:ascii="Arial" w:hAnsi="Arial" w:cs="Arial"/>
          <w:b/>
          <w:bCs/>
          <w:sz w:val="22"/>
          <w:szCs w:val="22"/>
        </w:rPr>
      </w:pPr>
      <w:r>
        <w:rPr>
          <w:rFonts w:ascii="Arial" w:hAnsi="Arial"/>
          <w:b/>
          <w:sz w:val="22"/>
        </w:rPr>
        <w:t>Refund or additional assessment of differentiated Whk contribution</w:t>
      </w:r>
    </w:p>
    <w:p w14:paraId="33321E83" w14:textId="19D6BF0D" w:rsidR="005E0602" w:rsidRPr="005E0602" w:rsidRDefault="005E0602" w:rsidP="00266F71">
      <w:pPr>
        <w:rPr>
          <w:rFonts w:ascii="Arial" w:hAnsi="Arial" w:cs="Arial"/>
          <w:sz w:val="22"/>
          <w:szCs w:val="22"/>
        </w:rPr>
      </w:pPr>
      <w:r>
        <w:rPr>
          <w:rFonts w:ascii="Arial" w:hAnsi="Arial"/>
          <w:sz w:val="22"/>
        </w:rPr>
        <w:t xml:space="preserve">Have you paid too much or too little in Whk contributions in your payroll tax return? This may be because, as a start-up, you received the differentiated Whk contribution from the Tax and Customs Administration after 1 January or because the Tax and Customs Administration adjusted the contribution percentage following an objection against the Whk decision, for example. If so, you do not need to submit a correction for the differentiated Whk contribution and can instead use a </w:t>
      </w:r>
      <w:hyperlink r:id="rId13" w:history="1">
        <w:r>
          <w:rPr>
            <w:rStyle w:val="Hyperlink"/>
            <w:rFonts w:ascii="Arial" w:hAnsi="Arial"/>
            <w:sz w:val="22"/>
          </w:rPr>
          <w:t>form</w:t>
        </w:r>
      </w:hyperlink>
      <w:r>
        <w:rPr>
          <w:rFonts w:ascii="Arial" w:hAnsi="Arial"/>
          <w:sz w:val="22"/>
        </w:rPr>
        <w:t xml:space="preserve"> to request a refund or an additional assessment of the contribution.</w:t>
      </w:r>
    </w:p>
    <w:p w14:paraId="68223549" w14:textId="77777777" w:rsidR="00F07767" w:rsidRPr="00E945F4" w:rsidRDefault="00F07767" w:rsidP="00266F71">
      <w:pPr>
        <w:rPr>
          <w:rFonts w:ascii="Arial" w:hAnsi="Arial" w:cs="Arial"/>
          <w:sz w:val="22"/>
          <w:szCs w:val="22"/>
        </w:rPr>
      </w:pPr>
    </w:p>
    <w:p w14:paraId="4AA8DDA3" w14:textId="403E9F64" w:rsidR="00FA36F2" w:rsidRDefault="000377E2" w:rsidP="00957F2F">
      <w:pPr>
        <w:pStyle w:val="Kop2"/>
        <w:ind w:hanging="283"/>
      </w:pPr>
      <w:bookmarkStart w:id="21" w:name="_Toc152927291"/>
      <w:bookmarkStart w:id="22" w:name="_Toc155866617"/>
      <w:r>
        <w:t>Fall in contributions under Healthcare Insurance Act in 2026, higher assessable salary</w:t>
      </w:r>
      <w:bookmarkEnd w:id="21"/>
      <w:bookmarkEnd w:id="22"/>
    </w:p>
    <w:p w14:paraId="613ACDD3" w14:textId="77777777" w:rsidR="00C9418C" w:rsidRPr="00C9418C" w:rsidRDefault="00C9418C" w:rsidP="00C9418C"/>
    <w:p w14:paraId="0BC1AEBF" w14:textId="6B01585C" w:rsidR="00FA36F2" w:rsidRDefault="00FA36F2" w:rsidP="00FA36F2">
      <w:pPr>
        <w:pStyle w:val="Geenafstand"/>
        <w:rPr>
          <w:rFonts w:ascii="Arial" w:hAnsi="Arial" w:cs="Arial"/>
          <w:sz w:val="22"/>
          <w:szCs w:val="22"/>
        </w:rPr>
      </w:pPr>
      <w:r>
        <w:rPr>
          <w:rFonts w:ascii="Arial" w:hAnsi="Arial"/>
          <w:sz w:val="22"/>
        </w:rPr>
        <w:t>In 2026 the contributions under the Healthcare Insurance Act (Zvw) are being reduced by 0.41 of a percentage point. This applies both to the contributions that employers pay for their employees (6.10% in 2026) and to those that self-employed persons and directors/major shareholders (DGAs) have to pay for themselves (4.85% in 2026).</w:t>
      </w:r>
    </w:p>
    <w:p w14:paraId="0B616A54" w14:textId="77777777" w:rsidR="000377E2" w:rsidRDefault="000377E2" w:rsidP="00FA36F2">
      <w:pPr>
        <w:pStyle w:val="Geenafstand"/>
        <w:rPr>
          <w:rFonts w:ascii="Arial" w:hAnsi="Arial" w:cs="Arial"/>
          <w:sz w:val="22"/>
          <w:szCs w:val="22"/>
        </w:rPr>
      </w:pPr>
    </w:p>
    <w:p w14:paraId="2912FB14" w14:textId="77777777" w:rsidR="005B3416" w:rsidRDefault="000377E2" w:rsidP="005B3416">
      <w:pPr>
        <w:pStyle w:val="Geenafstand"/>
        <w:shd w:val="clear" w:color="auto" w:fill="D9D9D9" w:themeFill="background1" w:themeFillShade="D9"/>
        <w:rPr>
          <w:rFonts w:ascii="Arial" w:hAnsi="Arial" w:cs="Arial"/>
          <w:b/>
          <w:bCs/>
          <w:sz w:val="22"/>
          <w:szCs w:val="22"/>
        </w:rPr>
      </w:pPr>
      <w:r>
        <w:rPr>
          <w:rFonts w:ascii="Arial" w:hAnsi="Arial"/>
          <w:b/>
          <w:sz w:val="22"/>
        </w:rPr>
        <w:t>Please note:</w:t>
      </w:r>
    </w:p>
    <w:p w14:paraId="68EB481F" w14:textId="290E6A5B" w:rsidR="000377E2" w:rsidRPr="006E3072" w:rsidRDefault="000377E2" w:rsidP="005B3416">
      <w:pPr>
        <w:pStyle w:val="Geenafstand"/>
        <w:shd w:val="clear" w:color="auto" w:fill="D9D9D9" w:themeFill="background1" w:themeFillShade="D9"/>
        <w:rPr>
          <w:rFonts w:ascii="Arial" w:hAnsi="Arial" w:cs="Arial"/>
          <w:sz w:val="22"/>
          <w:szCs w:val="22"/>
        </w:rPr>
      </w:pPr>
      <w:r>
        <w:rPr>
          <w:rFonts w:ascii="Arial" w:hAnsi="Arial"/>
          <w:sz w:val="22"/>
        </w:rPr>
        <w:t xml:space="preserve">The lower percentages in 2026 are mainly the result of a one-off surplus in the Healthcare Insurance Fund. This has arisen as the amount of Zvw contributions collected in the past </w:t>
      </w:r>
      <w:r>
        <w:rPr>
          <w:rFonts w:ascii="Arial" w:hAnsi="Arial"/>
          <w:sz w:val="22"/>
        </w:rPr>
        <w:lastRenderedPageBreak/>
        <w:t>was higher than expected. In 2026 this surplus will be paid back in the form of a reduction in the percentages.</w:t>
      </w:r>
    </w:p>
    <w:p w14:paraId="51404120" w14:textId="77777777" w:rsidR="00562949" w:rsidRPr="006E3072" w:rsidRDefault="00562949" w:rsidP="00FA36F2">
      <w:pPr>
        <w:pStyle w:val="Geenafstand"/>
        <w:rPr>
          <w:rFonts w:ascii="Arial" w:hAnsi="Arial" w:cs="Arial"/>
          <w:sz w:val="22"/>
          <w:szCs w:val="22"/>
        </w:rPr>
      </w:pPr>
    </w:p>
    <w:p w14:paraId="4913E288" w14:textId="3FE7D747" w:rsidR="00FA36F2" w:rsidRDefault="000377E2" w:rsidP="00FA36F2">
      <w:pPr>
        <w:pStyle w:val="Geenafstand"/>
        <w:rPr>
          <w:rFonts w:ascii="Arial" w:hAnsi="Arial" w:cs="Arial"/>
          <w:sz w:val="22"/>
          <w:szCs w:val="22"/>
        </w:rPr>
      </w:pPr>
      <w:r>
        <w:rPr>
          <w:rFonts w:ascii="Arial" w:hAnsi="Arial"/>
          <w:sz w:val="22"/>
        </w:rPr>
        <w:t>The maximum assessable salary has increased sharply in recent years (from € 66,956 in 2023 to € 71,628 in 2024 and € 75,864 in 2025). In 2026 it will rise further to € 79,409. Thanks to the reduction in the percentages, however, the maximum Zvw contribution in 2026 will be lower than in 2025. The maximum contribution payable by an employer stood at € 4,938 (6.51% of € 75,864) in 2025, but this will fall to € 4,843 (6.10% of € 79,409) in 2026. The maximum contribution payable by persons subject to insurance who pay the contribution themselves came to € 3,990 (5.26% of € 75,864) in 2025. In 2026 this will decrease to € 3,851 (4.85% of € 79,409).</w:t>
      </w:r>
    </w:p>
    <w:p w14:paraId="3E6C0595" w14:textId="77777777" w:rsidR="00675333" w:rsidRDefault="00675333" w:rsidP="00FA36F2">
      <w:pPr>
        <w:pStyle w:val="Geenafstand"/>
        <w:rPr>
          <w:rFonts w:ascii="Arial" w:hAnsi="Arial" w:cs="Arial"/>
          <w:sz w:val="22"/>
          <w:szCs w:val="22"/>
        </w:rPr>
      </w:pPr>
    </w:p>
    <w:p w14:paraId="425AA00C" w14:textId="250262F6" w:rsidR="00675333" w:rsidRDefault="00675333" w:rsidP="00957F2F">
      <w:pPr>
        <w:pStyle w:val="Kop2"/>
        <w:ind w:hanging="283"/>
      </w:pPr>
      <w:r>
        <w:t>Aof contribution too high for years?</w:t>
      </w:r>
    </w:p>
    <w:p w14:paraId="02994AF6" w14:textId="77777777" w:rsidR="00675333" w:rsidRDefault="00675333" w:rsidP="00675333"/>
    <w:p w14:paraId="025BEB53" w14:textId="77777777" w:rsidR="00675333" w:rsidRPr="00675333" w:rsidRDefault="00675333" w:rsidP="00675333">
      <w:pPr>
        <w:rPr>
          <w:rFonts w:ascii="Arial" w:hAnsi="Arial" w:cs="Arial"/>
          <w:sz w:val="22"/>
          <w:szCs w:val="22"/>
        </w:rPr>
      </w:pPr>
      <w:r>
        <w:rPr>
          <w:rFonts w:ascii="Arial" w:hAnsi="Arial"/>
          <w:sz w:val="22"/>
        </w:rPr>
        <w:t>As an employer you pay an Invalidity Insurance Fund (Aof) contribution to the Tax and Customs Administration. The UWV funds a number of employee insurance schemes, such as incapacity for work (WAO) and sickness (ZW) benefits, out of this fund.</w:t>
      </w:r>
    </w:p>
    <w:p w14:paraId="1B5F8507" w14:textId="77777777" w:rsidR="00675333" w:rsidRDefault="00675333" w:rsidP="00675333">
      <w:pPr>
        <w:rPr>
          <w:rFonts w:ascii="Arial" w:hAnsi="Arial" w:cs="Arial"/>
          <w:sz w:val="22"/>
          <w:szCs w:val="22"/>
        </w:rPr>
      </w:pPr>
    </w:p>
    <w:p w14:paraId="3A7F2806" w14:textId="77777777" w:rsidR="00675333" w:rsidRPr="00432308" w:rsidRDefault="00675333" w:rsidP="00675333">
      <w:pPr>
        <w:rPr>
          <w:rFonts w:ascii="Arial" w:hAnsi="Arial" w:cs="Arial"/>
          <w:b/>
          <w:bCs/>
          <w:sz w:val="22"/>
          <w:szCs w:val="22"/>
        </w:rPr>
      </w:pPr>
      <w:r w:rsidRPr="00432308">
        <w:rPr>
          <w:rFonts w:ascii="Arial" w:hAnsi="Arial"/>
          <w:b/>
          <w:sz w:val="22"/>
        </w:rPr>
        <w:t>Contribution too high?</w:t>
      </w:r>
    </w:p>
    <w:p w14:paraId="3B2F4DCA" w14:textId="7132DC92" w:rsidR="00675333" w:rsidRPr="00432308" w:rsidRDefault="00594C73" w:rsidP="00675333">
      <w:pPr>
        <w:rPr>
          <w:rFonts w:ascii="Arial" w:hAnsi="Arial" w:cs="Arial"/>
          <w:sz w:val="22"/>
          <w:szCs w:val="22"/>
        </w:rPr>
      </w:pPr>
      <w:r w:rsidRPr="00432308">
        <w:rPr>
          <w:rFonts w:ascii="Arial" w:hAnsi="Arial"/>
          <w:sz w:val="22"/>
        </w:rPr>
        <w:t>Rumours are circulating that employers have been paying too much in Aof contributions for some years now. The Invalidity Insurance Fund is supposed to be based on a pay-as-you-go system. This means that the level of the contribution depends on the expenditure that is expected to have to be made out of the fund. The fund should not therefore have any structural surpluses. However, it is estimated that at the end of 2025 the Invalidity Insurance Fund had assets of € 40 billion.</w:t>
      </w:r>
    </w:p>
    <w:p w14:paraId="20C80F88" w14:textId="77777777" w:rsidR="00675333" w:rsidRPr="00432308" w:rsidRDefault="00675333" w:rsidP="00675333">
      <w:pPr>
        <w:rPr>
          <w:rFonts w:ascii="Arial" w:hAnsi="Arial" w:cs="Arial"/>
          <w:sz w:val="22"/>
          <w:szCs w:val="22"/>
        </w:rPr>
      </w:pPr>
    </w:p>
    <w:p w14:paraId="3608A362" w14:textId="77777777" w:rsidR="00675333" w:rsidRPr="00432308" w:rsidRDefault="00675333" w:rsidP="00675333">
      <w:pPr>
        <w:rPr>
          <w:rFonts w:ascii="Arial" w:hAnsi="Arial" w:cs="Arial"/>
          <w:b/>
          <w:bCs/>
          <w:sz w:val="22"/>
          <w:szCs w:val="22"/>
        </w:rPr>
      </w:pPr>
      <w:r w:rsidRPr="00432308">
        <w:rPr>
          <w:rFonts w:ascii="Arial" w:hAnsi="Arial"/>
          <w:b/>
          <w:sz w:val="22"/>
        </w:rPr>
        <w:t>Initiative</w:t>
      </w:r>
    </w:p>
    <w:p w14:paraId="0470AB51" w14:textId="77777777" w:rsidR="00675333" w:rsidRPr="00432308" w:rsidRDefault="00675333" w:rsidP="00675333">
      <w:pPr>
        <w:rPr>
          <w:rFonts w:ascii="Arial" w:hAnsi="Arial" w:cs="Arial"/>
          <w:sz w:val="22"/>
          <w:szCs w:val="22"/>
        </w:rPr>
      </w:pPr>
      <w:r w:rsidRPr="00432308">
        <w:rPr>
          <w:rFonts w:ascii="Arial" w:hAnsi="Arial"/>
          <w:sz w:val="22"/>
        </w:rPr>
        <w:t>An initiative has been launched with a view to claiming back the excess Aof contributions paid from the Tax and Customs Administration, by means of a class action. The parties behind the initiative claim that more than 20% of the Aof contributions paid were wrongfully charged.</w:t>
      </w:r>
    </w:p>
    <w:p w14:paraId="7168E531" w14:textId="77777777" w:rsidR="00675333" w:rsidRPr="00432308" w:rsidRDefault="00675333" w:rsidP="00675333">
      <w:pPr>
        <w:rPr>
          <w:rFonts w:ascii="Arial" w:hAnsi="Arial" w:cs="Arial"/>
          <w:sz w:val="22"/>
          <w:szCs w:val="22"/>
        </w:rPr>
      </w:pPr>
    </w:p>
    <w:p w14:paraId="602D6D6E" w14:textId="77777777" w:rsidR="00675333" w:rsidRPr="00432308" w:rsidRDefault="00675333" w:rsidP="00675333">
      <w:pPr>
        <w:rPr>
          <w:rFonts w:ascii="Arial" w:hAnsi="Arial" w:cs="Arial"/>
          <w:b/>
          <w:bCs/>
          <w:sz w:val="22"/>
          <w:szCs w:val="22"/>
        </w:rPr>
      </w:pPr>
      <w:r w:rsidRPr="00432308">
        <w:rPr>
          <w:rFonts w:ascii="Arial" w:hAnsi="Arial"/>
          <w:b/>
          <w:sz w:val="22"/>
        </w:rPr>
        <w:t>Opposing views</w:t>
      </w:r>
    </w:p>
    <w:p w14:paraId="49CBECB4" w14:textId="3D7F72CA" w:rsidR="00675333" w:rsidRPr="00275E68" w:rsidRDefault="00675333" w:rsidP="00675333">
      <w:pPr>
        <w:rPr>
          <w:rFonts w:ascii="Arial" w:hAnsi="Arial" w:cs="Arial"/>
          <w:sz w:val="22"/>
          <w:szCs w:val="22"/>
        </w:rPr>
      </w:pPr>
      <w:r w:rsidRPr="00432308">
        <w:rPr>
          <w:rFonts w:ascii="Arial" w:hAnsi="Arial"/>
          <w:sz w:val="22"/>
        </w:rPr>
        <w:t xml:space="preserve">Both the UWV and the Ministry of Social Affairs and Employment are arguing that the Aof contributions were not too high. </w:t>
      </w:r>
      <w:r w:rsidRPr="00432308">
        <w:rPr>
          <w:rFonts w:ascii="Arial" w:hAnsi="Arial"/>
          <w:i/>
          <w:sz w:val="22"/>
        </w:rPr>
        <w:t>De Telegraaf</w:t>
      </w:r>
      <w:r w:rsidRPr="00432308">
        <w:rPr>
          <w:rFonts w:ascii="Arial" w:hAnsi="Arial"/>
          <w:sz w:val="22"/>
        </w:rPr>
        <w:t xml:space="preserve"> reports that the UWV is claiming that it was not a pay-as-you-go system an</w:t>
      </w:r>
      <w:r>
        <w:rPr>
          <w:rFonts w:ascii="Arial" w:hAnsi="Arial"/>
          <w:sz w:val="22"/>
        </w:rPr>
        <w:t>d that the state had already switched over to a different system at the end of the 1990s. A professor of fiscal economics doubts that this is the case, according to</w:t>
      </w:r>
      <w:r>
        <w:rPr>
          <w:rFonts w:ascii="Arial" w:hAnsi="Arial"/>
          <w:i/>
          <w:sz w:val="22"/>
        </w:rPr>
        <w:t xml:space="preserve"> De Telegraaf</w:t>
      </w:r>
      <w:r>
        <w:rPr>
          <w:rFonts w:ascii="Arial" w:hAnsi="Arial"/>
          <w:sz w:val="22"/>
        </w:rPr>
        <w:t>.</w:t>
      </w:r>
      <w:r>
        <w:rPr>
          <w:rFonts w:ascii="Arial" w:hAnsi="Arial"/>
          <w:i/>
          <w:sz w:val="22"/>
        </w:rPr>
        <w:t xml:space="preserve"> De Telegraaf</w:t>
      </w:r>
      <w:r>
        <w:rPr>
          <w:rFonts w:ascii="Arial" w:hAnsi="Arial"/>
          <w:sz w:val="22"/>
        </w:rPr>
        <w:t xml:space="preserve"> also reports that the Ministry of Social Affairs and Employment is asserting that the Invalidity Insurance Fund can also be used to fill other gaps. The contribution therefore also went up in 2025 to cover the scrapping of the proposed increase in VAT on cultural activities, for example.</w:t>
      </w:r>
    </w:p>
    <w:p w14:paraId="2F4483C4" w14:textId="77777777" w:rsidR="00675333" w:rsidRPr="00275E68" w:rsidRDefault="00675333" w:rsidP="00675333">
      <w:pPr>
        <w:rPr>
          <w:rFonts w:ascii="Arial" w:hAnsi="Arial" w:cs="Arial"/>
          <w:sz w:val="22"/>
          <w:szCs w:val="22"/>
        </w:rPr>
      </w:pPr>
    </w:p>
    <w:p w14:paraId="727FCFE4" w14:textId="77777777" w:rsidR="00675333" w:rsidRPr="00675333" w:rsidRDefault="00675333" w:rsidP="00675333">
      <w:pPr>
        <w:rPr>
          <w:rFonts w:ascii="Arial" w:hAnsi="Arial" w:cs="Arial"/>
          <w:b/>
          <w:bCs/>
          <w:sz w:val="22"/>
          <w:szCs w:val="22"/>
        </w:rPr>
      </w:pPr>
      <w:r>
        <w:rPr>
          <w:rFonts w:ascii="Arial" w:hAnsi="Arial"/>
          <w:b/>
          <w:sz w:val="22"/>
        </w:rPr>
        <w:t>What now?</w:t>
      </w:r>
    </w:p>
    <w:p w14:paraId="2C5747EE" w14:textId="42EAB132" w:rsidR="00675333" w:rsidRPr="00275E68" w:rsidRDefault="00675333" w:rsidP="00675333">
      <w:pPr>
        <w:rPr>
          <w:rFonts w:ascii="Arial" w:hAnsi="Arial" w:cs="Arial"/>
          <w:sz w:val="22"/>
          <w:szCs w:val="22"/>
        </w:rPr>
      </w:pPr>
      <w:r>
        <w:rPr>
          <w:rFonts w:ascii="Arial" w:hAnsi="Arial"/>
          <w:sz w:val="22"/>
        </w:rPr>
        <w:t>The question now is whether it is a good idea to join this initiative. This is a matter that you will have to weigh up for yourself. If you are in any doubt, please contact our advisors, who will help you come to an informed decision.</w:t>
      </w:r>
    </w:p>
    <w:p w14:paraId="2B6F30BB" w14:textId="77777777" w:rsidR="00675333" w:rsidRPr="00275E68" w:rsidRDefault="00675333" w:rsidP="00675333">
      <w:pPr>
        <w:rPr>
          <w:rFonts w:ascii="Arial" w:hAnsi="Arial" w:cs="Arial"/>
          <w:sz w:val="22"/>
          <w:szCs w:val="22"/>
        </w:rPr>
      </w:pPr>
    </w:p>
    <w:p w14:paraId="63AD4368" w14:textId="77777777" w:rsidR="00675333" w:rsidRPr="00764495" w:rsidRDefault="00675333" w:rsidP="00764495">
      <w:pPr>
        <w:shd w:val="clear" w:color="auto" w:fill="D9D9D9" w:themeFill="background1" w:themeFillShade="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b/>
          <w:sz w:val="22"/>
          <w:szCs w:val="22"/>
        </w:rPr>
      </w:pPr>
      <w:r>
        <w:rPr>
          <w:rFonts w:ascii="Arial" w:hAnsi="Arial"/>
          <w:b/>
          <w:sz w:val="22"/>
        </w:rPr>
        <w:t>Please note:</w:t>
      </w:r>
    </w:p>
    <w:p w14:paraId="5068993D" w14:textId="31412636" w:rsidR="00675333" w:rsidRPr="00764495" w:rsidRDefault="00675333" w:rsidP="00764495">
      <w:pPr>
        <w:shd w:val="clear" w:color="auto" w:fill="D9D9D9" w:themeFill="background1" w:themeFillShade="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bCs/>
          <w:sz w:val="22"/>
          <w:szCs w:val="22"/>
        </w:rPr>
      </w:pPr>
      <w:r>
        <w:rPr>
          <w:rFonts w:ascii="Arial" w:hAnsi="Arial"/>
          <w:sz w:val="22"/>
        </w:rPr>
        <w:t>Please be aware that the parties behind the initiative are asking for a contribution from anyone wishing to join it. That means it is not without cost and there is, of course, no guarantee of success.</w:t>
      </w:r>
    </w:p>
    <w:p w14:paraId="097A2C26" w14:textId="07DE761F" w:rsidR="0017379E" w:rsidRDefault="0017379E">
      <w:pPr>
        <w:rPr>
          <w:rFonts w:ascii="Arial" w:hAnsi="Arial" w:cs="Arial"/>
          <w:sz w:val="22"/>
          <w:szCs w:val="22"/>
        </w:rPr>
      </w:pPr>
    </w:p>
    <w:p w14:paraId="3D4145AF" w14:textId="77777777" w:rsidR="00A46BD4" w:rsidRDefault="00A46BD4" w:rsidP="00957F2F">
      <w:pPr>
        <w:pStyle w:val="Kop2"/>
        <w:ind w:hanging="283"/>
        <w:rPr>
          <w:rFonts w:cs="Arial"/>
          <w:bCs/>
          <w:szCs w:val="24"/>
        </w:rPr>
      </w:pPr>
      <w:r>
        <w:t>What salary is free of tax in the event of an employee’s death?</w:t>
      </w:r>
    </w:p>
    <w:p w14:paraId="0B7BF087" w14:textId="77777777" w:rsidR="00A46BD4" w:rsidRPr="00A46BD4" w:rsidRDefault="00A46BD4" w:rsidP="00A46BD4">
      <w:pPr>
        <w:rPr>
          <w:rFonts w:ascii="Arial" w:hAnsi="Arial" w:cs="Arial"/>
          <w:sz w:val="22"/>
          <w:szCs w:val="22"/>
          <w:lang w:eastAsia="en-US"/>
        </w:rPr>
      </w:pPr>
    </w:p>
    <w:p w14:paraId="0C1B2EE9" w14:textId="77777777" w:rsidR="00A46BD4" w:rsidRDefault="00A46BD4" w:rsidP="00A46BD4">
      <w:pPr>
        <w:rPr>
          <w:rFonts w:ascii="Arial" w:hAnsi="Arial" w:cs="Arial"/>
          <w:sz w:val="22"/>
          <w:szCs w:val="22"/>
        </w:rPr>
      </w:pPr>
      <w:r>
        <w:rPr>
          <w:rFonts w:ascii="Arial" w:hAnsi="Arial"/>
          <w:sz w:val="22"/>
        </w:rPr>
        <w:t>In the event of an employee’s death you are allowed to make a one-off payment. This is untaxed, provided that it does not exceed three times the employee’s monthly salary.</w:t>
      </w:r>
    </w:p>
    <w:p w14:paraId="2FF5F2EF" w14:textId="77777777" w:rsidR="00A46BD4" w:rsidRPr="00A46BD4" w:rsidRDefault="00A46BD4" w:rsidP="00A46BD4">
      <w:pPr>
        <w:rPr>
          <w:rFonts w:ascii="Arial" w:hAnsi="Arial" w:cs="Arial"/>
          <w:sz w:val="22"/>
          <w:szCs w:val="22"/>
          <w:lang w:eastAsia="en-US"/>
        </w:rPr>
      </w:pPr>
    </w:p>
    <w:p w14:paraId="09E34D15" w14:textId="77777777" w:rsidR="00A46BD4" w:rsidRPr="00A46BD4" w:rsidRDefault="00A46BD4" w:rsidP="00A46BD4">
      <w:pPr>
        <w:shd w:val="clear" w:color="auto" w:fill="D9D9D9" w:themeFill="background1" w:themeFillShade="D9"/>
        <w:rPr>
          <w:rFonts w:ascii="Arial" w:hAnsi="Arial" w:cs="Arial"/>
          <w:sz w:val="22"/>
          <w:szCs w:val="22"/>
        </w:rPr>
      </w:pPr>
      <w:r>
        <w:rPr>
          <w:rFonts w:ascii="Arial" w:hAnsi="Arial"/>
          <w:b/>
          <w:sz w:val="22"/>
        </w:rPr>
        <w:t>Tip:</w:t>
      </w:r>
      <w:r>
        <w:rPr>
          <w:rFonts w:ascii="Arial" w:hAnsi="Arial"/>
          <w:sz w:val="22"/>
        </w:rPr>
        <w:br/>
        <w:t>Such a tax-free payment may also be made to an employee in the event of the death of his/her partner, child or foster child.</w:t>
      </w:r>
    </w:p>
    <w:p w14:paraId="36F84D22" w14:textId="77777777" w:rsidR="00A46BD4" w:rsidRDefault="00A46BD4" w:rsidP="00A46BD4">
      <w:pPr>
        <w:rPr>
          <w:rFonts w:ascii="Arial" w:hAnsi="Arial" w:cs="Arial"/>
          <w:b/>
          <w:bCs/>
          <w:sz w:val="22"/>
          <w:szCs w:val="22"/>
          <w:lang w:eastAsia="en-US"/>
        </w:rPr>
      </w:pPr>
    </w:p>
    <w:p w14:paraId="1AFB71A5" w14:textId="77777777" w:rsidR="00A46BD4" w:rsidRDefault="00A46BD4" w:rsidP="00A46BD4">
      <w:pPr>
        <w:rPr>
          <w:rFonts w:ascii="Arial" w:hAnsi="Arial" w:cs="Arial"/>
          <w:b/>
          <w:bCs/>
          <w:sz w:val="22"/>
          <w:szCs w:val="22"/>
        </w:rPr>
      </w:pPr>
      <w:r>
        <w:rPr>
          <w:rFonts w:ascii="Arial" w:hAnsi="Arial"/>
          <w:b/>
          <w:sz w:val="22"/>
        </w:rPr>
        <w:t>What is the monthly salary?</w:t>
      </w:r>
    </w:p>
    <w:p w14:paraId="7010C716" w14:textId="27998812" w:rsidR="00A46BD4" w:rsidRDefault="00A46BD4" w:rsidP="00A46BD4">
      <w:pPr>
        <w:rPr>
          <w:rFonts w:ascii="Arial" w:hAnsi="Arial" w:cs="Arial"/>
          <w:sz w:val="22"/>
          <w:szCs w:val="22"/>
        </w:rPr>
      </w:pPr>
      <w:r>
        <w:rPr>
          <w:rFonts w:ascii="Arial" w:hAnsi="Arial"/>
          <w:sz w:val="22"/>
        </w:rPr>
        <w:t xml:space="preserve">The Tax and Customs Administration was </w:t>
      </w:r>
      <w:hyperlink r:id="rId14" w:history="1">
        <w:r>
          <w:rPr>
            <w:rStyle w:val="Hyperlink"/>
            <w:rFonts w:ascii="Arial" w:hAnsi="Arial"/>
            <w:sz w:val="22"/>
          </w:rPr>
          <w:t>asked</w:t>
        </w:r>
      </w:hyperlink>
      <w:r>
        <w:rPr>
          <w:rFonts w:ascii="Arial" w:hAnsi="Arial"/>
          <w:sz w:val="22"/>
        </w:rPr>
        <w:t xml:space="preserve"> to clarify what the monthly salary is for the purposes of this scheme in the following situation. An employer reduces an employee’s salary to 70% of his gross monthly salary with effect from 1 August, as the employee has been sick for more than 52 weeks. On 15 August the employer promises all employees an increase in their gross monthly salary from 1 October. The employee dies on 20 August.</w:t>
      </w:r>
    </w:p>
    <w:p w14:paraId="365F643E" w14:textId="77777777" w:rsidR="00A46BD4" w:rsidRDefault="00A46BD4" w:rsidP="00A46BD4">
      <w:pPr>
        <w:rPr>
          <w:rFonts w:ascii="Arial" w:hAnsi="Arial" w:cs="Arial"/>
          <w:sz w:val="22"/>
          <w:szCs w:val="22"/>
          <w:lang w:eastAsia="en-US"/>
        </w:rPr>
      </w:pPr>
    </w:p>
    <w:p w14:paraId="1EBE9AE0" w14:textId="77777777" w:rsidR="00A46BD4" w:rsidRDefault="00A46BD4" w:rsidP="00A46BD4">
      <w:pPr>
        <w:rPr>
          <w:rFonts w:ascii="Arial" w:hAnsi="Arial" w:cs="Arial"/>
          <w:b/>
          <w:bCs/>
          <w:sz w:val="22"/>
          <w:szCs w:val="22"/>
        </w:rPr>
      </w:pPr>
      <w:r>
        <w:rPr>
          <w:rFonts w:ascii="Arial" w:hAnsi="Arial"/>
          <w:b/>
          <w:sz w:val="22"/>
        </w:rPr>
        <w:t>1/12 of the gross annual salary</w:t>
      </w:r>
    </w:p>
    <w:p w14:paraId="4EB29A7E" w14:textId="0136649D" w:rsidR="00A46BD4" w:rsidRDefault="00A46BD4" w:rsidP="00A46BD4">
      <w:pPr>
        <w:rPr>
          <w:rFonts w:ascii="Arial" w:hAnsi="Arial" w:cs="Arial"/>
          <w:sz w:val="22"/>
          <w:szCs w:val="22"/>
        </w:rPr>
      </w:pPr>
      <w:r>
        <w:rPr>
          <w:rFonts w:ascii="Arial" w:hAnsi="Arial"/>
          <w:sz w:val="22"/>
        </w:rPr>
        <w:t xml:space="preserve">The Tax and Customs Administration says that, in principle, the calculation of the monthly salary should be based on 1/12 of the employee’s regular gross annual salary. This not only includes the salary already received, but also any salary yet to be paid out in a year. For this reason, both the reduction to 70% of the gross monthly salary and the promised increase in monthly salary from 1 October must be </w:t>
      </w:r>
      <w:proofErr w:type="gramStart"/>
      <w:r>
        <w:rPr>
          <w:rFonts w:ascii="Arial" w:hAnsi="Arial"/>
          <w:sz w:val="22"/>
        </w:rPr>
        <w:t>taken into account</w:t>
      </w:r>
      <w:proofErr w:type="gramEnd"/>
      <w:r>
        <w:rPr>
          <w:rFonts w:ascii="Arial" w:hAnsi="Arial"/>
          <w:sz w:val="22"/>
        </w:rPr>
        <w:t>.</w:t>
      </w:r>
    </w:p>
    <w:p w14:paraId="79B6711B" w14:textId="77777777" w:rsidR="00A46BD4" w:rsidRPr="00A46BD4" w:rsidRDefault="00A46BD4" w:rsidP="00A46BD4">
      <w:pPr>
        <w:rPr>
          <w:rFonts w:ascii="Arial" w:hAnsi="Arial" w:cs="Arial"/>
          <w:b/>
          <w:bCs/>
          <w:sz w:val="22"/>
          <w:szCs w:val="22"/>
          <w:lang w:eastAsia="en-US"/>
        </w:rPr>
      </w:pPr>
    </w:p>
    <w:p w14:paraId="4B0019E3" w14:textId="77777777" w:rsidR="00A46BD4" w:rsidRDefault="00A46BD4" w:rsidP="00A46BD4">
      <w:pPr>
        <w:rPr>
          <w:rFonts w:ascii="Arial" w:hAnsi="Arial" w:cs="Arial"/>
          <w:b/>
          <w:bCs/>
          <w:sz w:val="22"/>
          <w:szCs w:val="22"/>
        </w:rPr>
      </w:pPr>
      <w:r>
        <w:rPr>
          <w:rFonts w:ascii="Arial" w:hAnsi="Arial"/>
          <w:b/>
          <w:sz w:val="22"/>
        </w:rPr>
        <w:t>What else forms part of the annual salary?</w:t>
      </w:r>
    </w:p>
    <w:p w14:paraId="34DDA539" w14:textId="0F706BEE" w:rsidR="00A46BD4" w:rsidRPr="00A46BD4" w:rsidRDefault="00A46BD4" w:rsidP="00A46BD4">
      <w:pPr>
        <w:rPr>
          <w:rFonts w:ascii="Arial" w:hAnsi="Arial" w:cs="Arial"/>
          <w:b/>
          <w:bCs/>
          <w:sz w:val="22"/>
          <w:szCs w:val="22"/>
        </w:rPr>
      </w:pPr>
      <w:r>
        <w:rPr>
          <w:rFonts w:ascii="Arial" w:hAnsi="Arial"/>
          <w:sz w:val="22"/>
        </w:rPr>
        <w:t xml:space="preserve">When calculating the monthly </w:t>
      </w:r>
      <w:proofErr w:type="gramStart"/>
      <w:r>
        <w:rPr>
          <w:rFonts w:ascii="Arial" w:hAnsi="Arial"/>
          <w:sz w:val="22"/>
        </w:rPr>
        <w:t>salary</w:t>
      </w:r>
      <w:proofErr w:type="gramEnd"/>
      <w:r>
        <w:rPr>
          <w:rFonts w:ascii="Arial" w:hAnsi="Arial"/>
          <w:sz w:val="22"/>
        </w:rPr>
        <w:t xml:space="preserve"> you can also </w:t>
      </w:r>
      <w:proofErr w:type="gramStart"/>
      <w:r>
        <w:rPr>
          <w:rFonts w:ascii="Arial" w:hAnsi="Arial"/>
          <w:sz w:val="22"/>
        </w:rPr>
        <w:t>take into account</w:t>
      </w:r>
      <w:proofErr w:type="gramEnd"/>
      <w:r>
        <w:rPr>
          <w:rFonts w:ascii="Arial" w:hAnsi="Arial"/>
          <w:sz w:val="22"/>
        </w:rPr>
        <w:t xml:space="preserve"> the monthly holiday allowance accrued and other regular, guaranteed (special) remuneration, such as </w:t>
      </w:r>
      <w:proofErr w:type="gramStart"/>
      <w:r>
        <w:rPr>
          <w:rFonts w:ascii="Arial" w:hAnsi="Arial"/>
          <w:sz w:val="22"/>
        </w:rPr>
        <w:t>thirteenth-month</w:t>
      </w:r>
      <w:proofErr w:type="gramEnd"/>
      <w:r>
        <w:rPr>
          <w:rFonts w:ascii="Arial" w:hAnsi="Arial"/>
          <w:sz w:val="22"/>
        </w:rPr>
        <w:t xml:space="preserve"> pay. The addition to taxable income for private use of a company car can also be included.</w:t>
      </w:r>
    </w:p>
    <w:p w14:paraId="02830740" w14:textId="77777777" w:rsidR="00A46BD4" w:rsidRDefault="00A46BD4" w:rsidP="00A46BD4">
      <w:pPr>
        <w:rPr>
          <w:rFonts w:ascii="Arial" w:hAnsi="Arial" w:cs="Arial"/>
          <w:b/>
          <w:bCs/>
          <w:sz w:val="22"/>
          <w:szCs w:val="22"/>
          <w:lang w:eastAsia="en-US"/>
        </w:rPr>
      </w:pPr>
    </w:p>
    <w:p w14:paraId="36184031" w14:textId="7B6C3D92" w:rsidR="00A46BD4" w:rsidRPr="00A46BD4" w:rsidRDefault="00A46BD4" w:rsidP="00A46BD4">
      <w:pPr>
        <w:shd w:val="clear" w:color="auto" w:fill="D9D9D9" w:themeFill="background1" w:themeFillShade="D9"/>
        <w:rPr>
          <w:rFonts w:ascii="Arial" w:hAnsi="Arial" w:cs="Arial"/>
          <w:sz w:val="22"/>
          <w:szCs w:val="22"/>
        </w:rPr>
      </w:pPr>
      <w:r>
        <w:rPr>
          <w:rFonts w:ascii="Arial" w:hAnsi="Arial"/>
          <w:b/>
          <w:sz w:val="22"/>
        </w:rPr>
        <w:t>Please note:</w:t>
      </w:r>
      <w:r>
        <w:rPr>
          <w:rFonts w:ascii="Arial" w:hAnsi="Arial"/>
          <w:b/>
          <w:sz w:val="22"/>
        </w:rPr>
        <w:br/>
      </w:r>
      <w:r>
        <w:rPr>
          <w:rFonts w:ascii="Arial" w:hAnsi="Arial"/>
          <w:sz w:val="22"/>
        </w:rPr>
        <w:t xml:space="preserve">Profit-sharing bonuses and special forms of remuneration that are not guaranteed may not be </w:t>
      </w:r>
      <w:proofErr w:type="gramStart"/>
      <w:r>
        <w:rPr>
          <w:rFonts w:ascii="Arial" w:hAnsi="Arial"/>
          <w:sz w:val="22"/>
        </w:rPr>
        <w:t>taken into account</w:t>
      </w:r>
      <w:proofErr w:type="gramEnd"/>
      <w:r>
        <w:rPr>
          <w:rFonts w:ascii="Arial" w:hAnsi="Arial"/>
          <w:sz w:val="22"/>
        </w:rPr>
        <w:t>.</w:t>
      </w:r>
    </w:p>
    <w:p w14:paraId="0C45D119" w14:textId="77777777" w:rsidR="00A46BD4" w:rsidRDefault="00A46BD4" w:rsidP="00A46BD4">
      <w:pPr>
        <w:rPr>
          <w:rFonts w:ascii="Arial" w:hAnsi="Arial" w:cs="Arial"/>
          <w:b/>
          <w:bCs/>
          <w:sz w:val="22"/>
          <w:szCs w:val="22"/>
          <w:lang w:eastAsia="en-US"/>
        </w:rPr>
      </w:pPr>
    </w:p>
    <w:p w14:paraId="5B637263" w14:textId="2892369C" w:rsidR="00A46BD4" w:rsidRPr="00657141" w:rsidRDefault="00A46BD4" w:rsidP="00A46BD4">
      <w:pPr>
        <w:rPr>
          <w:rFonts w:ascii="Arial" w:hAnsi="Arial" w:cs="Arial"/>
          <w:i/>
          <w:iCs/>
          <w:sz w:val="22"/>
          <w:szCs w:val="22"/>
        </w:rPr>
      </w:pPr>
      <w:r>
        <w:rPr>
          <w:rFonts w:ascii="Arial" w:hAnsi="Arial"/>
          <w:i/>
          <w:sz w:val="22"/>
        </w:rPr>
        <w:t>Example</w:t>
      </w:r>
      <w:r>
        <w:rPr>
          <w:rFonts w:ascii="Arial" w:hAnsi="Arial"/>
          <w:b/>
          <w:i/>
          <w:sz w:val="22"/>
        </w:rPr>
        <w:br/>
      </w:r>
      <w:r>
        <w:rPr>
          <w:rFonts w:ascii="Arial" w:hAnsi="Arial"/>
          <w:i/>
          <w:sz w:val="22"/>
        </w:rPr>
        <w:t>An employee’s monthly salary up to the end of July amounts to € 4,000. From 1 August the employer restricts the payment of this salary to 70% (€ 2,800), as the employee has been sick for more than 52 weeks. On 15 August the employer promises all employees a 5% pay rise. The employee dies on 20 August.</w:t>
      </w:r>
    </w:p>
    <w:p w14:paraId="5F4FC2FE" w14:textId="77777777" w:rsidR="00A46BD4" w:rsidRPr="00A46BD4" w:rsidRDefault="00A46BD4" w:rsidP="00A46BD4">
      <w:pPr>
        <w:rPr>
          <w:rFonts w:ascii="Arial" w:hAnsi="Arial" w:cs="Arial"/>
          <w:sz w:val="22"/>
          <w:szCs w:val="22"/>
          <w:lang w:eastAsia="en-US"/>
        </w:rPr>
      </w:pPr>
    </w:p>
    <w:p w14:paraId="112830F6" w14:textId="77777777" w:rsidR="00A46BD4" w:rsidRDefault="00A46BD4" w:rsidP="00A46BD4">
      <w:pPr>
        <w:rPr>
          <w:rFonts w:ascii="Arial" w:hAnsi="Arial" w:cs="Arial"/>
          <w:sz w:val="22"/>
          <w:szCs w:val="22"/>
        </w:rPr>
      </w:pPr>
      <w:r>
        <w:rPr>
          <w:rFonts w:ascii="Arial" w:hAnsi="Arial"/>
          <w:sz w:val="22"/>
        </w:rPr>
        <w:t>In this case one twelfth of the annual salary amounts to € 3,535 (1/12 of 7 x € 4,000 + 2 * € 2,800 + 3 * € 2,940). As a result of the employee’s death, the employer can therefore make a tax-free payment of no more than € 10,605 (3 x € 3,535).</w:t>
      </w:r>
    </w:p>
    <w:p w14:paraId="4E3AAA15" w14:textId="77777777" w:rsidR="00A46BD4" w:rsidRPr="00A46BD4" w:rsidRDefault="00A46BD4" w:rsidP="00A46BD4">
      <w:pPr>
        <w:rPr>
          <w:rFonts w:ascii="Arial" w:hAnsi="Arial" w:cs="Arial"/>
          <w:sz w:val="22"/>
          <w:szCs w:val="22"/>
          <w:lang w:eastAsia="en-US"/>
        </w:rPr>
      </w:pPr>
    </w:p>
    <w:p w14:paraId="4DEAFD8C" w14:textId="77777777" w:rsidR="00A46BD4" w:rsidRPr="00A46BD4" w:rsidRDefault="00A46BD4" w:rsidP="00A46BD4">
      <w:pPr>
        <w:shd w:val="clear" w:color="auto" w:fill="D9D9D9" w:themeFill="background1" w:themeFillShade="D9"/>
        <w:rPr>
          <w:rFonts w:ascii="Arial" w:hAnsi="Arial" w:cs="Arial"/>
          <w:sz w:val="22"/>
          <w:szCs w:val="22"/>
        </w:rPr>
      </w:pPr>
      <w:r>
        <w:rPr>
          <w:rFonts w:ascii="Arial" w:hAnsi="Arial"/>
          <w:b/>
          <w:sz w:val="22"/>
        </w:rPr>
        <w:t>Please note:</w:t>
      </w:r>
      <w:r>
        <w:rPr>
          <w:rFonts w:ascii="Arial" w:hAnsi="Arial"/>
          <w:sz w:val="22"/>
        </w:rPr>
        <w:br/>
        <w:t xml:space="preserve">This is a simplified calculation and does not </w:t>
      </w:r>
      <w:proofErr w:type="gramStart"/>
      <w:r>
        <w:rPr>
          <w:rFonts w:ascii="Arial" w:hAnsi="Arial"/>
          <w:sz w:val="22"/>
        </w:rPr>
        <w:t>take into account</w:t>
      </w:r>
      <w:proofErr w:type="gramEnd"/>
      <w:r>
        <w:rPr>
          <w:rFonts w:ascii="Arial" w:hAnsi="Arial"/>
          <w:sz w:val="22"/>
        </w:rPr>
        <w:t xml:space="preserve"> 1/12 of the annual holiday allowance, 1/12 of any guaranteed thirteenth-month pay or any addition to taxable income for private use of a company car. In reality, the tax-free amount could therefore be higher.</w:t>
      </w:r>
    </w:p>
    <w:p w14:paraId="58EA99DD" w14:textId="77777777" w:rsidR="00A46BD4" w:rsidRDefault="00A46BD4" w:rsidP="00A46BD4">
      <w:pPr>
        <w:rPr>
          <w:rFonts w:ascii="Arial" w:hAnsi="Arial" w:cs="Arial"/>
          <w:sz w:val="22"/>
          <w:szCs w:val="22"/>
          <w:lang w:eastAsia="en-US"/>
        </w:rPr>
      </w:pPr>
    </w:p>
    <w:p w14:paraId="41DC2479" w14:textId="77777777" w:rsidR="0080169D" w:rsidRDefault="0080169D" w:rsidP="00A46BD4">
      <w:pPr>
        <w:rPr>
          <w:rFonts w:ascii="Arial" w:hAnsi="Arial" w:cs="Arial"/>
          <w:sz w:val="22"/>
          <w:szCs w:val="22"/>
          <w:lang w:eastAsia="en-US"/>
        </w:rPr>
      </w:pPr>
    </w:p>
    <w:p w14:paraId="381BCFA1" w14:textId="57BA251C" w:rsidR="003D2E3F" w:rsidRDefault="003D2E3F" w:rsidP="00957F2F">
      <w:pPr>
        <w:pStyle w:val="Kop2"/>
        <w:ind w:hanging="283"/>
        <w:rPr>
          <w:rFonts w:cs="Arial"/>
          <w:bCs/>
          <w:kern w:val="2"/>
          <w:szCs w:val="24"/>
        </w:rPr>
      </w:pPr>
      <w:r>
        <w:lastRenderedPageBreak/>
        <w:t>Deduction of more payroll tax at employee’s request</w:t>
      </w:r>
    </w:p>
    <w:p w14:paraId="23E1BF23" w14:textId="307C3379" w:rsidR="00562949" w:rsidRPr="00562949" w:rsidRDefault="00562949" w:rsidP="00562949">
      <w:pPr>
        <w:rPr>
          <w:lang w:eastAsia="en-US"/>
        </w:rPr>
      </w:pPr>
    </w:p>
    <w:p w14:paraId="6898E211" w14:textId="524F19DE" w:rsidR="003D2E3F" w:rsidRDefault="003D2E3F" w:rsidP="00562949">
      <w:pPr>
        <w:rPr>
          <w:rFonts w:ascii="Arial" w:hAnsi="Arial" w:cs="Arial"/>
          <w:sz w:val="22"/>
          <w:szCs w:val="22"/>
        </w:rPr>
      </w:pPr>
      <w:r>
        <w:rPr>
          <w:rFonts w:ascii="Arial" w:hAnsi="Arial"/>
          <w:sz w:val="22"/>
        </w:rPr>
        <w:t xml:space="preserve">If an employee holds a number of jobs at the same time, for example, the total amount of payroll tax deducted for these jobs may be lower than the amount the employee owes on the basis of his/her income tax assessment. This is due to the different bands that apply in the area of payroll and income tax, meaning that from a certain level of income a higher rate is charged (progressive rate). The different employers do not </w:t>
      </w:r>
      <w:proofErr w:type="gramStart"/>
      <w:r>
        <w:rPr>
          <w:rFonts w:ascii="Arial" w:hAnsi="Arial"/>
          <w:sz w:val="22"/>
        </w:rPr>
        <w:t>take into account</w:t>
      </w:r>
      <w:proofErr w:type="gramEnd"/>
      <w:r>
        <w:rPr>
          <w:rFonts w:ascii="Arial" w:hAnsi="Arial"/>
          <w:sz w:val="22"/>
        </w:rPr>
        <w:t xml:space="preserve"> the salaries paid for the other jobs, but for purposes of the income tax assessment these salaries are added together.</w:t>
      </w:r>
    </w:p>
    <w:p w14:paraId="3F5233F8" w14:textId="4CF77845" w:rsidR="00562949" w:rsidRPr="00562949" w:rsidRDefault="00562949" w:rsidP="00562949">
      <w:pPr>
        <w:rPr>
          <w:rFonts w:ascii="Arial" w:hAnsi="Arial" w:cs="Arial"/>
          <w:sz w:val="22"/>
          <w:szCs w:val="22"/>
          <w:lang w:eastAsia="en-US"/>
        </w:rPr>
      </w:pPr>
    </w:p>
    <w:p w14:paraId="4C258DA7" w14:textId="0F9E1E12" w:rsidR="003D2E3F" w:rsidRDefault="003D2E3F" w:rsidP="00562949">
      <w:pPr>
        <w:rPr>
          <w:rFonts w:ascii="Arial" w:hAnsi="Arial" w:cs="Arial"/>
          <w:sz w:val="22"/>
          <w:szCs w:val="22"/>
        </w:rPr>
      </w:pPr>
      <w:r>
        <w:rPr>
          <w:rFonts w:ascii="Arial" w:hAnsi="Arial"/>
          <w:sz w:val="22"/>
        </w:rPr>
        <w:t>To bring the payroll tax and income tax more into line, employees can ask their employer to deduct more payroll tax.</w:t>
      </w:r>
    </w:p>
    <w:p w14:paraId="00D11271" w14:textId="3FF441FA" w:rsidR="00562949" w:rsidRPr="00562949" w:rsidRDefault="00562949" w:rsidP="00562949">
      <w:pPr>
        <w:rPr>
          <w:rFonts w:ascii="Arial" w:hAnsi="Arial" w:cs="Arial"/>
          <w:sz w:val="22"/>
          <w:szCs w:val="22"/>
          <w:lang w:eastAsia="en-US"/>
        </w:rPr>
      </w:pPr>
    </w:p>
    <w:p w14:paraId="31FEDECE" w14:textId="7AE3C2AA" w:rsidR="00562949" w:rsidRPr="00764495" w:rsidRDefault="003D2E3F" w:rsidP="00764495">
      <w:pPr>
        <w:shd w:val="clear" w:color="auto" w:fill="D9D9D9" w:themeFill="background1" w:themeFillShade="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b/>
          <w:sz w:val="22"/>
          <w:szCs w:val="22"/>
        </w:rPr>
      </w:pPr>
      <w:r>
        <w:rPr>
          <w:rFonts w:ascii="Arial" w:hAnsi="Arial"/>
          <w:b/>
          <w:sz w:val="22"/>
        </w:rPr>
        <w:t>Please note:</w:t>
      </w:r>
    </w:p>
    <w:p w14:paraId="57B81396" w14:textId="5ED3C271" w:rsidR="003D2E3F" w:rsidRPr="00764495" w:rsidRDefault="003D2E3F" w:rsidP="00764495">
      <w:pPr>
        <w:shd w:val="clear" w:color="auto" w:fill="D9D9D9" w:themeFill="background1" w:themeFillShade="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bCs/>
          <w:sz w:val="22"/>
          <w:szCs w:val="22"/>
        </w:rPr>
      </w:pPr>
      <w:r>
        <w:rPr>
          <w:rFonts w:ascii="Arial" w:hAnsi="Arial"/>
          <w:sz w:val="22"/>
        </w:rPr>
        <w:t>The same situation can also arise if an employee has several pensions, if his/her salary has increased significantly from the previous year or if, in addition to receiving a pension, he/she also still works for an employer.</w:t>
      </w:r>
    </w:p>
    <w:p w14:paraId="17257215" w14:textId="7CD758C4" w:rsidR="00562949" w:rsidRDefault="00562949" w:rsidP="00562949">
      <w:pPr>
        <w:rPr>
          <w:rFonts w:ascii="Arial" w:hAnsi="Arial" w:cs="Arial"/>
          <w:sz w:val="22"/>
          <w:szCs w:val="22"/>
          <w:lang w:eastAsia="en-US"/>
        </w:rPr>
      </w:pPr>
    </w:p>
    <w:p w14:paraId="44746EE2" w14:textId="5DE6D16F" w:rsidR="00562949" w:rsidRDefault="003D2E3F" w:rsidP="00562949">
      <w:pPr>
        <w:rPr>
          <w:rFonts w:ascii="Arial" w:hAnsi="Arial" w:cs="Arial"/>
          <w:b/>
          <w:bCs/>
          <w:sz w:val="22"/>
          <w:szCs w:val="22"/>
        </w:rPr>
      </w:pPr>
      <w:r>
        <w:rPr>
          <w:rFonts w:ascii="Arial" w:hAnsi="Arial"/>
          <w:b/>
          <w:sz w:val="22"/>
        </w:rPr>
        <w:t>Only on request/with consent</w:t>
      </w:r>
    </w:p>
    <w:p w14:paraId="4BD44C1D" w14:textId="42810250" w:rsidR="003D2E3F" w:rsidRDefault="003D2E3F" w:rsidP="00562949">
      <w:pPr>
        <w:rPr>
          <w:rFonts w:ascii="Arial" w:hAnsi="Arial" w:cs="Arial"/>
          <w:sz w:val="22"/>
          <w:szCs w:val="22"/>
        </w:rPr>
      </w:pPr>
      <w:r>
        <w:rPr>
          <w:rFonts w:ascii="Arial" w:hAnsi="Arial"/>
          <w:sz w:val="22"/>
        </w:rPr>
        <w:t>Deducting more payroll tax than the calculation shown in the payroll tax tables is only permitted at the employee’s request or with his/her consent.</w:t>
      </w:r>
    </w:p>
    <w:p w14:paraId="3630BC61" w14:textId="6A428CEE" w:rsidR="00562949" w:rsidRPr="00562949" w:rsidRDefault="00562949" w:rsidP="00562949">
      <w:pPr>
        <w:rPr>
          <w:rFonts w:ascii="Arial" w:hAnsi="Arial" w:cs="Arial"/>
          <w:sz w:val="22"/>
          <w:szCs w:val="22"/>
          <w:lang w:eastAsia="en-US"/>
        </w:rPr>
      </w:pPr>
    </w:p>
    <w:p w14:paraId="20571FF1" w14:textId="33D7F10A" w:rsidR="00562949" w:rsidRDefault="003D2E3F" w:rsidP="00562949">
      <w:pPr>
        <w:rPr>
          <w:rFonts w:ascii="Arial" w:hAnsi="Arial" w:cs="Arial"/>
          <w:b/>
          <w:bCs/>
          <w:sz w:val="22"/>
          <w:szCs w:val="22"/>
        </w:rPr>
      </w:pPr>
      <w:r>
        <w:rPr>
          <w:rFonts w:ascii="Arial" w:hAnsi="Arial"/>
          <w:b/>
          <w:sz w:val="22"/>
        </w:rPr>
        <w:t>Not compulsory</w:t>
      </w:r>
    </w:p>
    <w:p w14:paraId="31272DE0" w14:textId="020CF5BC" w:rsidR="00275E68" w:rsidRDefault="003D2E3F" w:rsidP="00562949">
      <w:pPr>
        <w:rPr>
          <w:rFonts w:ascii="Arial" w:hAnsi="Arial" w:cs="Arial"/>
          <w:sz w:val="22"/>
          <w:szCs w:val="22"/>
        </w:rPr>
      </w:pPr>
      <w:r>
        <w:rPr>
          <w:rFonts w:ascii="Arial" w:hAnsi="Arial"/>
          <w:sz w:val="22"/>
        </w:rPr>
        <w:t>An employer is not obliged to comply with such a request from an employee. If an employer does not want to deduct more payroll tax and an employee nevertheless wants to avoid being confronted with an additional amount to be paid in his/her income tax assessment, the employee can always ask the Tax and Customs Administration him/herself to impose a provisional assessment.</w:t>
      </w:r>
    </w:p>
    <w:p w14:paraId="2437C9ED" w14:textId="463BE4F8" w:rsidR="00562949" w:rsidRPr="00562949" w:rsidRDefault="00562949" w:rsidP="00562949">
      <w:pPr>
        <w:rPr>
          <w:rFonts w:ascii="Arial" w:hAnsi="Arial" w:cs="Arial"/>
          <w:sz w:val="22"/>
          <w:szCs w:val="22"/>
          <w:lang w:eastAsia="en-US"/>
        </w:rPr>
      </w:pPr>
    </w:p>
    <w:p w14:paraId="19B634CE" w14:textId="2D5D7949" w:rsidR="00275E68" w:rsidRDefault="00B207A5" w:rsidP="00957F2F">
      <w:pPr>
        <w:pStyle w:val="Kop2"/>
        <w:ind w:hanging="283"/>
      </w:pPr>
      <w:r>
        <w:t>Objection against tax interest</w:t>
      </w:r>
    </w:p>
    <w:p w14:paraId="21F84785" w14:textId="77777777" w:rsidR="00B207A5" w:rsidRDefault="00B207A5" w:rsidP="00B207A5">
      <w:pPr>
        <w:rPr>
          <w:rFonts w:ascii="Arial" w:hAnsi="Arial" w:cs="Arial"/>
          <w:sz w:val="22"/>
          <w:szCs w:val="22"/>
        </w:rPr>
      </w:pPr>
    </w:p>
    <w:p w14:paraId="0DAAE790" w14:textId="1D780F86" w:rsidR="00B207A5" w:rsidRPr="00B207A5" w:rsidRDefault="00B207A5" w:rsidP="00B207A5">
      <w:pPr>
        <w:rPr>
          <w:rFonts w:ascii="Arial" w:hAnsi="Arial" w:cs="Arial"/>
          <w:sz w:val="22"/>
          <w:szCs w:val="22"/>
        </w:rPr>
      </w:pPr>
      <w:r>
        <w:rPr>
          <w:rFonts w:ascii="Arial" w:hAnsi="Arial"/>
          <w:sz w:val="22"/>
        </w:rPr>
        <w:t>If you are charged tax interest in an assessment, it is possible to lodge an objection against this. Following a district court judgment at the end of 2024, in the first half of 2025 all objections against tax interest were designated as a ‘mass objection’.</w:t>
      </w:r>
    </w:p>
    <w:p w14:paraId="70823D93" w14:textId="77777777" w:rsidR="00B207A5" w:rsidRPr="00B207A5" w:rsidRDefault="00B207A5" w:rsidP="00B207A5">
      <w:pPr>
        <w:rPr>
          <w:rFonts w:ascii="Arial" w:hAnsi="Arial" w:cs="Arial"/>
          <w:sz w:val="22"/>
          <w:szCs w:val="22"/>
        </w:rPr>
      </w:pPr>
    </w:p>
    <w:p w14:paraId="4F812E6E" w14:textId="77777777" w:rsidR="00B207A5" w:rsidRPr="005B3416" w:rsidRDefault="00B207A5" w:rsidP="00B207A5">
      <w:pPr>
        <w:rPr>
          <w:rFonts w:ascii="Arial" w:hAnsi="Arial" w:cs="Arial"/>
          <w:b/>
          <w:bCs/>
          <w:sz w:val="22"/>
          <w:szCs w:val="22"/>
        </w:rPr>
      </w:pPr>
      <w:r>
        <w:rPr>
          <w:rFonts w:ascii="Arial" w:hAnsi="Arial"/>
          <w:b/>
          <w:sz w:val="22"/>
        </w:rPr>
        <w:t>Tax interest contravenes principle of proportionality</w:t>
      </w:r>
    </w:p>
    <w:p w14:paraId="29DF1FE2" w14:textId="77777777" w:rsidR="00B207A5" w:rsidRPr="00B207A5" w:rsidRDefault="00B207A5" w:rsidP="00B207A5">
      <w:pPr>
        <w:rPr>
          <w:rFonts w:ascii="Arial" w:hAnsi="Arial" w:cs="Arial"/>
          <w:sz w:val="22"/>
          <w:szCs w:val="22"/>
        </w:rPr>
      </w:pPr>
      <w:r>
        <w:rPr>
          <w:rFonts w:ascii="Arial" w:hAnsi="Arial"/>
          <w:sz w:val="22"/>
        </w:rPr>
        <w:t>On 7 November 2024 the Northern Netherlands District Court ruled that the tax interest charged by the Tax and Customs Administration on corporation tax assessments contravened the principle of proportionality.</w:t>
      </w:r>
    </w:p>
    <w:p w14:paraId="6FD6E67C" w14:textId="77777777" w:rsidR="00B207A5" w:rsidRPr="00B207A5" w:rsidRDefault="00B207A5" w:rsidP="00B207A5">
      <w:pPr>
        <w:rPr>
          <w:rFonts w:ascii="Arial" w:hAnsi="Arial" w:cs="Arial"/>
          <w:sz w:val="22"/>
          <w:szCs w:val="22"/>
        </w:rPr>
      </w:pPr>
    </w:p>
    <w:p w14:paraId="22550488" w14:textId="77777777" w:rsidR="00B207A5" w:rsidRPr="005B3416" w:rsidRDefault="00B207A5" w:rsidP="00B207A5">
      <w:pPr>
        <w:rPr>
          <w:rFonts w:ascii="Arial" w:hAnsi="Arial" w:cs="Arial"/>
          <w:b/>
          <w:bCs/>
          <w:sz w:val="22"/>
          <w:szCs w:val="22"/>
        </w:rPr>
      </w:pPr>
      <w:r>
        <w:rPr>
          <w:rFonts w:ascii="Arial" w:hAnsi="Arial"/>
          <w:b/>
          <w:sz w:val="22"/>
        </w:rPr>
        <w:t>Designation as a ‘mass objection’</w:t>
      </w:r>
    </w:p>
    <w:p w14:paraId="329B9506" w14:textId="77777777" w:rsidR="00B207A5" w:rsidRDefault="00B207A5" w:rsidP="00B207A5">
      <w:pPr>
        <w:rPr>
          <w:rFonts w:ascii="Arial" w:hAnsi="Arial"/>
          <w:sz w:val="22"/>
        </w:rPr>
      </w:pPr>
      <w:r>
        <w:rPr>
          <w:rFonts w:ascii="Arial" w:hAnsi="Arial"/>
          <w:sz w:val="22"/>
        </w:rPr>
        <w:t xml:space="preserve">Following this judgment, a large number of objections against tax interest were submitted to the Tax and Customs Administration. Any objections lodged against tax interest charged from 1 October 2020 have therefore now been designated as a ‘mass objection’. This means that the Tax and Customs Administration will not </w:t>
      </w:r>
      <w:proofErr w:type="gramStart"/>
      <w:r>
        <w:rPr>
          <w:rFonts w:ascii="Arial" w:hAnsi="Arial"/>
          <w:sz w:val="22"/>
        </w:rPr>
        <w:t>make a decision</w:t>
      </w:r>
      <w:proofErr w:type="gramEnd"/>
      <w:r>
        <w:rPr>
          <w:rFonts w:ascii="Arial" w:hAnsi="Arial"/>
          <w:sz w:val="22"/>
        </w:rPr>
        <w:t xml:space="preserve"> on the objections for the time being and will instead defer these decisions. Once the various questions relating to tax interest have been answered definitively by the courts, the Tax and Customs Administration will then issue one collective decision covering all objections.</w:t>
      </w:r>
    </w:p>
    <w:p w14:paraId="280F2BCA" w14:textId="77777777" w:rsidR="0080169D" w:rsidRDefault="0080169D" w:rsidP="00B207A5">
      <w:pPr>
        <w:rPr>
          <w:rFonts w:ascii="Arial" w:hAnsi="Arial"/>
          <w:sz w:val="22"/>
        </w:rPr>
      </w:pPr>
    </w:p>
    <w:p w14:paraId="1B2F8BD2" w14:textId="77777777" w:rsidR="0080169D" w:rsidRPr="00B207A5" w:rsidRDefault="0080169D" w:rsidP="00B207A5">
      <w:pPr>
        <w:rPr>
          <w:rFonts w:ascii="Arial" w:hAnsi="Arial" w:cs="Arial"/>
          <w:sz w:val="22"/>
          <w:szCs w:val="22"/>
        </w:rPr>
      </w:pPr>
    </w:p>
    <w:p w14:paraId="15B0C2D3" w14:textId="77777777" w:rsidR="00B207A5" w:rsidRDefault="00B207A5" w:rsidP="00B207A5">
      <w:pPr>
        <w:rPr>
          <w:rFonts w:ascii="Arial" w:hAnsi="Arial" w:cs="Arial"/>
          <w:sz w:val="22"/>
          <w:szCs w:val="22"/>
        </w:rPr>
      </w:pPr>
    </w:p>
    <w:p w14:paraId="13A2E0CB" w14:textId="63C3757D" w:rsidR="00800FD3" w:rsidRPr="00800FD3" w:rsidRDefault="00800FD3" w:rsidP="00B207A5">
      <w:pPr>
        <w:rPr>
          <w:rFonts w:ascii="Arial" w:hAnsi="Arial" w:cs="Arial"/>
          <w:b/>
          <w:bCs/>
          <w:sz w:val="22"/>
          <w:szCs w:val="22"/>
        </w:rPr>
      </w:pPr>
      <w:r>
        <w:rPr>
          <w:rFonts w:ascii="Arial" w:hAnsi="Arial"/>
          <w:b/>
          <w:sz w:val="22"/>
        </w:rPr>
        <w:lastRenderedPageBreak/>
        <w:t>How high is the interest allowed to be?</w:t>
      </w:r>
    </w:p>
    <w:p w14:paraId="10FA985E" w14:textId="77777777" w:rsidR="00800FD3" w:rsidRDefault="00B207A5" w:rsidP="00800FD3">
      <w:pPr>
        <w:rPr>
          <w:rFonts w:ascii="Arial" w:hAnsi="Arial" w:cs="Arial"/>
          <w:sz w:val="22"/>
          <w:szCs w:val="22"/>
        </w:rPr>
      </w:pPr>
      <w:r>
        <w:rPr>
          <w:rFonts w:ascii="Arial" w:hAnsi="Arial"/>
          <w:sz w:val="22"/>
        </w:rPr>
        <w:t>The case ruled on by the Northern Netherlands District Court has already been brought before the Supreme Court. In an opinion, the Supreme Court’s advisor – the Advocate General (AG) – has stated that, in his view too, the interest rate applicable to corporation tax is non-binding and that the rules contravene the justification principle and the principle of proportionality.</w:t>
      </w:r>
    </w:p>
    <w:p w14:paraId="2B78B6C4" w14:textId="77777777" w:rsidR="00800FD3" w:rsidRDefault="00800FD3" w:rsidP="00800FD3">
      <w:pPr>
        <w:rPr>
          <w:rFonts w:ascii="Arial" w:hAnsi="Arial" w:cs="Arial"/>
          <w:sz w:val="22"/>
          <w:szCs w:val="22"/>
        </w:rPr>
      </w:pPr>
    </w:p>
    <w:p w14:paraId="09023A2A" w14:textId="77777777" w:rsidR="00800FD3" w:rsidRDefault="00D406BF" w:rsidP="00800FD3">
      <w:pPr>
        <w:rPr>
          <w:rFonts w:ascii="Arial" w:hAnsi="Arial" w:cs="Arial"/>
          <w:sz w:val="22"/>
          <w:szCs w:val="22"/>
        </w:rPr>
      </w:pPr>
      <w:r>
        <w:rPr>
          <w:rFonts w:ascii="Arial" w:hAnsi="Arial"/>
          <w:sz w:val="22"/>
        </w:rPr>
        <w:t>In his opinion the AG also tells the Supreme Court that it would be of great public benefit if the Supreme Court were also to rule on how high the interest charged on corporation tax and other taxes should be.</w:t>
      </w:r>
    </w:p>
    <w:p w14:paraId="425476F3" w14:textId="77777777" w:rsidR="00800FD3" w:rsidRDefault="00800FD3" w:rsidP="00800FD3">
      <w:pPr>
        <w:rPr>
          <w:rFonts w:ascii="Arial" w:hAnsi="Arial" w:cs="Arial"/>
          <w:sz w:val="22"/>
          <w:szCs w:val="22"/>
        </w:rPr>
      </w:pPr>
    </w:p>
    <w:p w14:paraId="392EE29B" w14:textId="60B87AD3" w:rsidR="00B207A5" w:rsidRDefault="00D406BF" w:rsidP="00800FD3">
      <w:pPr>
        <w:rPr>
          <w:rFonts w:ascii="Arial" w:hAnsi="Arial" w:cs="Arial"/>
          <w:sz w:val="22"/>
          <w:szCs w:val="22"/>
        </w:rPr>
      </w:pPr>
      <w:r>
        <w:rPr>
          <w:rFonts w:ascii="Arial" w:hAnsi="Arial"/>
          <w:sz w:val="22"/>
        </w:rPr>
        <w:t>The AG advises that a reasonable outcome would be to set the interest rate at the level of statutory non-commercial interest. This stood at 2% from 2015 to the end of 2022, 4% in the first half of 2023, 6% in the second half of 2023 and 7% in 2024. Since 1 January 2025 this interest has been charged at 6%.</w:t>
      </w:r>
    </w:p>
    <w:p w14:paraId="44BA335D" w14:textId="77777777" w:rsidR="00800FD3" w:rsidRDefault="00800FD3" w:rsidP="00800FD3">
      <w:pPr>
        <w:rPr>
          <w:rFonts w:ascii="Arial" w:hAnsi="Arial" w:cs="Arial"/>
          <w:sz w:val="22"/>
          <w:szCs w:val="22"/>
        </w:rPr>
      </w:pPr>
    </w:p>
    <w:p w14:paraId="6A3E0865" w14:textId="61441EB9" w:rsidR="00800FD3" w:rsidRDefault="00800FD3" w:rsidP="00800FD3">
      <w:pPr>
        <w:shd w:val="clear" w:color="auto" w:fill="D9D9D9" w:themeFill="background1" w:themeFillShade="D9"/>
        <w:rPr>
          <w:rFonts w:ascii="Arial" w:hAnsi="Arial" w:cs="Arial"/>
          <w:b/>
          <w:bCs/>
          <w:sz w:val="22"/>
          <w:szCs w:val="22"/>
        </w:rPr>
      </w:pPr>
      <w:r>
        <w:rPr>
          <w:rFonts w:ascii="Arial" w:hAnsi="Arial"/>
          <w:b/>
          <w:sz w:val="22"/>
        </w:rPr>
        <w:t>Please note:</w:t>
      </w:r>
    </w:p>
    <w:p w14:paraId="0A9B6363" w14:textId="45095791" w:rsidR="00800FD3" w:rsidRPr="00800FD3" w:rsidRDefault="00800FD3" w:rsidP="00800FD3">
      <w:pPr>
        <w:shd w:val="clear" w:color="auto" w:fill="D9D9D9" w:themeFill="background1" w:themeFillShade="D9"/>
        <w:rPr>
          <w:rFonts w:ascii="Arial" w:hAnsi="Arial" w:cs="Arial"/>
          <w:sz w:val="22"/>
          <w:szCs w:val="22"/>
        </w:rPr>
      </w:pPr>
      <w:r>
        <w:rPr>
          <w:rFonts w:ascii="Arial" w:hAnsi="Arial"/>
          <w:sz w:val="22"/>
        </w:rPr>
        <w:t>The Supreme Court will come to its own decision and is not obliged to follow the opinion of the AG. We will therefore have to wait and see whether the Supreme Court also takes the view that the interest rate is non-binding and whether it comments on the level at which such interest may be charged.</w:t>
      </w:r>
    </w:p>
    <w:p w14:paraId="746A46FB" w14:textId="159C10CD" w:rsidR="00B207A5" w:rsidRDefault="00B207A5" w:rsidP="00B207A5">
      <w:pPr>
        <w:rPr>
          <w:rFonts w:ascii="Arial" w:hAnsi="Arial" w:cs="Arial"/>
          <w:sz w:val="22"/>
          <w:szCs w:val="22"/>
        </w:rPr>
      </w:pPr>
    </w:p>
    <w:p w14:paraId="2C31FD13" w14:textId="77777777" w:rsidR="00B207A5" w:rsidRPr="0058268E" w:rsidRDefault="00B207A5" w:rsidP="00B207A5">
      <w:pPr>
        <w:rPr>
          <w:rFonts w:ascii="Arial" w:hAnsi="Arial" w:cs="Arial"/>
          <w:b/>
          <w:bCs/>
          <w:sz w:val="22"/>
          <w:szCs w:val="22"/>
        </w:rPr>
      </w:pPr>
      <w:r>
        <w:rPr>
          <w:rFonts w:ascii="Arial" w:hAnsi="Arial"/>
          <w:b/>
          <w:sz w:val="22"/>
        </w:rPr>
        <w:t>Lodge your objection on time!</w:t>
      </w:r>
    </w:p>
    <w:p w14:paraId="14C69F57" w14:textId="5C7F1D39" w:rsidR="00B207A5" w:rsidRPr="00B207A5" w:rsidRDefault="00B207A5" w:rsidP="00B207A5">
      <w:pPr>
        <w:rPr>
          <w:rFonts w:ascii="Arial" w:hAnsi="Arial" w:cs="Arial"/>
          <w:sz w:val="22"/>
          <w:szCs w:val="22"/>
        </w:rPr>
      </w:pPr>
      <w:r>
        <w:rPr>
          <w:rFonts w:ascii="Arial" w:hAnsi="Arial"/>
          <w:sz w:val="22"/>
        </w:rPr>
        <w:t>Your objection will only be included in the ‘mass objection’ procedure if it is lodged on time. On time means within six weeks of the date of the assessment.</w:t>
      </w:r>
    </w:p>
    <w:p w14:paraId="22DB937D" w14:textId="77777777" w:rsidR="00B207A5" w:rsidRPr="00B207A5" w:rsidRDefault="00B207A5" w:rsidP="00B207A5">
      <w:pPr>
        <w:rPr>
          <w:rFonts w:ascii="Arial" w:hAnsi="Arial" w:cs="Arial"/>
          <w:sz w:val="22"/>
          <w:szCs w:val="22"/>
        </w:rPr>
      </w:pPr>
    </w:p>
    <w:p w14:paraId="37792CA5" w14:textId="77777777" w:rsidR="0058268E" w:rsidRPr="0058268E" w:rsidRDefault="00B207A5" w:rsidP="0058268E">
      <w:pPr>
        <w:shd w:val="clear" w:color="auto" w:fill="D9D9D9" w:themeFill="background1" w:themeFillShade="D9"/>
        <w:rPr>
          <w:rFonts w:ascii="Arial" w:hAnsi="Arial" w:cs="Arial"/>
          <w:b/>
          <w:bCs/>
          <w:sz w:val="22"/>
          <w:szCs w:val="22"/>
        </w:rPr>
      </w:pPr>
      <w:r>
        <w:rPr>
          <w:rFonts w:ascii="Arial" w:hAnsi="Arial"/>
          <w:b/>
          <w:sz w:val="22"/>
        </w:rPr>
        <w:t>Please note:</w:t>
      </w:r>
    </w:p>
    <w:p w14:paraId="640B4886" w14:textId="620AAE75" w:rsidR="00B207A5" w:rsidRPr="00B207A5" w:rsidRDefault="00B207A5" w:rsidP="0058268E">
      <w:pPr>
        <w:shd w:val="clear" w:color="auto" w:fill="D9D9D9" w:themeFill="background1" w:themeFillShade="D9"/>
        <w:rPr>
          <w:rFonts w:ascii="Arial" w:hAnsi="Arial" w:cs="Arial"/>
          <w:sz w:val="22"/>
          <w:szCs w:val="22"/>
        </w:rPr>
      </w:pPr>
      <w:r>
        <w:rPr>
          <w:rFonts w:ascii="Arial" w:hAnsi="Arial"/>
          <w:sz w:val="22"/>
        </w:rPr>
        <w:t>If tax interest has been charged in your provisional assessment, you first need to submit a request for a revision of the provisional assessment. After the Tax and Customs Administration has rejected this request you can then object against this decision. It is now possible to submit a request for revision and lodge your objection against its rejection in a single letter. Make sure that you do this on time, as otherwise your objection will not be included in the ‘mass objection’ procedure.</w:t>
      </w:r>
    </w:p>
    <w:p w14:paraId="2AF1E6D1" w14:textId="77777777" w:rsidR="0058268E" w:rsidRDefault="0058268E" w:rsidP="00B207A5">
      <w:pPr>
        <w:rPr>
          <w:rFonts w:ascii="Arial" w:hAnsi="Arial" w:cs="Arial"/>
          <w:sz w:val="22"/>
          <w:szCs w:val="22"/>
        </w:rPr>
      </w:pPr>
    </w:p>
    <w:p w14:paraId="1FEA376A" w14:textId="4ED3B5CA" w:rsidR="00B207A5" w:rsidRPr="0058268E" w:rsidRDefault="00B207A5" w:rsidP="00B207A5">
      <w:pPr>
        <w:rPr>
          <w:rFonts w:ascii="Arial" w:hAnsi="Arial" w:cs="Arial"/>
          <w:b/>
          <w:bCs/>
          <w:sz w:val="22"/>
          <w:szCs w:val="22"/>
        </w:rPr>
      </w:pPr>
      <w:r>
        <w:rPr>
          <w:rFonts w:ascii="Arial" w:hAnsi="Arial"/>
          <w:b/>
          <w:sz w:val="22"/>
        </w:rPr>
        <w:t>Consultation</w:t>
      </w:r>
    </w:p>
    <w:p w14:paraId="21DB9D98" w14:textId="775CA536" w:rsidR="00B207A5" w:rsidRDefault="00B207A5" w:rsidP="00B207A5">
      <w:pPr>
        <w:rPr>
          <w:rFonts w:ascii="Arial" w:hAnsi="Arial" w:cs="Arial"/>
          <w:sz w:val="22"/>
          <w:szCs w:val="22"/>
        </w:rPr>
      </w:pPr>
      <w:r>
        <w:rPr>
          <w:rFonts w:ascii="Arial" w:hAnsi="Arial"/>
          <w:sz w:val="22"/>
        </w:rPr>
        <w:t xml:space="preserve">If the Tax and Customs Administration </w:t>
      </w:r>
      <w:proofErr w:type="gramStart"/>
      <w:r>
        <w:rPr>
          <w:rFonts w:ascii="Arial" w:hAnsi="Arial"/>
          <w:sz w:val="22"/>
        </w:rPr>
        <w:t>made a decision</w:t>
      </w:r>
      <w:proofErr w:type="gramEnd"/>
      <w:r>
        <w:rPr>
          <w:rFonts w:ascii="Arial" w:hAnsi="Arial"/>
          <w:sz w:val="22"/>
        </w:rPr>
        <w:t xml:space="preserve"> on your objection before 7 February 2025 (relating to corporation tax) or before 7 May 2025 (relating to taxes including income tax, VAT, payroll tax and dividend tax), your objection may not be included in the ‘mass objection’ procedure. The same applies to any objections concerning matters other than tax interest that you have included in your letter of objection. If you have any questions about the above or on other points, please contact our advisors. We will be happy to help.</w:t>
      </w:r>
    </w:p>
    <w:p w14:paraId="35EC82B2" w14:textId="77777777" w:rsidR="0083596A" w:rsidRDefault="0083596A" w:rsidP="00B207A5">
      <w:pPr>
        <w:rPr>
          <w:rFonts w:ascii="Arial" w:hAnsi="Arial" w:cs="Arial"/>
          <w:sz w:val="22"/>
          <w:szCs w:val="22"/>
        </w:rPr>
      </w:pPr>
    </w:p>
    <w:p w14:paraId="4149B68F" w14:textId="77777777" w:rsidR="0058268E" w:rsidRPr="0058268E" w:rsidRDefault="0083596A" w:rsidP="0058268E">
      <w:pPr>
        <w:shd w:val="clear" w:color="auto" w:fill="D9D9D9" w:themeFill="background1" w:themeFillShade="D9"/>
        <w:rPr>
          <w:rFonts w:ascii="Arial" w:hAnsi="Arial" w:cs="Arial"/>
          <w:b/>
          <w:bCs/>
          <w:sz w:val="22"/>
          <w:szCs w:val="22"/>
        </w:rPr>
      </w:pPr>
      <w:r>
        <w:rPr>
          <w:rFonts w:ascii="Arial" w:hAnsi="Arial"/>
          <w:b/>
          <w:sz w:val="22"/>
        </w:rPr>
        <w:t>Please note:</w:t>
      </w:r>
    </w:p>
    <w:p w14:paraId="2838E138" w14:textId="70031501" w:rsidR="0083596A" w:rsidRPr="00275E68" w:rsidRDefault="0083596A" w:rsidP="0058268E">
      <w:pPr>
        <w:shd w:val="clear" w:color="auto" w:fill="D9D9D9" w:themeFill="background1" w:themeFillShade="D9"/>
        <w:rPr>
          <w:rFonts w:ascii="Arial" w:hAnsi="Arial" w:cs="Arial"/>
          <w:sz w:val="22"/>
          <w:szCs w:val="22"/>
        </w:rPr>
      </w:pPr>
      <w:r>
        <w:rPr>
          <w:rFonts w:ascii="Arial" w:hAnsi="Arial"/>
          <w:sz w:val="22"/>
        </w:rPr>
        <w:t>The tax interest charged on payroll tax amounts to 5% in 2026. That is 1.5 percentage points lower than in 2025, when it stood at 6.5%.</w:t>
      </w:r>
    </w:p>
    <w:p w14:paraId="603995EE" w14:textId="4E01C759" w:rsidR="00275E68" w:rsidRPr="00275E68" w:rsidRDefault="00275E68" w:rsidP="00275E68">
      <w:pPr>
        <w:rPr>
          <w:rFonts w:ascii="Arial" w:hAnsi="Arial" w:cs="Arial"/>
          <w:sz w:val="22"/>
          <w:szCs w:val="22"/>
        </w:rPr>
      </w:pPr>
    </w:p>
    <w:p w14:paraId="1DDF89B9" w14:textId="4F541FCA" w:rsidR="00275E68" w:rsidRDefault="00754FC0" w:rsidP="00957F2F">
      <w:pPr>
        <w:pStyle w:val="Kop2"/>
        <w:ind w:hanging="283"/>
      </w:pPr>
      <w:r>
        <w:t>Simplification of hirer’s liability</w:t>
      </w:r>
    </w:p>
    <w:p w14:paraId="1115544D" w14:textId="77777777" w:rsidR="00275E68" w:rsidRDefault="00275E68" w:rsidP="003D1578">
      <w:pPr>
        <w:rPr>
          <w:rFonts w:ascii="Arial" w:hAnsi="Arial" w:cs="Arial"/>
          <w:sz w:val="22"/>
          <w:szCs w:val="22"/>
        </w:rPr>
      </w:pPr>
    </w:p>
    <w:p w14:paraId="6F4EC404" w14:textId="77777777" w:rsidR="006A4A2E" w:rsidRDefault="006A4A2E" w:rsidP="006A4A2E">
      <w:pPr>
        <w:rPr>
          <w:rFonts w:ascii="Arial" w:hAnsi="Arial" w:cs="Arial"/>
          <w:sz w:val="22"/>
          <w:szCs w:val="22"/>
        </w:rPr>
      </w:pPr>
      <w:r>
        <w:rPr>
          <w:rFonts w:ascii="Arial" w:hAnsi="Arial"/>
          <w:sz w:val="22"/>
        </w:rPr>
        <w:t xml:space="preserve">If a supplier of personnel fails to pay the payroll tax, social insurance contributions and VAT due for hiring out workers, the Tax and Customs Administration can hold the hirer or intermediate hirer liable. The hirer or intermediate hirer can mitigate this risk by paying a </w:t>
      </w:r>
      <w:r>
        <w:rPr>
          <w:rFonts w:ascii="Arial" w:hAnsi="Arial"/>
          <w:sz w:val="22"/>
        </w:rPr>
        <w:lastRenderedPageBreak/>
        <w:t>portion of the supplier’s, or intermediate hirer’s, invoices into a G-account. Provided that the hirer or intermediate hirer meets the mandatory administrative requirements, they are indemnified up to the amount paid into the G-account.</w:t>
      </w:r>
    </w:p>
    <w:p w14:paraId="3BC2BB4C" w14:textId="77777777" w:rsidR="006A4A2E" w:rsidRPr="006A4A2E" w:rsidRDefault="006A4A2E" w:rsidP="006A4A2E">
      <w:pPr>
        <w:rPr>
          <w:rFonts w:ascii="Arial" w:hAnsi="Arial" w:cs="Arial"/>
          <w:sz w:val="22"/>
          <w:szCs w:val="22"/>
        </w:rPr>
      </w:pPr>
    </w:p>
    <w:p w14:paraId="4297764F" w14:textId="54106C51" w:rsidR="006A4A2E" w:rsidRPr="006A4A2E" w:rsidRDefault="00754FC0" w:rsidP="006A4A2E">
      <w:pPr>
        <w:rPr>
          <w:rFonts w:ascii="Arial" w:hAnsi="Arial" w:cs="Arial"/>
          <w:sz w:val="22"/>
          <w:szCs w:val="22"/>
        </w:rPr>
      </w:pPr>
      <w:r>
        <w:rPr>
          <w:rFonts w:ascii="Arial" w:hAnsi="Arial"/>
          <w:sz w:val="22"/>
        </w:rPr>
        <w:t>From 2027 two presumptions will be introduced into law that will make it easier for the Tax and Customs Administration to hold a hirer and intermediate hirer liable. These presumptions relating to hirer’s liability will enter into force at the same time as the Provision of Personnel Accreditation Act (</w:t>
      </w:r>
      <w:r>
        <w:rPr>
          <w:rFonts w:ascii="Arial" w:hAnsi="Arial"/>
          <w:i/>
          <w:iCs/>
          <w:sz w:val="22"/>
        </w:rPr>
        <w:t>Wet toelating terbeschikkingstelling van arbeidskrachten</w:t>
      </w:r>
      <w:r>
        <w:rPr>
          <w:rFonts w:ascii="Arial" w:hAnsi="Arial"/>
          <w:sz w:val="22"/>
        </w:rPr>
        <w:t>).</w:t>
      </w:r>
    </w:p>
    <w:p w14:paraId="47A291FC" w14:textId="77777777" w:rsidR="006A4A2E" w:rsidRPr="006A4A2E" w:rsidRDefault="006A4A2E" w:rsidP="006A4A2E">
      <w:pPr>
        <w:rPr>
          <w:rFonts w:ascii="Arial" w:hAnsi="Arial" w:cs="Arial"/>
          <w:sz w:val="22"/>
          <w:szCs w:val="22"/>
        </w:rPr>
      </w:pPr>
    </w:p>
    <w:p w14:paraId="42C74FDB" w14:textId="70A2F6A4" w:rsidR="006A4A2E" w:rsidRPr="00707252" w:rsidRDefault="006A4A2E" w:rsidP="006A4A2E">
      <w:pPr>
        <w:rPr>
          <w:rFonts w:ascii="Arial" w:hAnsi="Arial" w:cs="Arial"/>
          <w:b/>
          <w:bCs/>
          <w:sz w:val="22"/>
          <w:szCs w:val="22"/>
        </w:rPr>
      </w:pPr>
      <w:r>
        <w:rPr>
          <w:rFonts w:ascii="Arial" w:hAnsi="Arial"/>
          <w:b/>
          <w:sz w:val="22"/>
        </w:rPr>
        <w:t>Presumption regarding level of liability debt</w:t>
      </w:r>
    </w:p>
    <w:p w14:paraId="734F6031" w14:textId="5EACE81D" w:rsidR="006A4A2E" w:rsidRPr="006A4A2E" w:rsidRDefault="00B95FCE" w:rsidP="006A4A2E">
      <w:pPr>
        <w:rPr>
          <w:rFonts w:ascii="Arial" w:hAnsi="Arial" w:cs="Arial"/>
          <w:sz w:val="22"/>
          <w:szCs w:val="22"/>
        </w:rPr>
      </w:pPr>
      <w:r>
        <w:rPr>
          <w:rFonts w:ascii="Arial" w:hAnsi="Arial"/>
          <w:sz w:val="22"/>
        </w:rPr>
        <w:t>The Tax and Customs Administration will therefore be able to rely on the presumption that the liability debt amounts to 35% of the invoice amount. It will be able to hold the hirer and intermediate hirer liable for (together) a maximum of 35% of the invoice amount without conducting any further investigation into the actual level of the liability debt.</w:t>
      </w:r>
    </w:p>
    <w:p w14:paraId="472A3D9F" w14:textId="77777777" w:rsidR="006A4A2E" w:rsidRPr="006A4A2E" w:rsidRDefault="006A4A2E" w:rsidP="006A4A2E">
      <w:pPr>
        <w:rPr>
          <w:rFonts w:ascii="Arial" w:hAnsi="Arial" w:cs="Arial"/>
          <w:sz w:val="22"/>
          <w:szCs w:val="22"/>
        </w:rPr>
      </w:pPr>
    </w:p>
    <w:p w14:paraId="3A8AE67C" w14:textId="3E31BFEB" w:rsidR="006A4A2E" w:rsidRPr="006A4A2E" w:rsidRDefault="009219B9" w:rsidP="006A4A2E">
      <w:pPr>
        <w:rPr>
          <w:rFonts w:ascii="Arial" w:hAnsi="Arial" w:cs="Arial"/>
          <w:sz w:val="22"/>
          <w:szCs w:val="22"/>
        </w:rPr>
      </w:pPr>
      <w:r>
        <w:rPr>
          <w:rFonts w:ascii="Arial" w:hAnsi="Arial"/>
          <w:sz w:val="22"/>
        </w:rPr>
        <w:t>The hirer or intermediate hirer will, however, have the opportunity to provide rebuttal evidence relating to the actual level of this debt. Such evidence can be based on documents from the company’s own accounting records, for example.</w:t>
      </w:r>
    </w:p>
    <w:p w14:paraId="6BBB12F2" w14:textId="77777777" w:rsidR="00A46BD4" w:rsidRDefault="00A46BD4" w:rsidP="006A4A2E">
      <w:pPr>
        <w:rPr>
          <w:rFonts w:ascii="Arial" w:hAnsi="Arial" w:cs="Arial"/>
          <w:sz w:val="22"/>
          <w:szCs w:val="22"/>
        </w:rPr>
      </w:pPr>
    </w:p>
    <w:p w14:paraId="5733050D" w14:textId="77777777" w:rsidR="002D6ECA" w:rsidRPr="00764495" w:rsidRDefault="006A4A2E" w:rsidP="00764495">
      <w:pPr>
        <w:shd w:val="clear" w:color="auto" w:fill="D9D9D9" w:themeFill="background1" w:themeFillShade="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b/>
          <w:sz w:val="22"/>
          <w:szCs w:val="22"/>
        </w:rPr>
      </w:pPr>
      <w:r>
        <w:rPr>
          <w:rFonts w:ascii="Arial" w:hAnsi="Arial"/>
          <w:b/>
          <w:sz w:val="22"/>
        </w:rPr>
        <w:t>Tip:</w:t>
      </w:r>
    </w:p>
    <w:p w14:paraId="46AC27AB" w14:textId="4ABBAA6B" w:rsidR="006A4A2E" w:rsidRPr="00764495" w:rsidRDefault="006A4A2E" w:rsidP="00764495">
      <w:pPr>
        <w:shd w:val="clear" w:color="auto" w:fill="D9D9D9" w:themeFill="background1" w:themeFillShade="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bCs/>
          <w:sz w:val="22"/>
          <w:szCs w:val="22"/>
        </w:rPr>
      </w:pPr>
      <w:r>
        <w:rPr>
          <w:rFonts w:ascii="Arial" w:hAnsi="Arial"/>
          <w:sz w:val="22"/>
        </w:rPr>
        <w:t>The hirer or intermediate hirer can only be held liable if they have paid less than 35% of the invoice amount into the G-account. After all, they are indemnified up to the sum paid into the G-account.</w:t>
      </w:r>
    </w:p>
    <w:p w14:paraId="557AB285" w14:textId="77777777" w:rsidR="006A4A2E" w:rsidRPr="006A4A2E" w:rsidRDefault="006A4A2E" w:rsidP="006A4A2E">
      <w:pPr>
        <w:rPr>
          <w:rFonts w:ascii="Arial" w:hAnsi="Arial" w:cs="Arial"/>
          <w:sz w:val="22"/>
          <w:szCs w:val="22"/>
        </w:rPr>
      </w:pPr>
    </w:p>
    <w:p w14:paraId="5F1F8BA1" w14:textId="77777777" w:rsidR="006A4A2E" w:rsidRPr="00707252" w:rsidRDefault="006A4A2E" w:rsidP="006A4A2E">
      <w:pPr>
        <w:rPr>
          <w:rFonts w:ascii="Arial" w:hAnsi="Arial" w:cs="Arial"/>
          <w:b/>
          <w:bCs/>
          <w:sz w:val="22"/>
          <w:szCs w:val="22"/>
        </w:rPr>
      </w:pPr>
      <w:r>
        <w:rPr>
          <w:rFonts w:ascii="Arial" w:hAnsi="Arial"/>
          <w:b/>
          <w:sz w:val="22"/>
        </w:rPr>
        <w:t>Presumption relating to supplier</w:t>
      </w:r>
    </w:p>
    <w:p w14:paraId="583C8E3B" w14:textId="77777777" w:rsidR="006A4A2E" w:rsidRPr="006A4A2E" w:rsidRDefault="006A4A2E" w:rsidP="006A4A2E">
      <w:pPr>
        <w:rPr>
          <w:rFonts w:ascii="Arial" w:hAnsi="Arial" w:cs="Arial"/>
          <w:sz w:val="22"/>
          <w:szCs w:val="22"/>
        </w:rPr>
      </w:pPr>
      <w:r>
        <w:rPr>
          <w:rFonts w:ascii="Arial" w:hAnsi="Arial"/>
          <w:sz w:val="22"/>
        </w:rPr>
        <w:t>The second presumption being introduced is that a company entered in the public register as an accredited employment agency is a ‘supplier’ for hirer’s liability purposes. This means that the Tax and Customs Administration does not have to investigate whether the relationship involved hiring in personnel or a contract for work, but can simply apply the hirer's liability.</w:t>
      </w:r>
    </w:p>
    <w:p w14:paraId="2629591C" w14:textId="77777777" w:rsidR="006A4A2E" w:rsidRPr="006A4A2E" w:rsidRDefault="006A4A2E" w:rsidP="006A4A2E">
      <w:pPr>
        <w:rPr>
          <w:rFonts w:ascii="Arial" w:hAnsi="Arial" w:cs="Arial"/>
          <w:sz w:val="22"/>
          <w:szCs w:val="22"/>
        </w:rPr>
      </w:pPr>
    </w:p>
    <w:p w14:paraId="1B4C3B53" w14:textId="159C721D" w:rsidR="006A4A2E" w:rsidRPr="006A4A2E" w:rsidRDefault="006A4A2E" w:rsidP="006A4A2E">
      <w:pPr>
        <w:rPr>
          <w:rFonts w:ascii="Arial" w:hAnsi="Arial" w:cs="Arial"/>
          <w:sz w:val="22"/>
          <w:szCs w:val="22"/>
        </w:rPr>
      </w:pPr>
      <w:r>
        <w:rPr>
          <w:rFonts w:ascii="Arial" w:hAnsi="Arial"/>
          <w:sz w:val="22"/>
        </w:rPr>
        <w:t>It will also be possible to provide rebuttal evidence in relation to this presumption. In spite of the supplier being entered in the public register, the hirer or intermediate hirer can try to demonstrate that it was a case of a contract for work.</w:t>
      </w:r>
    </w:p>
    <w:p w14:paraId="113544AA" w14:textId="77777777" w:rsidR="006A0D69" w:rsidRPr="006A4A2E" w:rsidRDefault="006A0D69" w:rsidP="006A4A2E">
      <w:pPr>
        <w:rPr>
          <w:rFonts w:ascii="Arial" w:hAnsi="Arial" w:cs="Arial"/>
          <w:sz w:val="22"/>
          <w:szCs w:val="22"/>
        </w:rPr>
      </w:pPr>
    </w:p>
    <w:p w14:paraId="1887CC3B" w14:textId="77777777" w:rsidR="002D6ECA" w:rsidRPr="00764495" w:rsidRDefault="006A4A2E" w:rsidP="00764495">
      <w:pPr>
        <w:shd w:val="clear" w:color="auto" w:fill="D9D9D9" w:themeFill="background1" w:themeFillShade="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b/>
          <w:sz w:val="22"/>
          <w:szCs w:val="22"/>
        </w:rPr>
      </w:pPr>
      <w:r>
        <w:rPr>
          <w:rFonts w:ascii="Arial" w:hAnsi="Arial"/>
          <w:b/>
          <w:sz w:val="22"/>
        </w:rPr>
        <w:t>Please note:</w:t>
      </w:r>
    </w:p>
    <w:p w14:paraId="28FCE2AB" w14:textId="1406E4F1" w:rsidR="006A4A2E" w:rsidRPr="00764495" w:rsidRDefault="006A4A2E" w:rsidP="00764495">
      <w:pPr>
        <w:shd w:val="clear" w:color="auto" w:fill="D9D9D9" w:themeFill="background1" w:themeFillShade="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bCs/>
          <w:sz w:val="22"/>
          <w:szCs w:val="22"/>
        </w:rPr>
      </w:pPr>
      <w:r>
        <w:rPr>
          <w:rFonts w:ascii="Arial" w:hAnsi="Arial"/>
          <w:sz w:val="22"/>
        </w:rPr>
        <w:t>The public register is part of the Provision of Personnel Accreditation Act, which will enter into force with effect from 1 January 2027. Once this Act has taken effect an accreditation system will apply within the temporary employment sector.</w:t>
      </w:r>
    </w:p>
    <w:p w14:paraId="08908C9F" w14:textId="77777777" w:rsidR="006A4A2E" w:rsidRPr="006A4A2E" w:rsidRDefault="006A4A2E" w:rsidP="006A4A2E">
      <w:pPr>
        <w:rPr>
          <w:rFonts w:ascii="Arial" w:hAnsi="Arial" w:cs="Arial"/>
          <w:sz w:val="22"/>
          <w:szCs w:val="22"/>
        </w:rPr>
      </w:pPr>
    </w:p>
    <w:p w14:paraId="2C6F62B7" w14:textId="77777777" w:rsidR="006A4A2E" w:rsidRPr="00707252" w:rsidRDefault="006A4A2E" w:rsidP="006A4A2E">
      <w:pPr>
        <w:rPr>
          <w:rFonts w:ascii="Arial" w:hAnsi="Arial" w:cs="Arial"/>
          <w:b/>
          <w:bCs/>
          <w:sz w:val="22"/>
          <w:szCs w:val="22"/>
        </w:rPr>
      </w:pPr>
      <w:r>
        <w:rPr>
          <w:rFonts w:ascii="Arial" w:hAnsi="Arial"/>
          <w:b/>
          <w:sz w:val="22"/>
        </w:rPr>
        <w:t>Policy-based indemnification</w:t>
      </w:r>
    </w:p>
    <w:p w14:paraId="482ACDBD" w14:textId="77777777" w:rsidR="006A4A2E" w:rsidRPr="006A4A2E" w:rsidRDefault="006A4A2E" w:rsidP="006A4A2E">
      <w:pPr>
        <w:rPr>
          <w:rFonts w:ascii="Arial" w:hAnsi="Arial" w:cs="Arial"/>
          <w:sz w:val="22"/>
          <w:szCs w:val="22"/>
        </w:rPr>
      </w:pPr>
      <w:r>
        <w:rPr>
          <w:rFonts w:ascii="Arial" w:hAnsi="Arial"/>
          <w:sz w:val="22"/>
        </w:rPr>
        <w:t>In addition to these two presumptions, a policy-based indemnification is being introduced for hirers who hire in workers from accredited suppliers or intermediate hirers. This is subject to the condition that the hirer pays 35% of the invoice amount into the G-account and meets the administrative obligations.</w:t>
      </w:r>
    </w:p>
    <w:p w14:paraId="54FA99F1" w14:textId="77777777" w:rsidR="00275E68" w:rsidRDefault="00275E68" w:rsidP="003D1578">
      <w:pPr>
        <w:rPr>
          <w:rFonts w:ascii="Arial" w:hAnsi="Arial" w:cs="Arial"/>
          <w:sz w:val="22"/>
          <w:szCs w:val="22"/>
        </w:rPr>
      </w:pPr>
    </w:p>
    <w:p w14:paraId="7FA59A14" w14:textId="6C71B4DA" w:rsidR="00B95FCE" w:rsidRDefault="00B95FCE" w:rsidP="00957F2F">
      <w:pPr>
        <w:pStyle w:val="Kop2"/>
        <w:ind w:hanging="283"/>
      </w:pPr>
      <w:r>
        <w:t>Online application for payment history declaration</w:t>
      </w:r>
    </w:p>
    <w:p w14:paraId="250D9019" w14:textId="473AE232" w:rsidR="00B95FCE" w:rsidRDefault="00B95FCE" w:rsidP="00B95FCE">
      <w:pPr>
        <w:rPr>
          <w:rFonts w:ascii="Arial" w:hAnsi="Arial" w:cs="Arial"/>
          <w:sz w:val="22"/>
          <w:szCs w:val="22"/>
        </w:rPr>
      </w:pPr>
    </w:p>
    <w:p w14:paraId="24B25FBE" w14:textId="1C5EB246" w:rsidR="00931AF8" w:rsidRDefault="00931AF8" w:rsidP="00B95FCE">
      <w:pPr>
        <w:rPr>
          <w:rFonts w:ascii="Arial" w:hAnsi="Arial" w:cs="Arial"/>
          <w:sz w:val="22"/>
          <w:szCs w:val="22"/>
        </w:rPr>
      </w:pPr>
      <w:r>
        <w:rPr>
          <w:rFonts w:ascii="Arial" w:hAnsi="Arial"/>
          <w:sz w:val="22"/>
        </w:rPr>
        <w:t xml:space="preserve">If you hire out personnel yourself, the company to which you supply these workers may ask you for a payment history declaration. This document allows you to demonstrate that you are complying with your tax-return and payment obligations in the area of payroll tax and/or VAT. Such information is important for the hirer, intermediate hirer or contractor, as they can be </w:t>
      </w:r>
      <w:r>
        <w:rPr>
          <w:rFonts w:ascii="Arial" w:hAnsi="Arial"/>
          <w:sz w:val="22"/>
        </w:rPr>
        <w:lastRenderedPageBreak/>
        <w:t xml:space="preserve">held liable if you fail to meet these obligations. There are two different forms. As a supplier you should use the form </w:t>
      </w:r>
      <w:hyperlink r:id="rId15" w:history="1">
        <w:r>
          <w:rPr>
            <w:rStyle w:val="Hyperlink"/>
            <w:rFonts w:ascii="Arial" w:hAnsi="Arial"/>
            <w:sz w:val="22"/>
          </w:rPr>
          <w:t>Verklaring betalingsgedrag inlenersaansprakelijkheid (uitlener)</w:t>
        </w:r>
      </w:hyperlink>
      <w:r>
        <w:rPr>
          <w:rFonts w:ascii="Arial" w:hAnsi="Arial"/>
          <w:sz w:val="22"/>
        </w:rPr>
        <w:t xml:space="preserve"> (Payment history declaration – hirer’s liability (supplier)) and as a subcontractor the form </w:t>
      </w:r>
      <w:hyperlink r:id="rId16" w:history="1">
        <w:r>
          <w:rPr>
            <w:rStyle w:val="Hyperlink"/>
            <w:rFonts w:ascii="Arial" w:hAnsi="Arial"/>
            <w:sz w:val="22"/>
          </w:rPr>
          <w:t>Verklaring betalingsgedrag ketenaansprakelijkheid (onderaannemer)</w:t>
        </w:r>
      </w:hyperlink>
      <w:r>
        <w:t xml:space="preserve"> </w:t>
      </w:r>
      <w:r>
        <w:rPr>
          <w:rFonts w:ascii="Arial" w:hAnsi="Arial"/>
          <w:sz w:val="22"/>
        </w:rPr>
        <w:t>(Payment history declaration – vicarious tax liability (subcontractor)).</w:t>
      </w:r>
    </w:p>
    <w:p w14:paraId="2E5C4347" w14:textId="77777777" w:rsidR="00931AF8" w:rsidRDefault="00931AF8" w:rsidP="00B95FCE">
      <w:pPr>
        <w:rPr>
          <w:rFonts w:ascii="Arial" w:hAnsi="Arial" w:cs="Arial"/>
          <w:sz w:val="22"/>
          <w:szCs w:val="22"/>
        </w:rPr>
      </w:pPr>
    </w:p>
    <w:p w14:paraId="30D9814F" w14:textId="77777777" w:rsidR="00764495" w:rsidRPr="00764495" w:rsidRDefault="00764495" w:rsidP="00764495">
      <w:pPr>
        <w:shd w:val="clear" w:color="auto" w:fill="D9D9D9" w:themeFill="background1" w:themeFillShade="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b/>
          <w:sz w:val="22"/>
          <w:szCs w:val="22"/>
        </w:rPr>
      </w:pPr>
      <w:r>
        <w:rPr>
          <w:rFonts w:ascii="Arial" w:hAnsi="Arial"/>
          <w:b/>
          <w:sz w:val="22"/>
        </w:rPr>
        <w:t>Please note:</w:t>
      </w:r>
    </w:p>
    <w:p w14:paraId="52EF1520" w14:textId="05EDDDB2" w:rsidR="00764495" w:rsidRPr="0017379E" w:rsidRDefault="00764495" w:rsidP="00764495">
      <w:pPr>
        <w:shd w:val="clear" w:color="auto" w:fill="D9D9D9" w:themeFill="background1" w:themeFillShade="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pPr>
      <w:r>
        <w:rPr>
          <w:rFonts w:ascii="Arial" w:hAnsi="Arial"/>
          <w:sz w:val="22"/>
        </w:rPr>
        <w:t xml:space="preserve">There are also other situations in which you may be asked to demonstrate that you are complying with your tax-return and payment obligations, e.g. in the case of a tendering procedure or permit application. A different form is used in these cases: </w:t>
      </w:r>
      <w:hyperlink r:id="rId17" w:history="1">
        <w:r>
          <w:rPr>
            <w:rStyle w:val="Hyperlink"/>
            <w:rFonts w:ascii="Arial" w:hAnsi="Arial"/>
            <w:sz w:val="22"/>
          </w:rPr>
          <w:t>Verklaring betalingsgedrag nakoming fiscale verplichtingen</w:t>
        </w:r>
      </w:hyperlink>
      <w:r>
        <w:rPr>
          <w:rFonts w:ascii="Arial" w:hAnsi="Arial"/>
          <w:sz w:val="22"/>
        </w:rPr>
        <w:t xml:space="preserve"> (Payment history declaration – compliance with tax obligations).</w:t>
      </w:r>
    </w:p>
    <w:p w14:paraId="36A00D3A" w14:textId="77777777" w:rsidR="00764495" w:rsidRDefault="00764495" w:rsidP="00B95FCE">
      <w:pPr>
        <w:rPr>
          <w:rFonts w:ascii="Arial" w:hAnsi="Arial" w:cs="Arial"/>
          <w:sz w:val="22"/>
          <w:szCs w:val="22"/>
        </w:rPr>
      </w:pPr>
    </w:p>
    <w:p w14:paraId="2C61747B" w14:textId="2BB6099F" w:rsidR="00931AF8" w:rsidRDefault="00931AF8" w:rsidP="00B95FCE">
      <w:pPr>
        <w:rPr>
          <w:rFonts w:ascii="Arial" w:hAnsi="Arial" w:cs="Arial"/>
          <w:sz w:val="22"/>
          <w:szCs w:val="22"/>
        </w:rPr>
      </w:pPr>
      <w:r>
        <w:rPr>
          <w:rFonts w:ascii="Arial" w:hAnsi="Arial"/>
          <w:sz w:val="22"/>
        </w:rPr>
        <w:t xml:space="preserve">You can apply for a payment history declaration using DigiD. The Tax and Customs Administration will aim to </w:t>
      </w:r>
      <w:proofErr w:type="gramStart"/>
      <w:r>
        <w:rPr>
          <w:rFonts w:ascii="Arial" w:hAnsi="Arial"/>
          <w:sz w:val="22"/>
        </w:rPr>
        <w:t>make a decision</w:t>
      </w:r>
      <w:proofErr w:type="gramEnd"/>
      <w:r>
        <w:rPr>
          <w:rFonts w:ascii="Arial" w:hAnsi="Arial"/>
          <w:sz w:val="22"/>
        </w:rPr>
        <w:t xml:space="preserve"> on your online application within a week. More time may be needed if lots of applications are received. The payment history declaration will be sent to the home or business address entered in the Tax and Customs Administration’s records.</w:t>
      </w:r>
    </w:p>
    <w:p w14:paraId="1493B473" w14:textId="77777777" w:rsidR="00931AF8" w:rsidRDefault="00931AF8" w:rsidP="00931AF8">
      <w:pPr>
        <w:rPr>
          <w:rFonts w:ascii="Arial" w:hAnsi="Arial" w:cs="Arial"/>
          <w:sz w:val="22"/>
          <w:szCs w:val="22"/>
        </w:rPr>
      </w:pPr>
    </w:p>
    <w:p w14:paraId="6B3B37F3" w14:textId="62D0130D" w:rsidR="00A40168" w:rsidRDefault="00931AF8">
      <w:pPr>
        <w:rPr>
          <w:rFonts w:ascii="Arial" w:eastAsia="Arial" w:hAnsi="Arial" w:cs="Arial"/>
          <w:sz w:val="22"/>
          <w:szCs w:val="22"/>
        </w:rPr>
      </w:pPr>
      <w:r>
        <w:rPr>
          <w:rFonts w:ascii="Arial" w:hAnsi="Arial"/>
          <w:sz w:val="22"/>
        </w:rPr>
        <w:t xml:space="preserve">Unfortunately, it is not yet possible to apply using eHerkenning. You will therefore have to download the pdf from the Tax and Customs Administration’s website and submit it in writing. </w:t>
      </w:r>
      <w:r>
        <w:rPr>
          <w:rFonts w:ascii="Arial" w:hAnsi="Arial"/>
          <w:sz w:val="22"/>
        </w:rPr>
        <w:br w:type="page"/>
      </w:r>
    </w:p>
    <w:p w14:paraId="3738E9C0" w14:textId="5B86DD88" w:rsidR="007A51B5" w:rsidRDefault="005A6A1E" w:rsidP="006009D4">
      <w:pPr>
        <w:pStyle w:val="Kop1"/>
      </w:pPr>
      <w:bookmarkStart w:id="23" w:name="_Toc155866618"/>
      <w:bookmarkStart w:id="24" w:name="_Hlk155257542"/>
      <w:r>
        <w:lastRenderedPageBreak/>
        <w:t>Customary salary and volunteer’s allowance</w:t>
      </w:r>
      <w:bookmarkEnd w:id="23"/>
    </w:p>
    <w:bookmarkEnd w:id="24"/>
    <w:p w14:paraId="1A8C1930" w14:textId="77777777" w:rsidR="00020E08" w:rsidRDefault="00020E08" w:rsidP="00E72AC0">
      <w:pPr>
        <w:rPr>
          <w:rFonts w:ascii="Arial" w:hAnsi="Arial" w:cs="Arial"/>
          <w:sz w:val="22"/>
          <w:szCs w:val="22"/>
        </w:rPr>
      </w:pPr>
    </w:p>
    <w:p w14:paraId="36CB5273" w14:textId="77777777" w:rsidR="00B15B01" w:rsidRPr="00754442" w:rsidRDefault="00B15B01" w:rsidP="00E72AC0">
      <w:pPr>
        <w:rPr>
          <w:rFonts w:ascii="Arial" w:hAnsi="Arial" w:cs="Arial"/>
          <w:sz w:val="22"/>
          <w:szCs w:val="22"/>
        </w:rPr>
      </w:pPr>
    </w:p>
    <w:p w14:paraId="558B24B3" w14:textId="0A7A1C36" w:rsidR="0047681E" w:rsidRDefault="000D495F" w:rsidP="00957F2F">
      <w:pPr>
        <w:pStyle w:val="Kop2"/>
        <w:ind w:hanging="283"/>
      </w:pPr>
      <w:bookmarkStart w:id="25" w:name="_Hlk28870376"/>
      <w:bookmarkStart w:id="26" w:name="_Toc152927293"/>
      <w:bookmarkStart w:id="27" w:name="_Toc155866619"/>
      <w:bookmarkEnd w:id="25"/>
      <w:r>
        <w:t>Customary salary</w:t>
      </w:r>
      <w:bookmarkEnd w:id="26"/>
      <w:bookmarkEnd w:id="27"/>
    </w:p>
    <w:p w14:paraId="360AB5C1" w14:textId="77777777" w:rsidR="00C9418C" w:rsidRPr="00C9418C" w:rsidRDefault="00C9418C" w:rsidP="00C9418C"/>
    <w:p w14:paraId="1E862648" w14:textId="717AF5A1" w:rsidR="00CB083E" w:rsidRDefault="00753059" w:rsidP="0047681E">
      <w:pPr>
        <w:rPr>
          <w:rFonts w:ascii="Arial" w:hAnsi="Arial" w:cs="Arial"/>
          <w:sz w:val="22"/>
          <w:szCs w:val="22"/>
        </w:rPr>
      </w:pPr>
      <w:r>
        <w:rPr>
          <w:rFonts w:ascii="Arial" w:hAnsi="Arial"/>
          <w:sz w:val="22"/>
        </w:rPr>
        <w:t>In 2026 the standard amount under the customary salary scheme is € 2,000 higher than in 2025, amounting to € 58,000 per year. When the level of the customary salary is determined for a director/major shareholder and his/her co-working partner, the highest of the following amounts must be taken as a basis:</w:t>
      </w:r>
    </w:p>
    <w:p w14:paraId="0623A9EF" w14:textId="36CCCB03" w:rsidR="0095277F" w:rsidRDefault="00364308" w:rsidP="002F233C">
      <w:pPr>
        <w:pStyle w:val="Lijstalinea"/>
        <w:numPr>
          <w:ilvl w:val="0"/>
          <w:numId w:val="39"/>
        </w:numPr>
        <w:rPr>
          <w:rFonts w:ascii="Arial" w:hAnsi="Arial" w:cs="Arial"/>
        </w:rPr>
      </w:pPr>
      <w:bookmarkStart w:id="28" w:name="_Hlk121497589"/>
      <w:r>
        <w:rPr>
          <w:rFonts w:ascii="Arial" w:hAnsi="Arial"/>
        </w:rPr>
        <w:t xml:space="preserve">the salary for the most comparable position; </w:t>
      </w:r>
    </w:p>
    <w:p w14:paraId="5FC25987" w14:textId="44D6D565" w:rsidR="0095277F" w:rsidRDefault="00364308" w:rsidP="002F233C">
      <w:pPr>
        <w:pStyle w:val="Lijstalinea"/>
        <w:numPr>
          <w:ilvl w:val="0"/>
          <w:numId w:val="39"/>
        </w:numPr>
        <w:rPr>
          <w:rFonts w:ascii="Arial" w:hAnsi="Arial" w:cs="Arial"/>
        </w:rPr>
      </w:pPr>
      <w:r>
        <w:rPr>
          <w:rFonts w:ascii="Arial" w:hAnsi="Arial"/>
        </w:rPr>
        <w:t>the highest salary received by the other employees of the company or affiliated companies (legal entities);</w:t>
      </w:r>
      <w:bookmarkEnd w:id="28"/>
    </w:p>
    <w:p w14:paraId="23660080" w14:textId="4393C179" w:rsidR="00364308" w:rsidRPr="00F753C2" w:rsidRDefault="00364308" w:rsidP="002F233C">
      <w:pPr>
        <w:pStyle w:val="Lijstalinea"/>
        <w:numPr>
          <w:ilvl w:val="0"/>
          <w:numId w:val="39"/>
        </w:numPr>
        <w:rPr>
          <w:rFonts w:ascii="Arial" w:hAnsi="Arial" w:cs="Arial"/>
        </w:rPr>
      </w:pPr>
      <w:r>
        <w:rPr>
          <w:rFonts w:ascii="Arial" w:hAnsi="Arial"/>
        </w:rPr>
        <w:t>€ 58,000 (2025: € 56,000).</w:t>
      </w:r>
    </w:p>
    <w:p w14:paraId="46BF9661" w14:textId="77777777" w:rsidR="005837E9" w:rsidRPr="004C59E6" w:rsidRDefault="005837E9" w:rsidP="00BC2765">
      <w:pPr>
        <w:rPr>
          <w:rFonts w:ascii="Arial" w:hAnsi="Arial" w:cs="Arial"/>
          <w:sz w:val="16"/>
          <w:szCs w:val="16"/>
        </w:rPr>
      </w:pPr>
    </w:p>
    <w:p w14:paraId="480AF3CB" w14:textId="6F21D702" w:rsidR="00DB63BA" w:rsidRDefault="00DB63BA" w:rsidP="00BC2765">
      <w:pPr>
        <w:rPr>
          <w:rFonts w:ascii="Arial" w:hAnsi="Arial" w:cs="Arial"/>
          <w:sz w:val="22"/>
          <w:szCs w:val="22"/>
        </w:rPr>
      </w:pPr>
      <w:r>
        <w:rPr>
          <w:rFonts w:ascii="Arial" w:hAnsi="Arial"/>
          <w:sz w:val="22"/>
        </w:rPr>
        <w:t xml:space="preserve">If the resulting salary is higher than that for the most comparable position, you can set your customary salary at the level of the latter. </w:t>
      </w:r>
      <w:bookmarkStart w:id="29" w:name="_Hlk185163859"/>
      <w:r>
        <w:rPr>
          <w:rFonts w:ascii="Arial" w:hAnsi="Arial"/>
          <w:sz w:val="22"/>
        </w:rPr>
        <w:t xml:space="preserve">The discussion with the Tax and Customs Administration will mainly concern the question of whether the salary you </w:t>
      </w:r>
      <w:proofErr w:type="gramStart"/>
      <w:r>
        <w:rPr>
          <w:rFonts w:ascii="Arial" w:hAnsi="Arial"/>
          <w:sz w:val="22"/>
        </w:rPr>
        <w:t>have set</w:t>
      </w:r>
      <w:proofErr w:type="gramEnd"/>
      <w:r>
        <w:rPr>
          <w:rFonts w:ascii="Arial" w:hAnsi="Arial"/>
          <w:sz w:val="22"/>
        </w:rPr>
        <w:t xml:space="preserve"> is indeed that for the most comparable position.</w:t>
      </w:r>
    </w:p>
    <w:p w14:paraId="20B2A667" w14:textId="77777777" w:rsidR="00554FCF" w:rsidRDefault="00554FCF" w:rsidP="00BC2765">
      <w:pPr>
        <w:rPr>
          <w:rFonts w:ascii="Arial" w:hAnsi="Arial" w:cs="Arial"/>
          <w:sz w:val="22"/>
          <w:szCs w:val="22"/>
        </w:rPr>
      </w:pPr>
    </w:p>
    <w:p w14:paraId="19A8CDCE" w14:textId="0AF0F45B" w:rsidR="00554FCF" w:rsidRDefault="00554FCF" w:rsidP="00760278">
      <w:pPr>
        <w:shd w:val="clear" w:color="auto" w:fill="D9D9D9" w:themeFill="background1" w:themeFillShade="D9"/>
        <w:rPr>
          <w:rFonts w:ascii="Arial" w:hAnsi="Arial" w:cs="Arial"/>
          <w:b/>
          <w:bCs/>
          <w:sz w:val="22"/>
          <w:szCs w:val="22"/>
        </w:rPr>
      </w:pPr>
      <w:r>
        <w:rPr>
          <w:rFonts w:ascii="Arial" w:hAnsi="Arial"/>
          <w:b/>
          <w:sz w:val="22"/>
        </w:rPr>
        <w:t xml:space="preserve">Please note: </w:t>
      </w:r>
    </w:p>
    <w:p w14:paraId="70E3F789" w14:textId="6A97369C" w:rsidR="00554FCF" w:rsidRPr="00554FCF" w:rsidRDefault="00554FCF" w:rsidP="00760278">
      <w:pPr>
        <w:shd w:val="clear" w:color="auto" w:fill="D9D9D9" w:themeFill="background1" w:themeFillShade="D9"/>
        <w:rPr>
          <w:rFonts w:ascii="Arial" w:hAnsi="Arial" w:cs="Arial"/>
          <w:sz w:val="22"/>
          <w:szCs w:val="22"/>
        </w:rPr>
      </w:pPr>
      <w:r>
        <w:rPr>
          <w:rFonts w:ascii="Arial" w:hAnsi="Arial"/>
          <w:sz w:val="22"/>
        </w:rPr>
        <w:t>If other directors/major shareholders work for the company or affiliated companies, bear in mind that another of them may be regarded as the highest-earning employee.</w:t>
      </w:r>
    </w:p>
    <w:bookmarkEnd w:id="29"/>
    <w:p w14:paraId="18112B49" w14:textId="77777777" w:rsidR="000E7C77" w:rsidRDefault="000E7C77" w:rsidP="00BC2765">
      <w:pPr>
        <w:rPr>
          <w:rFonts w:ascii="Arial" w:hAnsi="Arial" w:cs="Arial"/>
          <w:sz w:val="22"/>
          <w:szCs w:val="22"/>
        </w:rPr>
      </w:pPr>
    </w:p>
    <w:p w14:paraId="698DA245" w14:textId="77777777" w:rsidR="00C9421F" w:rsidRDefault="000E7C77" w:rsidP="008F7603">
      <w:pPr>
        <w:shd w:val="clear" w:color="auto" w:fill="D9D9D9" w:themeFill="background1" w:themeFillShade="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b/>
          <w:sz w:val="22"/>
          <w:szCs w:val="22"/>
        </w:rPr>
      </w:pPr>
      <w:r>
        <w:rPr>
          <w:rFonts w:ascii="Arial" w:hAnsi="Arial"/>
          <w:b/>
          <w:sz w:val="22"/>
        </w:rPr>
        <w:t>Please note:</w:t>
      </w:r>
    </w:p>
    <w:p w14:paraId="299D8887" w14:textId="24AD10C9" w:rsidR="000E7C77" w:rsidRPr="008F7603" w:rsidRDefault="000E7C77" w:rsidP="008F7603">
      <w:pPr>
        <w:shd w:val="clear" w:color="auto" w:fill="D9D9D9" w:themeFill="background1" w:themeFillShade="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bCs/>
          <w:sz w:val="22"/>
          <w:szCs w:val="22"/>
        </w:rPr>
      </w:pPr>
      <w:r>
        <w:rPr>
          <w:rFonts w:ascii="Arial" w:hAnsi="Arial"/>
          <w:sz w:val="22"/>
        </w:rPr>
        <w:t>Does the director/major shareholder and/or his/her co-working partner work part-time, and can you demonstrate sufficiently that the employment is carried out on a part-time basis? If so, you can apply the part-time percentage to the full-time salary for the most comparable position or the full-time salary of the highest-earning employee to determine the level of that salary. You must also demonstrate sufficiently that this part-time salary would also apply to the most comparable part-time position and/or the highest-earning part-time employee. This part-time percentage cannot be applied to the amount of € 58,000.</w:t>
      </w:r>
    </w:p>
    <w:p w14:paraId="53AE85EE" w14:textId="77777777" w:rsidR="005F2AA6" w:rsidRPr="008F7603" w:rsidRDefault="005F2AA6" w:rsidP="00BC2765">
      <w:pPr>
        <w:rPr>
          <w:rFonts w:ascii="Arial" w:hAnsi="Arial" w:cs="Arial"/>
          <w:sz w:val="22"/>
          <w:szCs w:val="22"/>
        </w:rPr>
      </w:pPr>
    </w:p>
    <w:p w14:paraId="17E58711" w14:textId="63292A94" w:rsidR="005F2AA6" w:rsidRDefault="005F2AA6" w:rsidP="00BC2765">
      <w:pPr>
        <w:rPr>
          <w:rFonts w:ascii="Arial" w:hAnsi="Arial" w:cs="Arial"/>
          <w:sz w:val="22"/>
          <w:szCs w:val="22"/>
        </w:rPr>
      </w:pPr>
      <w:r>
        <w:rPr>
          <w:rFonts w:ascii="Arial" w:hAnsi="Arial"/>
          <w:sz w:val="22"/>
        </w:rPr>
        <w:t>In some situations you can take an even lower salary as a basis. For example, under certain conditions, start-ups may apply a lower salary for a maximum of three years, if the company cannot afford the customary salary as a result of circumstances associated with starting the business. Under certain conditions, you may also take a lower salary as a basis if your company incurs a loss that is sufficiently large to put the continuity of the company at risk.</w:t>
      </w:r>
    </w:p>
    <w:p w14:paraId="53207E6F" w14:textId="77777777" w:rsidR="00DB63BA" w:rsidRDefault="00DB63BA" w:rsidP="00BC2765">
      <w:pPr>
        <w:rPr>
          <w:rFonts w:ascii="Arial" w:hAnsi="Arial" w:cs="Arial"/>
          <w:sz w:val="22"/>
          <w:szCs w:val="22"/>
        </w:rPr>
      </w:pPr>
    </w:p>
    <w:p w14:paraId="2B0CD75B" w14:textId="5B153817" w:rsidR="00D82958" w:rsidRDefault="00D82958" w:rsidP="00D82958">
      <w:pPr>
        <w:shd w:val="clear" w:color="auto" w:fill="D9D9D9" w:themeFill="background1" w:themeFillShade="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b/>
          <w:sz w:val="22"/>
          <w:szCs w:val="22"/>
        </w:rPr>
      </w:pPr>
      <w:r>
        <w:rPr>
          <w:rFonts w:ascii="Arial" w:hAnsi="Arial"/>
          <w:b/>
          <w:sz w:val="22"/>
        </w:rPr>
        <w:t>Tip:</w:t>
      </w:r>
    </w:p>
    <w:p w14:paraId="2EB51FDB" w14:textId="273EB0AE" w:rsidR="00D82958" w:rsidRPr="001D4148" w:rsidRDefault="00D82958" w:rsidP="00D82958">
      <w:pPr>
        <w:shd w:val="clear" w:color="auto" w:fill="D9D9D9" w:themeFill="background1" w:themeFillShade="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bCs/>
          <w:sz w:val="22"/>
          <w:szCs w:val="22"/>
        </w:rPr>
      </w:pPr>
      <w:r>
        <w:rPr>
          <w:rFonts w:ascii="Arial" w:hAnsi="Arial"/>
          <w:sz w:val="22"/>
        </w:rPr>
        <w:t xml:space="preserve">Once the customary salary has been determined, in some cases your regular salary can be set at a lower level. This is because, besides this regular salary in cash, other salary components are also </w:t>
      </w:r>
      <w:proofErr w:type="gramStart"/>
      <w:r>
        <w:rPr>
          <w:rFonts w:ascii="Arial" w:hAnsi="Arial"/>
          <w:sz w:val="22"/>
        </w:rPr>
        <w:t>taken into account</w:t>
      </w:r>
      <w:proofErr w:type="gramEnd"/>
      <w:r>
        <w:rPr>
          <w:rFonts w:ascii="Arial" w:hAnsi="Arial"/>
          <w:sz w:val="22"/>
        </w:rPr>
        <w:t xml:space="preserve"> when assessing the customary nature of the salary. These include:</w:t>
      </w:r>
    </w:p>
    <w:p w14:paraId="7593ED6C" w14:textId="4B86E9C7" w:rsidR="00D82958" w:rsidRDefault="00D82958" w:rsidP="00657141">
      <w:pPr>
        <w:pStyle w:val="Lijstalinea"/>
        <w:numPr>
          <w:ilvl w:val="0"/>
          <w:numId w:val="42"/>
        </w:numPr>
        <w:shd w:val="clear" w:color="auto" w:fill="D9D9D9" w:themeFill="background1" w:themeFillShade="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bCs/>
        </w:rPr>
      </w:pPr>
      <w:r>
        <w:rPr>
          <w:rFonts w:ascii="Arial" w:hAnsi="Arial"/>
        </w:rPr>
        <w:t>the addition to taxable income for private use of a company car;</w:t>
      </w:r>
    </w:p>
    <w:p w14:paraId="47083268" w14:textId="76B489F9" w:rsidR="00D82958" w:rsidRDefault="00D82958" w:rsidP="00657141">
      <w:pPr>
        <w:pStyle w:val="Lijstalinea"/>
        <w:numPr>
          <w:ilvl w:val="0"/>
          <w:numId w:val="42"/>
        </w:numPr>
        <w:shd w:val="clear" w:color="auto" w:fill="D9D9D9" w:themeFill="background1" w:themeFillShade="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bCs/>
        </w:rPr>
      </w:pPr>
      <w:r>
        <w:rPr>
          <w:rFonts w:ascii="Arial" w:hAnsi="Arial"/>
        </w:rPr>
        <w:t>other benefits in kind;</w:t>
      </w:r>
    </w:p>
    <w:p w14:paraId="574911BC" w14:textId="47F6DFE5" w:rsidR="00707252" w:rsidRPr="00F753C2" w:rsidRDefault="00D82958" w:rsidP="00657141">
      <w:pPr>
        <w:pStyle w:val="Lijstalinea"/>
        <w:numPr>
          <w:ilvl w:val="0"/>
          <w:numId w:val="42"/>
        </w:numPr>
        <w:shd w:val="clear" w:color="auto" w:fill="D9D9D9" w:themeFill="background1" w:themeFillShade="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bCs/>
        </w:rPr>
      </w:pPr>
      <w:r>
        <w:rPr>
          <w:rFonts w:ascii="Arial" w:hAnsi="Arial"/>
        </w:rPr>
        <w:t>allowances and benefits in kind under the work-related expenses scheme, if these can be personally attributed to the director/major shareholder.</w:t>
      </w:r>
    </w:p>
    <w:p w14:paraId="4E0CD830" w14:textId="77777777" w:rsidR="004C59E6" w:rsidRDefault="004C59E6" w:rsidP="00C9418C">
      <w:pPr>
        <w:rPr>
          <w:rFonts w:ascii="Arial" w:hAnsi="Arial" w:cs="Arial"/>
          <w:sz w:val="22"/>
          <w:szCs w:val="22"/>
        </w:rPr>
      </w:pPr>
    </w:p>
    <w:p w14:paraId="07AB5050" w14:textId="77777777" w:rsidR="00760278" w:rsidRDefault="00760278" w:rsidP="00C9418C">
      <w:pPr>
        <w:rPr>
          <w:rFonts w:ascii="Arial" w:hAnsi="Arial" w:cs="Arial"/>
          <w:sz w:val="22"/>
          <w:szCs w:val="22"/>
        </w:rPr>
      </w:pPr>
    </w:p>
    <w:p w14:paraId="582CED5E" w14:textId="77777777" w:rsidR="007C4EBB" w:rsidRDefault="007C4EBB" w:rsidP="00C9418C">
      <w:pPr>
        <w:rPr>
          <w:rFonts w:ascii="Arial" w:hAnsi="Arial" w:cs="Arial"/>
          <w:sz w:val="22"/>
          <w:szCs w:val="22"/>
        </w:rPr>
      </w:pPr>
    </w:p>
    <w:p w14:paraId="60B1555D" w14:textId="77777777" w:rsidR="00760278" w:rsidRDefault="00760278" w:rsidP="00C9418C">
      <w:pPr>
        <w:rPr>
          <w:rFonts w:ascii="Arial" w:hAnsi="Arial" w:cs="Arial"/>
          <w:sz w:val="22"/>
          <w:szCs w:val="22"/>
        </w:rPr>
      </w:pPr>
    </w:p>
    <w:p w14:paraId="1B5A8FBD" w14:textId="77777777" w:rsidR="00C9421F" w:rsidRPr="00764495" w:rsidRDefault="00E133C1" w:rsidP="00764495">
      <w:pPr>
        <w:shd w:val="clear" w:color="auto" w:fill="D9D9D9" w:themeFill="background1" w:themeFillShade="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b/>
          <w:sz w:val="22"/>
          <w:szCs w:val="22"/>
        </w:rPr>
      </w:pPr>
      <w:r>
        <w:rPr>
          <w:rFonts w:ascii="Arial" w:hAnsi="Arial"/>
          <w:b/>
          <w:sz w:val="22"/>
        </w:rPr>
        <w:t>Please note:</w:t>
      </w:r>
    </w:p>
    <w:p w14:paraId="398293FA" w14:textId="75DB8092" w:rsidR="00E133C1" w:rsidRPr="00764495" w:rsidRDefault="00772791" w:rsidP="00764495">
      <w:pPr>
        <w:shd w:val="clear" w:color="auto" w:fill="D9D9D9" w:themeFill="background1" w:themeFillShade="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bCs/>
          <w:sz w:val="22"/>
          <w:szCs w:val="22"/>
        </w:rPr>
      </w:pPr>
      <w:r>
        <w:rPr>
          <w:rFonts w:ascii="Arial" w:hAnsi="Arial"/>
          <w:sz w:val="22"/>
        </w:rPr>
        <w:t>On 4 April 2025 the Supreme Court ruled that a final-levy component is also included in the definition of salary, even if it benefits from a specific exemption or falls within the fixed budget under the work-related expenses scheme. If the legislator has not included a separate definition of salary in the legislation for a particular scheme, the composition is considered to be the same as that defined by law, according to the Supreme Court. For the customary salary scheme, no separate legal definition of salary has been included. This means that all allowances and benefits in kind with specific exemptions and all allowances and benefits in kind that fall within the fixed budget are also counted when calculating the customary salary. In many cases this was already applied in practice for salary components that could be linked to an individual employee.</w:t>
      </w:r>
    </w:p>
    <w:p w14:paraId="298CA3BA" w14:textId="77777777" w:rsidR="005505FE" w:rsidRDefault="005505FE" w:rsidP="00C9418C">
      <w:pPr>
        <w:rPr>
          <w:rFonts w:ascii="Arial" w:hAnsi="Arial" w:cs="Arial"/>
          <w:sz w:val="22"/>
          <w:szCs w:val="22"/>
        </w:rPr>
      </w:pPr>
    </w:p>
    <w:p w14:paraId="1006BD85" w14:textId="312B55B3" w:rsidR="00C9418C" w:rsidRPr="00EE534C" w:rsidRDefault="000E29CB" w:rsidP="00957F2F">
      <w:pPr>
        <w:pStyle w:val="Kop2"/>
        <w:ind w:hanging="283"/>
        <w:rPr>
          <w:rFonts w:cs="Arial"/>
          <w:sz w:val="22"/>
        </w:rPr>
      </w:pPr>
      <w:bookmarkStart w:id="30" w:name="_Toc155866620"/>
      <w:r>
        <w:t>Untaxed volunteer’s allowance of € 2,200 in 2026</w:t>
      </w:r>
      <w:bookmarkEnd w:id="30"/>
    </w:p>
    <w:p w14:paraId="42F1289B" w14:textId="77777777" w:rsidR="00F911B9" w:rsidRPr="00EE534C" w:rsidRDefault="00F911B9" w:rsidP="00C72605">
      <w:pPr>
        <w:rPr>
          <w:rFonts w:ascii="Arial" w:hAnsi="Arial" w:cs="Arial"/>
          <w:sz w:val="22"/>
          <w:szCs w:val="22"/>
        </w:rPr>
      </w:pPr>
    </w:p>
    <w:p w14:paraId="3E91E94B" w14:textId="671A2AD4" w:rsidR="009D128F" w:rsidRDefault="000E29CB" w:rsidP="000E29CB">
      <w:pPr>
        <w:rPr>
          <w:rFonts w:ascii="Arial" w:hAnsi="Arial" w:cs="Arial"/>
          <w:sz w:val="22"/>
          <w:szCs w:val="22"/>
        </w:rPr>
      </w:pPr>
      <w:r>
        <w:rPr>
          <w:rFonts w:ascii="Arial" w:hAnsi="Arial"/>
          <w:sz w:val="22"/>
        </w:rPr>
        <w:t>In 2026 the maximum untaxed volunteer’s allowance will be € 100 higher than in 2025, amounting to € 2,200 per year. The monthly allowance in 2026 will also be higher than in 2025 at a maximum of € 220 (2025: € 210).</w:t>
      </w:r>
    </w:p>
    <w:p w14:paraId="1D06756F" w14:textId="77777777" w:rsidR="007D5898" w:rsidRDefault="007D5898" w:rsidP="000E29CB">
      <w:pPr>
        <w:rPr>
          <w:rFonts w:ascii="Arial" w:hAnsi="Arial" w:cs="Arial"/>
          <w:sz w:val="22"/>
          <w:szCs w:val="22"/>
        </w:rPr>
      </w:pPr>
    </w:p>
    <w:p w14:paraId="27FE7DF8" w14:textId="2EA45303" w:rsidR="000D0DCB" w:rsidRDefault="000D0DCB" w:rsidP="000D0DCB">
      <w:pPr>
        <w:shd w:val="clear" w:color="auto" w:fill="D9D9D9" w:themeFill="background1" w:themeFillShade="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b/>
          <w:sz w:val="22"/>
          <w:szCs w:val="22"/>
        </w:rPr>
      </w:pPr>
      <w:r>
        <w:rPr>
          <w:rFonts w:ascii="Arial" w:hAnsi="Arial"/>
          <w:b/>
          <w:sz w:val="22"/>
        </w:rPr>
        <w:t>Please note:</w:t>
      </w:r>
    </w:p>
    <w:p w14:paraId="349B16D5" w14:textId="5F653726" w:rsidR="00BE3D8B" w:rsidRDefault="000D0DCB" w:rsidP="00760278">
      <w:pPr>
        <w:shd w:val="clear" w:color="auto" w:fill="D9D9D9" w:themeFill="background1" w:themeFillShade="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eastAsia="Arial" w:hAnsi="Arial" w:cs="Arial"/>
          <w:sz w:val="22"/>
          <w:szCs w:val="22"/>
        </w:rPr>
      </w:pPr>
      <w:r>
        <w:rPr>
          <w:rFonts w:ascii="Arial" w:hAnsi="Arial"/>
          <w:sz w:val="22"/>
        </w:rPr>
        <w:t>The volunteer’s allowance must not exceed the maximum amounts and the volunteer must carry out the work in question for designated, non-commercial organisations and not as part of his/her profession. The Tax and Customs Administration assumes that the work is not carried out on a professional basis if the maximum hourly allowance in 2026 amounts to € 5.75 (2025: € 5.60). For volunteers under the age of 21 this maximum hourly allowance is € 3.40 in 2026 (2025: € 3.30).</w:t>
      </w:r>
      <w:bookmarkStart w:id="31" w:name="_Toc106639606"/>
      <w:bookmarkStart w:id="32" w:name="_Toc152927294"/>
      <w:bookmarkStart w:id="33" w:name="_Toc155866621"/>
    </w:p>
    <w:p w14:paraId="367077A7" w14:textId="2E3EA70B" w:rsidR="000E7C77" w:rsidRDefault="000E7C77" w:rsidP="000E7C77">
      <w:pPr>
        <w:rPr>
          <w:rFonts w:ascii="Arial" w:eastAsia="Arial" w:hAnsi="Arial" w:cs="Arial"/>
          <w:sz w:val="22"/>
          <w:szCs w:val="22"/>
        </w:rPr>
      </w:pPr>
      <w:r>
        <w:br w:type="page"/>
      </w:r>
    </w:p>
    <w:p w14:paraId="02E1EE74" w14:textId="41A3E290" w:rsidR="00AC1CBE" w:rsidRPr="00754442" w:rsidRDefault="00AC1CBE" w:rsidP="006009D4">
      <w:pPr>
        <w:pStyle w:val="Kop1"/>
      </w:pPr>
      <w:r>
        <w:lastRenderedPageBreak/>
        <w:t>Transport</w:t>
      </w:r>
      <w:bookmarkEnd w:id="31"/>
      <w:bookmarkEnd w:id="32"/>
      <w:bookmarkEnd w:id="33"/>
    </w:p>
    <w:p w14:paraId="30857810" w14:textId="77777777" w:rsidR="00AC1CBE" w:rsidRDefault="00AC1CBE" w:rsidP="00AC1CBE">
      <w:pPr>
        <w:pStyle w:val="Geenafstand"/>
        <w:rPr>
          <w:rFonts w:ascii="Arial" w:hAnsi="Arial" w:cs="Arial"/>
          <w:sz w:val="20"/>
          <w:szCs w:val="20"/>
        </w:rPr>
      </w:pPr>
    </w:p>
    <w:p w14:paraId="36561A70" w14:textId="77777777" w:rsidR="00B15B01" w:rsidRPr="00754442" w:rsidRDefault="00B15B01" w:rsidP="00AC1CBE">
      <w:pPr>
        <w:pStyle w:val="Geenafstand"/>
        <w:rPr>
          <w:rFonts w:ascii="Arial" w:hAnsi="Arial" w:cs="Arial"/>
          <w:sz w:val="20"/>
          <w:szCs w:val="20"/>
        </w:rPr>
      </w:pPr>
    </w:p>
    <w:p w14:paraId="0B5BBFD5" w14:textId="2F944B40" w:rsidR="00AC1CBE" w:rsidRPr="00754442" w:rsidRDefault="003B70C5" w:rsidP="00957F2F">
      <w:pPr>
        <w:pStyle w:val="Kop2"/>
        <w:tabs>
          <w:tab w:val="clear" w:pos="539"/>
          <w:tab w:val="left" w:pos="567"/>
        </w:tabs>
        <w:ind w:hanging="283"/>
        <w:rPr>
          <w:rFonts w:cs="Arial"/>
          <w:szCs w:val="24"/>
        </w:rPr>
      </w:pPr>
      <w:bookmarkStart w:id="34" w:name="_Toc106639607"/>
      <w:bookmarkStart w:id="35" w:name="_Toc152927295"/>
      <w:bookmarkStart w:id="36" w:name="_Toc155866622"/>
      <w:r>
        <w:t>Addition to taxable income for private use of company car</w:t>
      </w:r>
      <w:bookmarkEnd w:id="34"/>
      <w:bookmarkEnd w:id="35"/>
      <w:bookmarkEnd w:id="36"/>
    </w:p>
    <w:p w14:paraId="59DAF378" w14:textId="77777777" w:rsidR="00AC1CBE" w:rsidRPr="008F7603" w:rsidRDefault="00AC1CBE" w:rsidP="00AC1CBE">
      <w:pPr>
        <w:rPr>
          <w:rFonts w:ascii="Arial" w:hAnsi="Arial" w:cs="Arial"/>
          <w:sz w:val="22"/>
          <w:szCs w:val="22"/>
        </w:rPr>
      </w:pPr>
    </w:p>
    <w:p w14:paraId="4DA173C3" w14:textId="7AE20C65" w:rsidR="00AC1CBE" w:rsidRDefault="00F25D00" w:rsidP="00DC68E8">
      <w:pPr>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r>
        <w:rPr>
          <w:rFonts w:ascii="Arial" w:hAnsi="Arial"/>
          <w:sz w:val="22"/>
        </w:rPr>
        <w:t>In 2026 there will be no changes to the addition to taxable income for new cars with CO</w:t>
      </w:r>
      <w:r>
        <w:rPr>
          <w:rFonts w:ascii="Arial" w:hAnsi="Arial"/>
          <w:sz w:val="22"/>
          <w:vertAlign w:val="subscript"/>
        </w:rPr>
        <w:t>2</w:t>
      </w:r>
      <w:r>
        <w:rPr>
          <w:rFonts w:ascii="Arial" w:hAnsi="Arial"/>
          <w:sz w:val="22"/>
        </w:rPr>
        <w:t xml:space="preserve"> emissions of more than 0 grams per kilometre. As in previous years, this will remain at 22%.</w:t>
      </w:r>
    </w:p>
    <w:p w14:paraId="4B2CD8BB" w14:textId="77777777" w:rsidR="00DC68E8" w:rsidRPr="008F7603" w:rsidRDefault="00DC68E8" w:rsidP="00DC68E8">
      <w:pPr>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p>
    <w:p w14:paraId="381B4254" w14:textId="1526B530" w:rsidR="00E41947" w:rsidRDefault="00F25D00" w:rsidP="00AC1CBE">
      <w:pPr>
        <w:widowControl w:val="0"/>
        <w:autoSpaceDE w:val="0"/>
        <w:autoSpaceDN w:val="0"/>
        <w:adjustRightInd w:val="0"/>
        <w:rPr>
          <w:rFonts w:ascii="Arial" w:hAnsi="Arial" w:cs="Arial"/>
          <w:sz w:val="22"/>
          <w:szCs w:val="22"/>
        </w:rPr>
      </w:pPr>
      <w:r>
        <w:rPr>
          <w:rFonts w:ascii="Arial" w:hAnsi="Arial"/>
          <w:sz w:val="22"/>
        </w:rPr>
        <w:t xml:space="preserve">The addition for new cars with </w:t>
      </w:r>
      <w:bookmarkStart w:id="37" w:name="_Hlk184468802"/>
      <w:r>
        <w:rPr>
          <w:rFonts w:ascii="Arial" w:hAnsi="Arial"/>
          <w:sz w:val="22"/>
        </w:rPr>
        <w:t>CO</w:t>
      </w:r>
      <w:r>
        <w:rPr>
          <w:rFonts w:ascii="Arial" w:hAnsi="Arial"/>
          <w:sz w:val="22"/>
          <w:vertAlign w:val="subscript"/>
        </w:rPr>
        <w:t>2</w:t>
      </w:r>
      <w:r>
        <w:rPr>
          <w:rFonts w:ascii="Arial" w:hAnsi="Arial"/>
          <w:sz w:val="22"/>
        </w:rPr>
        <w:t xml:space="preserve"> emissions of 0 grams </w:t>
      </w:r>
      <w:bookmarkEnd w:id="37"/>
      <w:r>
        <w:rPr>
          <w:rFonts w:ascii="Arial" w:hAnsi="Arial"/>
          <w:sz w:val="22"/>
        </w:rPr>
        <w:t>(including fully electric cars) per kilometre was 17% in 2025, up to a list price of € 30,000, and 22% above this level. 2025 was supposed to be the last year in which a discount would apply to new cars with CO</w:t>
      </w:r>
      <w:r>
        <w:rPr>
          <w:rFonts w:ascii="Arial" w:hAnsi="Arial"/>
          <w:sz w:val="22"/>
          <w:vertAlign w:val="subscript"/>
        </w:rPr>
        <w:t>2</w:t>
      </w:r>
      <w:r>
        <w:rPr>
          <w:rFonts w:ascii="Arial" w:hAnsi="Arial"/>
          <w:sz w:val="22"/>
        </w:rPr>
        <w:t xml:space="preserve"> emissions of 0 grams. At the last moment, however, a change to the law was passed, as a result of which in 2026 and 2027 a lower addition will continue to apply to new cars with no CO</w:t>
      </w:r>
      <w:r>
        <w:rPr>
          <w:rFonts w:ascii="Arial" w:hAnsi="Arial"/>
          <w:sz w:val="22"/>
          <w:vertAlign w:val="subscript"/>
        </w:rPr>
        <w:t>2</w:t>
      </w:r>
      <w:r>
        <w:rPr>
          <w:rFonts w:ascii="Arial" w:hAnsi="Arial"/>
          <w:sz w:val="22"/>
        </w:rPr>
        <w:t xml:space="preserve"> emissions.</w:t>
      </w:r>
    </w:p>
    <w:p w14:paraId="42805B8D" w14:textId="77777777" w:rsidR="00E41947" w:rsidRDefault="00E41947" w:rsidP="00AC1CBE">
      <w:pPr>
        <w:widowControl w:val="0"/>
        <w:autoSpaceDE w:val="0"/>
        <w:autoSpaceDN w:val="0"/>
        <w:adjustRightInd w:val="0"/>
        <w:rPr>
          <w:rFonts w:ascii="Arial" w:hAnsi="Arial" w:cs="Arial"/>
          <w:sz w:val="22"/>
          <w:szCs w:val="22"/>
        </w:rPr>
      </w:pPr>
    </w:p>
    <w:p w14:paraId="3BE717D8" w14:textId="1F919052" w:rsidR="0060024E" w:rsidRDefault="00E41947" w:rsidP="00AC1CBE">
      <w:pPr>
        <w:widowControl w:val="0"/>
        <w:autoSpaceDE w:val="0"/>
        <w:autoSpaceDN w:val="0"/>
        <w:adjustRightInd w:val="0"/>
        <w:rPr>
          <w:rFonts w:ascii="Arial" w:hAnsi="Arial" w:cs="Arial"/>
          <w:sz w:val="22"/>
          <w:szCs w:val="22"/>
        </w:rPr>
      </w:pPr>
      <w:r>
        <w:rPr>
          <w:rFonts w:ascii="Arial" w:hAnsi="Arial"/>
          <w:sz w:val="22"/>
        </w:rPr>
        <w:t>For a new fully electric car made available in 2026, this lower addition will amount to 18% on the first € 30,000 of the list price and 22% above this level. In 2027 it will rise to 20% on the first € 30,000 of the list price, with 22% applying to the excess amount. From 2028, the lower addition will be abolished for new cars with no CO</w:t>
      </w:r>
      <w:r>
        <w:rPr>
          <w:rFonts w:ascii="Arial" w:hAnsi="Arial"/>
          <w:sz w:val="22"/>
          <w:vertAlign w:val="subscript"/>
        </w:rPr>
        <w:t>2</w:t>
      </w:r>
      <w:r>
        <w:rPr>
          <w:rFonts w:ascii="Arial" w:hAnsi="Arial"/>
          <w:sz w:val="22"/>
        </w:rPr>
        <w:t xml:space="preserve"> emissions made available in 2028.</w:t>
      </w:r>
    </w:p>
    <w:p w14:paraId="7E5E7568" w14:textId="77777777" w:rsidR="00F25D00" w:rsidRDefault="00F25D00" w:rsidP="00AC1CBE">
      <w:pPr>
        <w:widowControl w:val="0"/>
        <w:autoSpaceDE w:val="0"/>
        <w:autoSpaceDN w:val="0"/>
        <w:adjustRightInd w:val="0"/>
        <w:rPr>
          <w:rFonts w:ascii="Arial" w:hAnsi="Arial" w:cs="Arial"/>
          <w:sz w:val="22"/>
          <w:szCs w:val="22"/>
        </w:rPr>
      </w:pPr>
    </w:p>
    <w:tbl>
      <w:tblPr>
        <w:tblW w:w="7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8"/>
        <w:gridCol w:w="1158"/>
        <w:gridCol w:w="1189"/>
        <w:gridCol w:w="1087"/>
        <w:gridCol w:w="2421"/>
      </w:tblGrid>
      <w:tr w:rsidR="00146674" w:rsidRPr="00754442" w14:paraId="764E1DC0" w14:textId="331A0009" w:rsidTr="00146674">
        <w:tc>
          <w:tcPr>
            <w:tcW w:w="1247" w:type="dxa"/>
            <w:hideMark/>
          </w:tcPr>
          <w:p w14:paraId="53AB29A1" w14:textId="43C64747" w:rsidR="00F25D00" w:rsidRPr="00754442" w:rsidRDefault="00F25D00" w:rsidP="00A413A9">
            <w:pPr>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eastAsia="Arial" w:hAnsi="Arial" w:cs="Arial"/>
                <w:b/>
                <w:bCs/>
                <w:sz w:val="22"/>
                <w:szCs w:val="22"/>
              </w:rPr>
            </w:pPr>
            <w:r>
              <w:rPr>
                <w:rFonts w:ascii="Arial" w:hAnsi="Arial"/>
                <w:b/>
                <w:sz w:val="22"/>
              </w:rPr>
              <w:t>Year</w:t>
            </w:r>
          </w:p>
        </w:tc>
        <w:tc>
          <w:tcPr>
            <w:tcW w:w="999" w:type="dxa"/>
            <w:hideMark/>
          </w:tcPr>
          <w:p w14:paraId="6868EDA3" w14:textId="506057CF" w:rsidR="00F25D00" w:rsidRPr="00754442" w:rsidRDefault="00F25D00" w:rsidP="00A413A9">
            <w:pPr>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eastAsia="Arial" w:hAnsi="Arial" w:cs="Arial"/>
                <w:b/>
                <w:bCs/>
                <w:sz w:val="22"/>
                <w:szCs w:val="22"/>
              </w:rPr>
            </w:pPr>
            <w:r>
              <w:rPr>
                <w:rFonts w:ascii="Arial" w:hAnsi="Arial"/>
                <w:b/>
                <w:sz w:val="22"/>
              </w:rPr>
              <w:t>Discount</w:t>
            </w:r>
          </w:p>
        </w:tc>
        <w:tc>
          <w:tcPr>
            <w:tcW w:w="1197" w:type="dxa"/>
            <w:tcBorders>
              <w:bottom w:val="single" w:sz="4" w:space="0" w:color="auto"/>
            </w:tcBorders>
            <w:hideMark/>
          </w:tcPr>
          <w:p w14:paraId="1C71727D" w14:textId="13A4190A" w:rsidR="00F25D00" w:rsidRPr="00754442" w:rsidRDefault="00F25D00" w:rsidP="00A413A9">
            <w:pPr>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eastAsia="Arial" w:hAnsi="Arial" w:cs="Arial"/>
                <w:b/>
                <w:bCs/>
                <w:sz w:val="22"/>
                <w:szCs w:val="22"/>
              </w:rPr>
            </w:pPr>
            <w:r>
              <w:rPr>
                <w:rFonts w:ascii="Arial" w:hAnsi="Arial"/>
                <w:b/>
                <w:sz w:val="22"/>
              </w:rPr>
              <w:t>Addition to taxable income</w:t>
            </w:r>
          </w:p>
        </w:tc>
        <w:tc>
          <w:tcPr>
            <w:tcW w:w="1088" w:type="dxa"/>
            <w:tcBorders>
              <w:bottom w:val="single" w:sz="4" w:space="0" w:color="auto"/>
            </w:tcBorders>
            <w:hideMark/>
          </w:tcPr>
          <w:p w14:paraId="4741EAF2" w14:textId="2CEEB563" w:rsidR="00F25D00" w:rsidRPr="00754442" w:rsidRDefault="00146674" w:rsidP="00A413A9">
            <w:pPr>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eastAsia="Arial" w:hAnsi="Arial" w:cs="Arial"/>
                <w:b/>
                <w:bCs/>
                <w:sz w:val="22"/>
                <w:szCs w:val="22"/>
              </w:rPr>
            </w:pPr>
            <w:r>
              <w:rPr>
                <w:rFonts w:ascii="Arial" w:hAnsi="Arial"/>
                <w:b/>
                <w:sz w:val="22"/>
              </w:rPr>
              <w:t>Ceiling</w:t>
            </w:r>
          </w:p>
        </w:tc>
        <w:tc>
          <w:tcPr>
            <w:tcW w:w="2552" w:type="dxa"/>
            <w:tcBorders>
              <w:bottom w:val="single" w:sz="4" w:space="0" w:color="auto"/>
            </w:tcBorders>
          </w:tcPr>
          <w:p w14:paraId="078034C3" w14:textId="61084C0A" w:rsidR="00F25D00" w:rsidRDefault="00F25D00" w:rsidP="00A413A9">
            <w:pPr>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eastAsia="Arial" w:hAnsi="Arial" w:cs="Arial"/>
                <w:b/>
                <w:bCs/>
                <w:sz w:val="22"/>
                <w:szCs w:val="22"/>
              </w:rPr>
            </w:pPr>
            <w:r>
              <w:rPr>
                <w:rFonts w:ascii="Arial" w:hAnsi="Arial"/>
                <w:b/>
                <w:sz w:val="22"/>
              </w:rPr>
              <w:t>Addition to taxable income above this</w:t>
            </w:r>
          </w:p>
        </w:tc>
      </w:tr>
      <w:tr w:rsidR="00146674" w:rsidRPr="00754442" w14:paraId="718023BB" w14:textId="5C3EFF9B" w:rsidTr="00146674">
        <w:tc>
          <w:tcPr>
            <w:tcW w:w="1247" w:type="dxa"/>
            <w:hideMark/>
          </w:tcPr>
          <w:p w14:paraId="4EB41E5E" w14:textId="63CA49CB" w:rsidR="00F25D00" w:rsidRPr="00754442" w:rsidRDefault="00F25D00" w:rsidP="00A413A9">
            <w:pPr>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eastAsia="Arial" w:hAnsi="Arial" w:cs="Arial"/>
                <w:sz w:val="22"/>
                <w:szCs w:val="22"/>
              </w:rPr>
            </w:pPr>
            <w:r>
              <w:rPr>
                <w:rFonts w:ascii="Arial" w:hAnsi="Arial"/>
                <w:sz w:val="22"/>
              </w:rPr>
              <w:t>2026</w:t>
            </w:r>
          </w:p>
        </w:tc>
        <w:tc>
          <w:tcPr>
            <w:tcW w:w="999" w:type="dxa"/>
            <w:hideMark/>
          </w:tcPr>
          <w:p w14:paraId="6EFDEC04" w14:textId="627DDD17" w:rsidR="00F25D00" w:rsidRPr="00754442" w:rsidRDefault="0060024E" w:rsidP="00A413A9">
            <w:pPr>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eastAsia="Arial" w:hAnsi="Arial" w:cs="Arial"/>
                <w:sz w:val="22"/>
                <w:szCs w:val="22"/>
              </w:rPr>
            </w:pPr>
            <w:r>
              <w:rPr>
                <w:rFonts w:ascii="Arial" w:hAnsi="Arial"/>
                <w:sz w:val="22"/>
              </w:rPr>
              <w:t>4%</w:t>
            </w:r>
          </w:p>
        </w:tc>
        <w:tc>
          <w:tcPr>
            <w:tcW w:w="1197" w:type="dxa"/>
            <w:tcBorders>
              <w:top w:val="single" w:sz="4" w:space="0" w:color="auto"/>
              <w:bottom w:val="single" w:sz="4" w:space="0" w:color="auto"/>
              <w:right w:val="single" w:sz="4" w:space="0" w:color="auto"/>
            </w:tcBorders>
            <w:shd w:val="clear" w:color="auto" w:fill="FFFFFF"/>
          </w:tcPr>
          <w:p w14:paraId="1E543690" w14:textId="1197AE39" w:rsidR="00F25D00" w:rsidRPr="00754442" w:rsidRDefault="00F25D00" w:rsidP="00A413A9">
            <w:pPr>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eastAsia="Arial" w:hAnsi="Arial" w:cs="Arial"/>
                <w:sz w:val="22"/>
                <w:szCs w:val="22"/>
              </w:rPr>
            </w:pPr>
            <w:r>
              <w:rPr>
                <w:rFonts w:ascii="Arial" w:hAnsi="Arial"/>
                <w:sz w:val="22"/>
              </w:rPr>
              <w:t>18%</w:t>
            </w:r>
          </w:p>
        </w:tc>
        <w:tc>
          <w:tcPr>
            <w:tcW w:w="1088" w:type="dxa"/>
            <w:tcBorders>
              <w:top w:val="single" w:sz="4" w:space="0" w:color="auto"/>
              <w:left w:val="single" w:sz="4" w:space="0" w:color="auto"/>
              <w:bottom w:val="single" w:sz="4" w:space="0" w:color="auto"/>
              <w:right w:val="single" w:sz="4" w:space="0" w:color="auto"/>
            </w:tcBorders>
            <w:shd w:val="clear" w:color="auto" w:fill="FFFFFF"/>
          </w:tcPr>
          <w:p w14:paraId="1FBDF560" w14:textId="2AFAC811" w:rsidR="00F25D00" w:rsidRPr="00754442" w:rsidRDefault="00F25D00" w:rsidP="00A413A9">
            <w:pPr>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eastAsia="Arial" w:hAnsi="Arial" w:cs="Arial"/>
                <w:sz w:val="22"/>
                <w:szCs w:val="22"/>
              </w:rPr>
            </w:pPr>
            <w:r>
              <w:rPr>
                <w:rFonts w:ascii="Arial" w:hAnsi="Arial"/>
                <w:sz w:val="22"/>
              </w:rPr>
              <w:t>€ 30,000</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77E0CEAC" w14:textId="3DA24874" w:rsidR="00F25D00" w:rsidRPr="00754442" w:rsidRDefault="00146674" w:rsidP="00A413A9">
            <w:pPr>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eastAsia="Arial" w:hAnsi="Arial" w:cs="Arial"/>
                <w:sz w:val="22"/>
                <w:szCs w:val="22"/>
              </w:rPr>
            </w:pPr>
            <w:r>
              <w:rPr>
                <w:rFonts w:ascii="Arial" w:hAnsi="Arial"/>
                <w:sz w:val="22"/>
              </w:rPr>
              <w:t>22%</w:t>
            </w:r>
          </w:p>
        </w:tc>
      </w:tr>
      <w:tr w:rsidR="00146674" w:rsidRPr="00754442" w14:paraId="76CA8D06" w14:textId="0492DF04" w:rsidTr="00146674">
        <w:tc>
          <w:tcPr>
            <w:tcW w:w="1247" w:type="dxa"/>
          </w:tcPr>
          <w:p w14:paraId="5E8B0AF3" w14:textId="3878D94E" w:rsidR="00F25D00" w:rsidRPr="00754442" w:rsidRDefault="00F25D00" w:rsidP="00A413A9">
            <w:pPr>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eastAsia="Arial" w:hAnsi="Arial" w:cs="Arial"/>
                <w:sz w:val="22"/>
                <w:szCs w:val="22"/>
              </w:rPr>
            </w:pPr>
            <w:r>
              <w:rPr>
                <w:rFonts w:ascii="Arial" w:hAnsi="Arial"/>
                <w:sz w:val="22"/>
              </w:rPr>
              <w:t>2027</w:t>
            </w:r>
          </w:p>
        </w:tc>
        <w:tc>
          <w:tcPr>
            <w:tcW w:w="999" w:type="dxa"/>
          </w:tcPr>
          <w:p w14:paraId="172FE72B" w14:textId="0F354EC5" w:rsidR="00F25D00" w:rsidRPr="00754442" w:rsidRDefault="0060024E" w:rsidP="00A413A9">
            <w:pPr>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eastAsia="Arial" w:hAnsi="Arial" w:cs="Arial"/>
                <w:sz w:val="22"/>
                <w:szCs w:val="22"/>
              </w:rPr>
            </w:pPr>
            <w:r>
              <w:rPr>
                <w:rFonts w:ascii="Arial" w:hAnsi="Arial"/>
                <w:sz w:val="22"/>
              </w:rPr>
              <w:t>2%</w:t>
            </w:r>
          </w:p>
        </w:tc>
        <w:tc>
          <w:tcPr>
            <w:tcW w:w="1197" w:type="dxa"/>
            <w:tcBorders>
              <w:top w:val="single" w:sz="4" w:space="0" w:color="auto"/>
              <w:bottom w:val="single" w:sz="4" w:space="0" w:color="auto"/>
              <w:right w:val="single" w:sz="4" w:space="0" w:color="auto"/>
            </w:tcBorders>
            <w:shd w:val="clear" w:color="auto" w:fill="FFFFFF"/>
          </w:tcPr>
          <w:p w14:paraId="23C41CC3" w14:textId="0B1B8F58" w:rsidR="00F25D00" w:rsidRPr="00754442" w:rsidRDefault="00F25D00" w:rsidP="00A413A9">
            <w:pPr>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eastAsia="Arial" w:hAnsi="Arial" w:cs="Arial"/>
                <w:sz w:val="22"/>
                <w:szCs w:val="22"/>
              </w:rPr>
            </w:pPr>
            <w:r>
              <w:rPr>
                <w:rFonts w:ascii="Arial" w:hAnsi="Arial"/>
                <w:sz w:val="22"/>
              </w:rPr>
              <w:t>20%</w:t>
            </w:r>
          </w:p>
        </w:tc>
        <w:tc>
          <w:tcPr>
            <w:tcW w:w="1088" w:type="dxa"/>
            <w:tcBorders>
              <w:top w:val="single" w:sz="4" w:space="0" w:color="auto"/>
              <w:left w:val="single" w:sz="4" w:space="0" w:color="auto"/>
              <w:bottom w:val="single" w:sz="4" w:space="0" w:color="auto"/>
              <w:right w:val="single" w:sz="4" w:space="0" w:color="auto"/>
            </w:tcBorders>
            <w:shd w:val="clear" w:color="auto" w:fill="FFFFFF"/>
          </w:tcPr>
          <w:p w14:paraId="35902AE6" w14:textId="3B56EA27" w:rsidR="00F25D00" w:rsidRPr="00754442" w:rsidRDefault="0060024E" w:rsidP="00A413A9">
            <w:pPr>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eastAsia="Arial" w:hAnsi="Arial" w:cs="Arial"/>
                <w:sz w:val="22"/>
                <w:szCs w:val="22"/>
              </w:rPr>
            </w:pPr>
            <w:r>
              <w:rPr>
                <w:rFonts w:ascii="Arial" w:hAnsi="Arial"/>
                <w:sz w:val="22"/>
              </w:rPr>
              <w:t>€ 30,000</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11824897" w14:textId="1061A314" w:rsidR="00F25D00" w:rsidRPr="00754442" w:rsidRDefault="0060024E" w:rsidP="00A413A9">
            <w:pPr>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eastAsia="Arial" w:hAnsi="Arial" w:cs="Arial"/>
                <w:sz w:val="22"/>
                <w:szCs w:val="22"/>
              </w:rPr>
            </w:pPr>
            <w:r>
              <w:rPr>
                <w:rFonts w:ascii="Arial" w:hAnsi="Arial"/>
                <w:sz w:val="22"/>
              </w:rPr>
              <w:t>22%</w:t>
            </w:r>
          </w:p>
        </w:tc>
      </w:tr>
      <w:tr w:rsidR="0060024E" w:rsidRPr="00754442" w14:paraId="7B289F72" w14:textId="77777777" w:rsidTr="00146674">
        <w:tc>
          <w:tcPr>
            <w:tcW w:w="1247" w:type="dxa"/>
          </w:tcPr>
          <w:p w14:paraId="4C1CB15E" w14:textId="1320AB62" w:rsidR="0060024E" w:rsidRPr="00754442" w:rsidRDefault="0060024E" w:rsidP="00A413A9">
            <w:pPr>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eastAsia="Arial" w:hAnsi="Arial" w:cs="Arial"/>
                <w:sz w:val="22"/>
                <w:szCs w:val="22"/>
              </w:rPr>
            </w:pPr>
            <w:r>
              <w:rPr>
                <w:rFonts w:ascii="Arial" w:hAnsi="Arial"/>
                <w:sz w:val="22"/>
              </w:rPr>
              <w:t>2028 onwards</w:t>
            </w:r>
          </w:p>
        </w:tc>
        <w:tc>
          <w:tcPr>
            <w:tcW w:w="999" w:type="dxa"/>
          </w:tcPr>
          <w:p w14:paraId="03CD4250" w14:textId="733D764B" w:rsidR="0060024E" w:rsidRPr="00754442" w:rsidRDefault="0060024E" w:rsidP="00A413A9">
            <w:pPr>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eastAsia="Arial" w:hAnsi="Arial" w:cs="Arial"/>
                <w:sz w:val="22"/>
                <w:szCs w:val="22"/>
              </w:rPr>
            </w:pPr>
            <w:r>
              <w:rPr>
                <w:rFonts w:ascii="Arial" w:hAnsi="Arial"/>
                <w:sz w:val="22"/>
              </w:rPr>
              <w:t>0%</w:t>
            </w:r>
          </w:p>
        </w:tc>
        <w:tc>
          <w:tcPr>
            <w:tcW w:w="1197" w:type="dxa"/>
            <w:tcBorders>
              <w:top w:val="single" w:sz="4" w:space="0" w:color="auto"/>
              <w:bottom w:val="single" w:sz="4" w:space="0" w:color="auto"/>
              <w:right w:val="single" w:sz="4" w:space="0" w:color="auto"/>
            </w:tcBorders>
            <w:shd w:val="clear" w:color="auto" w:fill="FFFFFF"/>
          </w:tcPr>
          <w:p w14:paraId="74759E66" w14:textId="74A0736D" w:rsidR="0060024E" w:rsidRPr="00754442" w:rsidRDefault="0060024E" w:rsidP="00A413A9">
            <w:pPr>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eastAsia="Arial" w:hAnsi="Arial" w:cs="Arial"/>
                <w:sz w:val="22"/>
                <w:szCs w:val="22"/>
              </w:rPr>
            </w:pPr>
            <w:r>
              <w:rPr>
                <w:rFonts w:ascii="Arial" w:hAnsi="Arial"/>
                <w:sz w:val="22"/>
              </w:rPr>
              <w:t>22%</w:t>
            </w:r>
          </w:p>
        </w:tc>
        <w:tc>
          <w:tcPr>
            <w:tcW w:w="1088" w:type="dxa"/>
            <w:tcBorders>
              <w:top w:val="single" w:sz="4" w:space="0" w:color="auto"/>
              <w:left w:val="single" w:sz="4" w:space="0" w:color="auto"/>
              <w:bottom w:val="single" w:sz="4" w:space="0" w:color="auto"/>
              <w:right w:val="single" w:sz="4" w:space="0" w:color="auto"/>
            </w:tcBorders>
            <w:shd w:val="clear" w:color="auto" w:fill="FFFFFF"/>
          </w:tcPr>
          <w:p w14:paraId="5F4A96C1" w14:textId="432680D9" w:rsidR="0060024E" w:rsidRPr="00754442" w:rsidRDefault="0060024E" w:rsidP="00A413A9">
            <w:pPr>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eastAsia="Arial" w:hAnsi="Arial" w:cs="Arial"/>
                <w:sz w:val="22"/>
                <w:szCs w:val="22"/>
              </w:rPr>
            </w:pPr>
            <w:r>
              <w:rPr>
                <w:rFonts w:ascii="Arial" w:hAnsi="Arial"/>
                <w:sz w:val="22"/>
              </w:rPr>
              <w:t>N/A</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4B8652F0" w14:textId="21EFCF56" w:rsidR="0060024E" w:rsidRDefault="0060024E" w:rsidP="00A413A9">
            <w:pPr>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eastAsia="Arial" w:hAnsi="Arial" w:cs="Arial"/>
                <w:sz w:val="22"/>
                <w:szCs w:val="22"/>
              </w:rPr>
            </w:pPr>
            <w:r>
              <w:rPr>
                <w:rFonts w:ascii="Arial" w:hAnsi="Arial"/>
                <w:sz w:val="22"/>
              </w:rPr>
              <w:t>N/A</w:t>
            </w:r>
          </w:p>
        </w:tc>
      </w:tr>
    </w:tbl>
    <w:p w14:paraId="0B51A360" w14:textId="77777777" w:rsidR="00C37B9D" w:rsidRPr="00754442" w:rsidRDefault="00C37B9D" w:rsidP="00AC1CBE">
      <w:pPr>
        <w:rPr>
          <w:rFonts w:ascii="Arial" w:hAnsi="Arial" w:cs="Arial"/>
          <w:sz w:val="22"/>
          <w:szCs w:val="22"/>
        </w:rPr>
      </w:pPr>
    </w:p>
    <w:p w14:paraId="2F8CAFBF" w14:textId="5A726E71" w:rsidR="006B4CF7" w:rsidRPr="00754442" w:rsidRDefault="00AC1CBE" w:rsidP="00AC1CBE">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r>
        <w:rPr>
          <w:rFonts w:ascii="Arial" w:hAnsi="Arial"/>
          <w:b/>
          <w:sz w:val="22"/>
        </w:rPr>
        <w:t>Please note:</w:t>
      </w:r>
      <w:r>
        <w:rPr>
          <w:rFonts w:ascii="Arial" w:hAnsi="Arial"/>
          <w:sz w:val="22"/>
        </w:rPr>
        <w:br/>
        <w:t>The addition is fixed for 60 months from the first month after that in which the car is first registered. After the 60-month period has ended an annual assessment will be performed to determine whether a discount applies to a fully electric car based on the legislation in force at that time. Cars with CO</w:t>
      </w:r>
      <w:r>
        <w:rPr>
          <w:rFonts w:ascii="Arial" w:hAnsi="Arial"/>
          <w:sz w:val="22"/>
          <w:vertAlign w:val="subscript"/>
        </w:rPr>
        <w:t>2</w:t>
      </w:r>
      <w:r>
        <w:rPr>
          <w:rFonts w:ascii="Arial" w:hAnsi="Arial"/>
          <w:sz w:val="22"/>
        </w:rPr>
        <w:t xml:space="preserve"> emissions of 0 grams that come to the end of the 60-month period in 2026 will therefore be subject, on reaching that point, to an addition to taxable income of 18% on the first € 30,000 of the list price and of 22% above this amount. From 2027, an addition of 20% on the first € 30,000 of the list price and of 22% on the excess amount will apply to these cars. An addition of 22% will apply from 2028.</w:t>
      </w:r>
    </w:p>
    <w:p w14:paraId="433EF8AB" w14:textId="77777777" w:rsidR="00AC1CBE" w:rsidRPr="00754442" w:rsidRDefault="00AC1CBE" w:rsidP="00AC1CBE">
      <w:pPr>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p>
    <w:p w14:paraId="61D6A07F" w14:textId="39160200" w:rsidR="00AC1CBE" w:rsidRPr="00754442" w:rsidRDefault="00AC1CBE" w:rsidP="00AC1CBE">
      <w:pPr>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b/>
          <w:sz w:val="22"/>
          <w:szCs w:val="22"/>
        </w:rPr>
      </w:pPr>
      <w:r>
        <w:rPr>
          <w:rFonts w:ascii="Arial" w:hAnsi="Arial"/>
          <w:b/>
          <w:sz w:val="22"/>
        </w:rPr>
        <w:t>Exception for hydrogen- and solar-powered cars</w:t>
      </w:r>
    </w:p>
    <w:p w14:paraId="56F603CF" w14:textId="383FE636" w:rsidR="00AC1CBE" w:rsidRDefault="00AC1CBE" w:rsidP="00AC1CBE">
      <w:pPr>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r>
        <w:rPr>
          <w:rFonts w:ascii="Arial" w:hAnsi="Arial"/>
          <w:sz w:val="22"/>
        </w:rPr>
        <w:t>The cap, which means the discounted addition percentage of 18% does not apply to the portion of the list price above € 30,000 (2026), will not apply to hydrogen- or solar-powered cars. For such cars this addition percentage of 18% will apply to the entire list price in 2026.</w:t>
      </w:r>
    </w:p>
    <w:p w14:paraId="271EB8C5" w14:textId="77777777" w:rsidR="004D0B77" w:rsidRDefault="004D0B77" w:rsidP="00AC1CBE">
      <w:pPr>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p>
    <w:p w14:paraId="25D8926F" w14:textId="537584E2" w:rsidR="0060024E" w:rsidRDefault="0060024E" w:rsidP="00957F2F">
      <w:pPr>
        <w:pStyle w:val="Kop2"/>
        <w:ind w:hanging="283"/>
      </w:pPr>
      <w:r>
        <w:t>Age limit for young-timer scheme</w:t>
      </w:r>
    </w:p>
    <w:p w14:paraId="2C448BF5" w14:textId="77777777" w:rsidR="0060024E" w:rsidRDefault="0060024E" w:rsidP="0060024E">
      <w:pPr>
        <w:rPr>
          <w:rFonts w:ascii="Arial" w:hAnsi="Arial" w:cs="Arial"/>
          <w:sz w:val="22"/>
          <w:szCs w:val="22"/>
        </w:rPr>
      </w:pPr>
    </w:p>
    <w:p w14:paraId="765E097E" w14:textId="0C963275" w:rsidR="0060024E" w:rsidRPr="0060024E" w:rsidRDefault="0060024E" w:rsidP="0060024E">
      <w:pPr>
        <w:rPr>
          <w:rFonts w:ascii="Arial" w:hAnsi="Arial" w:cs="Arial"/>
          <w:sz w:val="22"/>
          <w:szCs w:val="22"/>
        </w:rPr>
      </w:pPr>
      <w:r>
        <w:rPr>
          <w:rFonts w:ascii="Arial" w:hAnsi="Arial"/>
          <w:sz w:val="22"/>
        </w:rPr>
        <w:t>From 1 January 2026 and 1 January 2027 the rules of the young-timer scheme are changing. Transitional arrangements will apply in 2026.</w:t>
      </w:r>
    </w:p>
    <w:p w14:paraId="109F23E8" w14:textId="77777777" w:rsidR="0060024E" w:rsidRDefault="0060024E" w:rsidP="0060024E">
      <w:pPr>
        <w:rPr>
          <w:rFonts w:ascii="Arial" w:hAnsi="Arial" w:cs="Arial"/>
          <w:sz w:val="22"/>
          <w:szCs w:val="22"/>
        </w:rPr>
      </w:pPr>
    </w:p>
    <w:p w14:paraId="2DBA37D1" w14:textId="77777777" w:rsidR="007C4EBB" w:rsidRDefault="007C4EBB" w:rsidP="0060024E">
      <w:pPr>
        <w:rPr>
          <w:rFonts w:ascii="Arial" w:hAnsi="Arial" w:cs="Arial"/>
          <w:sz w:val="22"/>
          <w:szCs w:val="22"/>
        </w:rPr>
      </w:pPr>
    </w:p>
    <w:p w14:paraId="6EE192FE" w14:textId="77777777" w:rsidR="007C4EBB" w:rsidRPr="0060024E" w:rsidRDefault="007C4EBB" w:rsidP="0060024E">
      <w:pPr>
        <w:rPr>
          <w:rFonts w:ascii="Arial" w:hAnsi="Arial" w:cs="Arial"/>
          <w:sz w:val="22"/>
          <w:szCs w:val="22"/>
        </w:rPr>
      </w:pPr>
    </w:p>
    <w:p w14:paraId="44313BF2" w14:textId="77777777" w:rsidR="0060024E" w:rsidRPr="00760278" w:rsidRDefault="0060024E" w:rsidP="0060024E">
      <w:pPr>
        <w:rPr>
          <w:rFonts w:ascii="Arial" w:hAnsi="Arial" w:cs="Arial"/>
          <w:b/>
          <w:bCs/>
          <w:sz w:val="22"/>
          <w:szCs w:val="22"/>
        </w:rPr>
      </w:pPr>
      <w:r>
        <w:rPr>
          <w:rFonts w:ascii="Arial" w:hAnsi="Arial"/>
          <w:b/>
          <w:sz w:val="22"/>
        </w:rPr>
        <w:t>Young-timer scheme</w:t>
      </w:r>
    </w:p>
    <w:p w14:paraId="2FD58363" w14:textId="741994C6" w:rsidR="0060024E" w:rsidRPr="0060024E" w:rsidRDefault="0060024E" w:rsidP="0060024E">
      <w:pPr>
        <w:rPr>
          <w:rFonts w:ascii="Arial" w:hAnsi="Arial" w:cs="Arial"/>
          <w:sz w:val="22"/>
          <w:szCs w:val="22"/>
        </w:rPr>
      </w:pPr>
      <w:r>
        <w:rPr>
          <w:rFonts w:ascii="Arial" w:hAnsi="Arial"/>
          <w:sz w:val="22"/>
        </w:rPr>
        <w:t>Under the young-timer scheme, in 2025 a company car that first entered use fifteen years ago was subject to an addition to taxable income of 35% of the market value. If the car was younger, but entered use for the first time before 1 January 2017, the addition amounted to 25% of the original list price.</w:t>
      </w:r>
    </w:p>
    <w:p w14:paraId="7DBE8464" w14:textId="77777777" w:rsidR="00795815" w:rsidRDefault="00795815" w:rsidP="0060024E">
      <w:pPr>
        <w:rPr>
          <w:rFonts w:ascii="Arial" w:hAnsi="Arial" w:cs="Arial"/>
          <w:b/>
          <w:bCs/>
          <w:sz w:val="22"/>
          <w:szCs w:val="22"/>
        </w:rPr>
      </w:pPr>
    </w:p>
    <w:p w14:paraId="7E07D913" w14:textId="40EA7605" w:rsidR="0060024E" w:rsidRPr="00760278" w:rsidRDefault="00760278" w:rsidP="0060024E">
      <w:pPr>
        <w:rPr>
          <w:rFonts w:ascii="Arial" w:hAnsi="Arial" w:cs="Arial"/>
          <w:b/>
          <w:bCs/>
          <w:sz w:val="22"/>
          <w:szCs w:val="22"/>
        </w:rPr>
      </w:pPr>
      <w:r>
        <w:rPr>
          <w:rFonts w:ascii="Arial" w:hAnsi="Arial"/>
          <w:b/>
          <w:sz w:val="22"/>
        </w:rPr>
        <w:t>Increase in age</w:t>
      </w:r>
    </w:p>
    <w:p w14:paraId="0E1F9A07" w14:textId="0635E8CE" w:rsidR="0060024E" w:rsidRPr="0060024E" w:rsidRDefault="0060024E" w:rsidP="0060024E">
      <w:pPr>
        <w:rPr>
          <w:rFonts w:ascii="Arial" w:hAnsi="Arial" w:cs="Arial"/>
          <w:sz w:val="22"/>
          <w:szCs w:val="22"/>
        </w:rPr>
      </w:pPr>
      <w:r>
        <w:rPr>
          <w:rFonts w:ascii="Arial" w:hAnsi="Arial"/>
          <w:sz w:val="22"/>
        </w:rPr>
        <w:t>In 2026 the age limit under the young-timer scheme will increase to sixteen years and from 2027 to 25 years.</w:t>
      </w:r>
    </w:p>
    <w:p w14:paraId="6D64B636" w14:textId="77777777" w:rsidR="0060024E" w:rsidRPr="0060024E" w:rsidRDefault="0060024E" w:rsidP="0060024E">
      <w:pPr>
        <w:rPr>
          <w:rFonts w:ascii="Arial" w:hAnsi="Arial" w:cs="Arial"/>
          <w:sz w:val="22"/>
          <w:szCs w:val="22"/>
        </w:rPr>
      </w:pPr>
    </w:p>
    <w:p w14:paraId="4BAF343F" w14:textId="77777777" w:rsidR="0060024E" w:rsidRPr="00760278" w:rsidRDefault="0060024E" w:rsidP="0060024E">
      <w:pPr>
        <w:rPr>
          <w:rFonts w:ascii="Arial" w:hAnsi="Arial" w:cs="Arial"/>
          <w:b/>
          <w:bCs/>
          <w:sz w:val="22"/>
          <w:szCs w:val="22"/>
        </w:rPr>
      </w:pPr>
      <w:r>
        <w:rPr>
          <w:rFonts w:ascii="Arial" w:hAnsi="Arial"/>
          <w:b/>
          <w:sz w:val="22"/>
        </w:rPr>
        <w:t>Transitional arrangements in 2026</w:t>
      </w:r>
    </w:p>
    <w:p w14:paraId="1B742DD4" w14:textId="6D8E9CC6" w:rsidR="0060024E" w:rsidRDefault="0060024E" w:rsidP="0060024E">
      <w:pPr>
        <w:rPr>
          <w:rFonts w:ascii="Arial" w:hAnsi="Arial" w:cs="Arial"/>
          <w:sz w:val="22"/>
          <w:szCs w:val="22"/>
        </w:rPr>
      </w:pPr>
      <w:r>
        <w:rPr>
          <w:rFonts w:ascii="Arial" w:hAnsi="Arial"/>
          <w:sz w:val="22"/>
        </w:rPr>
        <w:t>This new age limit would mean that a car that reached the age of fifteen in 2025 would be faced with an addition of 25% of the original list price in part of 2026 (namely for the months up to the point when the car becomes sixteen years old).</w:t>
      </w:r>
    </w:p>
    <w:p w14:paraId="377F3DDA" w14:textId="77777777" w:rsidR="0060024E" w:rsidRDefault="0060024E" w:rsidP="0060024E">
      <w:pPr>
        <w:rPr>
          <w:rFonts w:ascii="Arial" w:hAnsi="Arial" w:cs="Arial"/>
          <w:sz w:val="22"/>
          <w:szCs w:val="22"/>
        </w:rPr>
      </w:pPr>
    </w:p>
    <w:p w14:paraId="0E14A446" w14:textId="06567A04" w:rsidR="0054366A" w:rsidRDefault="0054366A" w:rsidP="0060024E">
      <w:pPr>
        <w:rPr>
          <w:rFonts w:ascii="Arial" w:hAnsi="Arial" w:cs="Arial"/>
          <w:sz w:val="22"/>
          <w:szCs w:val="22"/>
        </w:rPr>
      </w:pPr>
      <w:r>
        <w:rPr>
          <w:rFonts w:ascii="Arial" w:hAnsi="Arial"/>
          <w:sz w:val="22"/>
        </w:rPr>
        <w:t>Fortunately, transitional arrangements have been announced to deal with such situations. As a result, the 2025 young-timer scheme will continue to apply in 2026. This means that the addition for the whole of 2026 will be 35% of the vehicle’s market value. This is subject to the following conditions:</w:t>
      </w:r>
    </w:p>
    <w:p w14:paraId="31DCAC53" w14:textId="3803F9AD" w:rsidR="0060024E" w:rsidRDefault="0054366A" w:rsidP="002F233C">
      <w:pPr>
        <w:pStyle w:val="Lijstalinea"/>
        <w:numPr>
          <w:ilvl w:val="0"/>
          <w:numId w:val="28"/>
        </w:numPr>
        <w:rPr>
          <w:rFonts w:ascii="Arial" w:hAnsi="Arial" w:cs="Arial"/>
        </w:rPr>
      </w:pPr>
      <w:r>
        <w:rPr>
          <w:rFonts w:ascii="Arial" w:hAnsi="Arial"/>
        </w:rPr>
        <w:t>the car was already made available in 2025, and</w:t>
      </w:r>
    </w:p>
    <w:p w14:paraId="79CBB68E" w14:textId="0D6B6CB6" w:rsidR="0060024E" w:rsidRDefault="0054366A" w:rsidP="002F233C">
      <w:pPr>
        <w:pStyle w:val="Lijstalinea"/>
        <w:numPr>
          <w:ilvl w:val="0"/>
          <w:numId w:val="28"/>
        </w:numPr>
        <w:rPr>
          <w:rFonts w:ascii="Arial" w:hAnsi="Arial" w:cs="Arial"/>
        </w:rPr>
      </w:pPr>
      <w:r>
        <w:rPr>
          <w:rFonts w:ascii="Arial" w:hAnsi="Arial"/>
        </w:rPr>
        <w:t>reached the age of fifteen or older in 2025, and</w:t>
      </w:r>
    </w:p>
    <w:p w14:paraId="17274D97" w14:textId="0C6357E3" w:rsidR="0060024E" w:rsidRDefault="0060024E" w:rsidP="002F233C">
      <w:pPr>
        <w:pStyle w:val="Lijstalinea"/>
        <w:numPr>
          <w:ilvl w:val="0"/>
          <w:numId w:val="28"/>
        </w:numPr>
        <w:rPr>
          <w:rFonts w:ascii="Arial" w:hAnsi="Arial" w:cs="Arial"/>
        </w:rPr>
      </w:pPr>
      <w:r>
        <w:rPr>
          <w:rFonts w:ascii="Arial" w:hAnsi="Arial"/>
        </w:rPr>
        <w:t>is available to the same employee in 2026 as it was in 2025.</w:t>
      </w:r>
    </w:p>
    <w:p w14:paraId="75E1A5F6" w14:textId="77777777" w:rsidR="0054366A" w:rsidRPr="0054366A" w:rsidRDefault="0054366A" w:rsidP="0054366A">
      <w:pPr>
        <w:pStyle w:val="Lijstalinea"/>
        <w:ind w:left="360"/>
        <w:rPr>
          <w:rFonts w:ascii="Arial" w:hAnsi="Arial" w:cs="Arial"/>
        </w:rPr>
      </w:pPr>
    </w:p>
    <w:p w14:paraId="2A5BAF82" w14:textId="77777777" w:rsidR="00760278" w:rsidRPr="00760278" w:rsidRDefault="0060024E" w:rsidP="00760278">
      <w:pPr>
        <w:shd w:val="clear" w:color="auto" w:fill="D9D9D9" w:themeFill="background1" w:themeFillShade="D9"/>
        <w:rPr>
          <w:rFonts w:ascii="Arial" w:hAnsi="Arial" w:cs="Arial"/>
          <w:b/>
          <w:bCs/>
          <w:sz w:val="22"/>
          <w:szCs w:val="22"/>
        </w:rPr>
      </w:pPr>
      <w:r>
        <w:rPr>
          <w:rFonts w:ascii="Arial" w:hAnsi="Arial"/>
          <w:b/>
          <w:sz w:val="22"/>
        </w:rPr>
        <w:t>Please note:</w:t>
      </w:r>
    </w:p>
    <w:p w14:paraId="5AC7FFCA" w14:textId="62DC34C0" w:rsidR="0060024E" w:rsidRPr="0060024E" w:rsidRDefault="0060024E" w:rsidP="00760278">
      <w:pPr>
        <w:shd w:val="clear" w:color="auto" w:fill="D9D9D9" w:themeFill="background1" w:themeFillShade="D9"/>
        <w:rPr>
          <w:rFonts w:ascii="Arial" w:hAnsi="Arial" w:cs="Arial"/>
          <w:sz w:val="22"/>
          <w:szCs w:val="22"/>
        </w:rPr>
      </w:pPr>
      <w:r>
        <w:rPr>
          <w:rFonts w:ascii="Arial" w:hAnsi="Arial"/>
          <w:sz w:val="22"/>
        </w:rPr>
        <w:t>It is possible to make a choice. If it would be more favourable to apply an addition of 25% of the list price instead of 35% of the market value, you can select this option.</w:t>
      </w:r>
    </w:p>
    <w:p w14:paraId="45ACD70D" w14:textId="77777777" w:rsidR="0060024E" w:rsidRPr="0060024E" w:rsidRDefault="0060024E" w:rsidP="0060024E">
      <w:pPr>
        <w:rPr>
          <w:rFonts w:ascii="Arial" w:hAnsi="Arial" w:cs="Arial"/>
          <w:sz w:val="22"/>
          <w:szCs w:val="22"/>
        </w:rPr>
      </w:pPr>
    </w:p>
    <w:p w14:paraId="12C2F26E" w14:textId="77777777" w:rsidR="0060024E" w:rsidRPr="00760278" w:rsidRDefault="0060024E" w:rsidP="0060024E">
      <w:pPr>
        <w:rPr>
          <w:rFonts w:ascii="Arial" w:hAnsi="Arial" w:cs="Arial"/>
          <w:b/>
          <w:bCs/>
          <w:sz w:val="22"/>
          <w:szCs w:val="22"/>
        </w:rPr>
      </w:pPr>
      <w:r>
        <w:rPr>
          <w:rFonts w:ascii="Arial" w:hAnsi="Arial"/>
          <w:b/>
          <w:sz w:val="22"/>
        </w:rPr>
        <w:t>In figures: a car dating from 2010</w:t>
      </w:r>
    </w:p>
    <w:p w14:paraId="5BDB1E3B" w14:textId="77777777" w:rsidR="0060024E" w:rsidRPr="0060024E" w:rsidRDefault="0060024E" w:rsidP="0060024E">
      <w:pPr>
        <w:rPr>
          <w:rFonts w:ascii="Arial" w:hAnsi="Arial" w:cs="Arial"/>
          <w:sz w:val="22"/>
          <w:szCs w:val="22"/>
        </w:rPr>
      </w:pPr>
      <w:r>
        <w:rPr>
          <w:rFonts w:ascii="Arial" w:hAnsi="Arial"/>
          <w:sz w:val="22"/>
        </w:rPr>
        <w:t>Imagine that you have a company car that first entered use on 30 September 2010. From October 2025, the addition for this car under the current young-timer scheme applicable up to 1 January 2026 is not 25% of the original list price, but 35% of the car’s market value.</w:t>
      </w:r>
    </w:p>
    <w:p w14:paraId="0023A716" w14:textId="77777777" w:rsidR="0060024E" w:rsidRPr="0060024E" w:rsidRDefault="0060024E" w:rsidP="0060024E">
      <w:pPr>
        <w:rPr>
          <w:rFonts w:ascii="Arial" w:hAnsi="Arial" w:cs="Arial"/>
          <w:sz w:val="22"/>
          <w:szCs w:val="22"/>
        </w:rPr>
      </w:pPr>
    </w:p>
    <w:p w14:paraId="72CDAED0" w14:textId="0FF32DE6" w:rsidR="0060024E" w:rsidRPr="0060024E" w:rsidRDefault="0060024E" w:rsidP="0060024E">
      <w:pPr>
        <w:rPr>
          <w:rFonts w:ascii="Arial" w:hAnsi="Arial" w:cs="Arial"/>
          <w:sz w:val="22"/>
          <w:szCs w:val="22"/>
        </w:rPr>
      </w:pPr>
      <w:r>
        <w:rPr>
          <w:rFonts w:ascii="Arial" w:hAnsi="Arial"/>
          <w:sz w:val="22"/>
        </w:rPr>
        <w:t>If the original list price was € 50,000 and the market value in October 2025 is € 8,000, the monthly addition from October 2025 would not be € 1,041.67 (1/12 of 25% of € 50,000), but € 233.33 (1/12 of 35% of € 8,000).</w:t>
      </w:r>
    </w:p>
    <w:p w14:paraId="57B847C4" w14:textId="77777777" w:rsidR="0060024E" w:rsidRPr="0060024E" w:rsidRDefault="0060024E" w:rsidP="0060024E">
      <w:pPr>
        <w:rPr>
          <w:rFonts w:ascii="Arial" w:hAnsi="Arial" w:cs="Arial"/>
          <w:sz w:val="22"/>
          <w:szCs w:val="22"/>
        </w:rPr>
      </w:pPr>
    </w:p>
    <w:p w14:paraId="23B962E0" w14:textId="02013D7D" w:rsidR="0060024E" w:rsidRPr="0060024E" w:rsidRDefault="0060024E" w:rsidP="0060024E">
      <w:pPr>
        <w:rPr>
          <w:rFonts w:ascii="Arial" w:hAnsi="Arial" w:cs="Arial"/>
          <w:sz w:val="22"/>
          <w:szCs w:val="22"/>
        </w:rPr>
      </w:pPr>
      <w:r>
        <w:rPr>
          <w:rFonts w:ascii="Arial" w:hAnsi="Arial"/>
          <w:sz w:val="22"/>
        </w:rPr>
        <w:t>The increase in the age limit to sixteen years under the new scheme means that, from January to September 2026, the monthly addition would be € 1,041.67. Thanks to the transitional arrangements, however, an addition of € 233.33 can also be applied in these months (in the case of a market value of € 8,000). On the basis of the statutory provisions, from October to December 2026 you can continue to benefit from the young-timer scheme and apply a monthly addition of € 233.33 (assuming that the market value remains the same).</w:t>
      </w:r>
    </w:p>
    <w:p w14:paraId="1A12F914" w14:textId="77777777" w:rsidR="0060024E" w:rsidRPr="0060024E" w:rsidRDefault="0060024E" w:rsidP="0060024E">
      <w:pPr>
        <w:rPr>
          <w:rFonts w:ascii="Arial" w:hAnsi="Arial" w:cs="Arial"/>
          <w:sz w:val="22"/>
          <w:szCs w:val="22"/>
        </w:rPr>
      </w:pPr>
    </w:p>
    <w:p w14:paraId="140A88BE" w14:textId="04A097AA" w:rsidR="0060024E" w:rsidRDefault="0060024E" w:rsidP="009F19DC">
      <w:pPr>
        <w:rPr>
          <w:rFonts w:ascii="Arial" w:hAnsi="Arial" w:cs="Arial"/>
          <w:sz w:val="22"/>
          <w:szCs w:val="22"/>
        </w:rPr>
      </w:pPr>
      <w:r>
        <w:rPr>
          <w:rFonts w:ascii="Arial" w:hAnsi="Arial"/>
          <w:sz w:val="22"/>
        </w:rPr>
        <w:t>From January 2027 – as a result of the increase in the age limit to 25 – your monthly addition will be € 1,041.67 until your car reaches the age of 25.</w:t>
      </w:r>
    </w:p>
    <w:p w14:paraId="7B0B6780" w14:textId="77777777" w:rsidR="00760278" w:rsidRDefault="00760278" w:rsidP="009F19DC"/>
    <w:p w14:paraId="12CCDBDE" w14:textId="77777777" w:rsidR="007C4EBB" w:rsidRDefault="007C4EBB" w:rsidP="009F19DC"/>
    <w:p w14:paraId="20EF4C96" w14:textId="77777777" w:rsidR="007C4EBB" w:rsidRPr="0060024E" w:rsidRDefault="007C4EBB" w:rsidP="009F19DC"/>
    <w:p w14:paraId="3CCB16AF" w14:textId="61F31889" w:rsidR="0054366A" w:rsidRDefault="0054366A" w:rsidP="00957F2F">
      <w:pPr>
        <w:pStyle w:val="Kop2"/>
        <w:ind w:hanging="283"/>
      </w:pPr>
      <w:r>
        <w:lastRenderedPageBreak/>
        <w:t>From 2027: 12% pseudo final levy for company car with CO</w:t>
      </w:r>
      <w:r>
        <w:rPr>
          <w:vertAlign w:val="subscript"/>
        </w:rPr>
        <w:t>2</w:t>
      </w:r>
      <w:r>
        <w:t xml:space="preserve"> emissions</w:t>
      </w:r>
    </w:p>
    <w:p w14:paraId="4D074EE5" w14:textId="77777777" w:rsidR="0054366A" w:rsidRDefault="0054366A" w:rsidP="0054366A">
      <w:pPr>
        <w:rPr>
          <w:rFonts w:ascii="Arial" w:hAnsi="Arial" w:cs="Arial"/>
          <w:sz w:val="22"/>
          <w:szCs w:val="22"/>
        </w:rPr>
      </w:pPr>
    </w:p>
    <w:p w14:paraId="69BBEF2C" w14:textId="7E29362D" w:rsidR="003A70E4" w:rsidRPr="0054366A" w:rsidRDefault="0054366A" w:rsidP="0054366A">
      <w:pPr>
        <w:rPr>
          <w:rFonts w:ascii="Arial" w:hAnsi="Arial" w:cs="Arial"/>
          <w:sz w:val="22"/>
          <w:szCs w:val="22"/>
        </w:rPr>
      </w:pPr>
      <w:r>
        <w:rPr>
          <w:rFonts w:ascii="Arial" w:hAnsi="Arial"/>
          <w:sz w:val="22"/>
        </w:rPr>
        <w:t>From 2027, a pseudo final levy of 12% will apply in the area of payroll tax. An employer will owe this 12% levy if, from 2027:</w:t>
      </w:r>
    </w:p>
    <w:p w14:paraId="114D23A4" w14:textId="77777777" w:rsidR="0054366A" w:rsidRDefault="0054366A" w:rsidP="002F233C">
      <w:pPr>
        <w:pStyle w:val="Lijstalinea"/>
        <w:numPr>
          <w:ilvl w:val="0"/>
          <w:numId w:val="29"/>
        </w:numPr>
        <w:rPr>
          <w:rFonts w:ascii="Arial" w:hAnsi="Arial" w:cs="Arial"/>
        </w:rPr>
      </w:pPr>
      <w:r>
        <w:rPr>
          <w:rFonts w:ascii="Arial" w:hAnsi="Arial"/>
        </w:rPr>
        <w:t>it makes a company car available to an employee,</w:t>
      </w:r>
    </w:p>
    <w:p w14:paraId="575D11D5" w14:textId="77777777" w:rsidR="0054366A" w:rsidRDefault="0054366A" w:rsidP="002F233C">
      <w:pPr>
        <w:pStyle w:val="Lijstalinea"/>
        <w:numPr>
          <w:ilvl w:val="0"/>
          <w:numId w:val="29"/>
        </w:numPr>
        <w:rPr>
          <w:rFonts w:ascii="Arial" w:hAnsi="Arial" w:cs="Arial"/>
        </w:rPr>
      </w:pPr>
      <w:r>
        <w:rPr>
          <w:rFonts w:ascii="Arial" w:hAnsi="Arial"/>
        </w:rPr>
        <w:t>this car may also be used for private purposes, and</w:t>
      </w:r>
    </w:p>
    <w:p w14:paraId="28820E9E" w14:textId="27DD8FAE" w:rsidR="0054366A" w:rsidRPr="0054366A" w:rsidRDefault="0054366A" w:rsidP="002F233C">
      <w:pPr>
        <w:pStyle w:val="Lijstalinea"/>
        <w:numPr>
          <w:ilvl w:val="0"/>
          <w:numId w:val="29"/>
        </w:numPr>
        <w:rPr>
          <w:rFonts w:ascii="Arial" w:hAnsi="Arial" w:cs="Arial"/>
        </w:rPr>
      </w:pPr>
      <w:r>
        <w:rPr>
          <w:rFonts w:ascii="Arial" w:hAnsi="Arial"/>
        </w:rPr>
        <w:t>the car has CO</w:t>
      </w:r>
      <w:r>
        <w:rPr>
          <w:rFonts w:ascii="Arial" w:hAnsi="Arial"/>
          <w:vertAlign w:val="subscript"/>
        </w:rPr>
        <w:t>2</w:t>
      </w:r>
      <w:r>
        <w:rPr>
          <w:rFonts w:ascii="Arial" w:hAnsi="Arial"/>
        </w:rPr>
        <w:t xml:space="preserve"> emissions greater than zero.</w:t>
      </w:r>
    </w:p>
    <w:p w14:paraId="56DC5D5F" w14:textId="77777777" w:rsidR="0054366A" w:rsidRDefault="0054366A" w:rsidP="0054366A">
      <w:pPr>
        <w:rPr>
          <w:rFonts w:ascii="Arial" w:hAnsi="Arial" w:cs="Arial"/>
          <w:sz w:val="22"/>
          <w:szCs w:val="22"/>
        </w:rPr>
      </w:pPr>
    </w:p>
    <w:p w14:paraId="65820486" w14:textId="77777777" w:rsidR="00760278" w:rsidRPr="00760278" w:rsidRDefault="0054366A" w:rsidP="00760278">
      <w:pPr>
        <w:shd w:val="clear" w:color="auto" w:fill="D9D9D9" w:themeFill="background1" w:themeFillShade="D9"/>
        <w:rPr>
          <w:rFonts w:ascii="Arial" w:hAnsi="Arial" w:cs="Arial"/>
          <w:b/>
          <w:bCs/>
          <w:sz w:val="22"/>
          <w:szCs w:val="22"/>
        </w:rPr>
      </w:pPr>
      <w:r>
        <w:rPr>
          <w:rFonts w:ascii="Arial" w:hAnsi="Arial"/>
          <w:b/>
          <w:sz w:val="22"/>
        </w:rPr>
        <w:t>Please note:</w:t>
      </w:r>
    </w:p>
    <w:p w14:paraId="25B5D768" w14:textId="132DF7A4" w:rsidR="0054366A" w:rsidRPr="0054366A" w:rsidRDefault="0054366A" w:rsidP="00760278">
      <w:pPr>
        <w:shd w:val="clear" w:color="auto" w:fill="D9D9D9" w:themeFill="background1" w:themeFillShade="D9"/>
        <w:rPr>
          <w:rFonts w:ascii="Arial" w:hAnsi="Arial" w:cs="Arial"/>
          <w:sz w:val="22"/>
          <w:szCs w:val="22"/>
        </w:rPr>
      </w:pPr>
      <w:r>
        <w:rPr>
          <w:rFonts w:ascii="Arial" w:hAnsi="Arial"/>
          <w:sz w:val="22"/>
        </w:rPr>
        <w:t>The 12% pseudo final levy is payable by the employer. It is an additional levy that the employer is not allowed to recover from the employee. The addition to taxable income for private use of the company car, which is borne by the employee, will also remain in place in 2027.</w:t>
      </w:r>
    </w:p>
    <w:p w14:paraId="4C15738B" w14:textId="77777777" w:rsidR="0054366A" w:rsidRPr="0054366A" w:rsidRDefault="0054366A" w:rsidP="0054366A">
      <w:pPr>
        <w:rPr>
          <w:rFonts w:ascii="Arial" w:hAnsi="Arial" w:cs="Arial"/>
          <w:sz w:val="22"/>
          <w:szCs w:val="22"/>
        </w:rPr>
      </w:pPr>
    </w:p>
    <w:p w14:paraId="6DFE6F43" w14:textId="77777777" w:rsidR="0054366A" w:rsidRPr="00760278" w:rsidRDefault="0054366A" w:rsidP="0054366A">
      <w:pPr>
        <w:rPr>
          <w:rFonts w:ascii="Arial" w:hAnsi="Arial" w:cs="Arial"/>
          <w:b/>
          <w:bCs/>
          <w:sz w:val="22"/>
          <w:szCs w:val="22"/>
        </w:rPr>
      </w:pPr>
      <w:r>
        <w:rPr>
          <w:rFonts w:ascii="Arial" w:hAnsi="Arial"/>
          <w:b/>
          <w:sz w:val="22"/>
        </w:rPr>
        <w:t>Exceptions</w:t>
      </w:r>
    </w:p>
    <w:p w14:paraId="54FF6063" w14:textId="77777777" w:rsidR="0054366A" w:rsidRDefault="0054366A" w:rsidP="0054366A">
      <w:pPr>
        <w:rPr>
          <w:rFonts w:ascii="Arial" w:hAnsi="Arial" w:cs="Arial"/>
          <w:sz w:val="22"/>
          <w:szCs w:val="22"/>
        </w:rPr>
      </w:pPr>
      <w:r>
        <w:rPr>
          <w:rFonts w:ascii="Arial" w:hAnsi="Arial"/>
          <w:sz w:val="22"/>
        </w:rPr>
        <w:t>A number of exceptions apply. An employer does not owe the final levy if:</w:t>
      </w:r>
    </w:p>
    <w:p w14:paraId="7A9035B9" w14:textId="4B96762F" w:rsidR="0054366A" w:rsidRDefault="0054366A" w:rsidP="002F233C">
      <w:pPr>
        <w:pStyle w:val="Lijstalinea"/>
        <w:numPr>
          <w:ilvl w:val="0"/>
          <w:numId w:val="30"/>
        </w:numPr>
        <w:rPr>
          <w:rFonts w:ascii="Arial" w:hAnsi="Arial" w:cs="Arial"/>
        </w:rPr>
      </w:pPr>
      <w:r>
        <w:rPr>
          <w:rFonts w:ascii="Arial" w:hAnsi="Arial"/>
        </w:rPr>
        <w:t>the car has CO</w:t>
      </w:r>
      <w:r>
        <w:rPr>
          <w:rFonts w:ascii="Arial" w:hAnsi="Arial"/>
          <w:vertAlign w:val="subscript"/>
        </w:rPr>
        <w:t>2</w:t>
      </w:r>
      <w:r>
        <w:rPr>
          <w:rFonts w:ascii="Arial" w:hAnsi="Arial"/>
        </w:rPr>
        <w:t xml:space="preserve"> emissions of zero – fully electric and hydrogen-powered cars therefore fall outside this levy;</w:t>
      </w:r>
    </w:p>
    <w:p w14:paraId="0969F8EA" w14:textId="77777777" w:rsidR="0054366A" w:rsidRPr="003B70C5" w:rsidRDefault="0054366A" w:rsidP="002F233C">
      <w:pPr>
        <w:pStyle w:val="Lijstalinea"/>
        <w:numPr>
          <w:ilvl w:val="0"/>
          <w:numId w:val="30"/>
        </w:numPr>
        <w:rPr>
          <w:rFonts w:ascii="Arial" w:hAnsi="Arial" w:cs="Arial"/>
        </w:rPr>
      </w:pPr>
      <w:r>
        <w:rPr>
          <w:rFonts w:ascii="Arial" w:hAnsi="Arial"/>
        </w:rPr>
        <w:t>the company car is used solely for business purposes and not for private travel (in this case there is also no addition to taxable income for the company car).</w:t>
      </w:r>
    </w:p>
    <w:p w14:paraId="381CA946" w14:textId="77777777" w:rsidR="003B70C5" w:rsidRDefault="003B70C5" w:rsidP="0054366A">
      <w:pPr>
        <w:rPr>
          <w:rFonts w:ascii="Arial" w:hAnsi="Arial" w:cs="Arial"/>
          <w:sz w:val="22"/>
          <w:szCs w:val="22"/>
        </w:rPr>
      </w:pPr>
    </w:p>
    <w:p w14:paraId="18ECC3E1" w14:textId="77777777" w:rsidR="00760278" w:rsidRPr="00760278" w:rsidRDefault="0054366A" w:rsidP="00760278">
      <w:pPr>
        <w:shd w:val="clear" w:color="auto" w:fill="D9D9D9" w:themeFill="background1" w:themeFillShade="D9"/>
        <w:rPr>
          <w:rFonts w:ascii="Arial" w:hAnsi="Arial" w:cs="Arial"/>
          <w:b/>
          <w:bCs/>
          <w:sz w:val="22"/>
          <w:szCs w:val="22"/>
        </w:rPr>
      </w:pPr>
      <w:r>
        <w:rPr>
          <w:rFonts w:ascii="Arial" w:hAnsi="Arial"/>
          <w:b/>
          <w:sz w:val="22"/>
        </w:rPr>
        <w:t>Please note:</w:t>
      </w:r>
    </w:p>
    <w:p w14:paraId="3BC34860" w14:textId="41C7614E" w:rsidR="0054366A" w:rsidRPr="0054366A" w:rsidRDefault="0054366A" w:rsidP="00760278">
      <w:pPr>
        <w:shd w:val="clear" w:color="auto" w:fill="D9D9D9" w:themeFill="background1" w:themeFillShade="D9"/>
        <w:rPr>
          <w:rFonts w:ascii="Arial" w:hAnsi="Arial" w:cs="Arial"/>
          <w:sz w:val="22"/>
          <w:szCs w:val="22"/>
        </w:rPr>
      </w:pPr>
      <w:r>
        <w:rPr>
          <w:rFonts w:ascii="Arial" w:hAnsi="Arial"/>
          <w:sz w:val="22"/>
        </w:rPr>
        <w:t>There is an exception for occasional private use in the event of unforeseeable and exceptional circumstances. The employer must, however, be able to demonstrate that such circumstances apply.</w:t>
      </w:r>
    </w:p>
    <w:p w14:paraId="4DBC4D7C" w14:textId="77777777" w:rsidR="0054366A" w:rsidRPr="0054366A" w:rsidRDefault="0054366A" w:rsidP="0054366A">
      <w:pPr>
        <w:rPr>
          <w:rFonts w:ascii="Arial" w:hAnsi="Arial" w:cs="Arial"/>
          <w:sz w:val="22"/>
          <w:szCs w:val="22"/>
        </w:rPr>
      </w:pPr>
    </w:p>
    <w:p w14:paraId="4BF57A3E" w14:textId="0B234818" w:rsidR="0054366A" w:rsidRPr="00760278" w:rsidRDefault="0054366A" w:rsidP="0054366A">
      <w:pPr>
        <w:rPr>
          <w:rFonts w:ascii="Arial" w:hAnsi="Arial" w:cs="Arial"/>
          <w:b/>
          <w:bCs/>
          <w:sz w:val="22"/>
          <w:szCs w:val="22"/>
        </w:rPr>
      </w:pPr>
      <w:r>
        <w:rPr>
          <w:rFonts w:ascii="Arial" w:hAnsi="Arial"/>
          <w:b/>
          <w:sz w:val="22"/>
        </w:rPr>
        <w:t>Commuting is private travel!</w:t>
      </w:r>
    </w:p>
    <w:p w14:paraId="235F8174" w14:textId="7EAAB808" w:rsidR="0054366A" w:rsidRPr="0054366A" w:rsidRDefault="001E3732" w:rsidP="0054366A">
      <w:pPr>
        <w:rPr>
          <w:rFonts w:ascii="Arial" w:hAnsi="Arial" w:cs="Arial"/>
          <w:sz w:val="22"/>
          <w:szCs w:val="22"/>
        </w:rPr>
      </w:pPr>
      <w:r>
        <w:rPr>
          <w:rFonts w:ascii="Arial" w:hAnsi="Arial"/>
          <w:sz w:val="22"/>
        </w:rPr>
        <w:t>The exception that applies to cars not used for private travel comes with a catch. Whereas, for purposes of the addition to taxable income for a company car, commuting is regarded as business travel, for the pseudo final levy such commuting kilometres are considered to be private travel.</w:t>
      </w:r>
    </w:p>
    <w:p w14:paraId="21F60C52" w14:textId="77777777" w:rsidR="0054366A" w:rsidRPr="0054366A" w:rsidRDefault="0054366A" w:rsidP="0054366A">
      <w:pPr>
        <w:rPr>
          <w:rFonts w:ascii="Arial" w:hAnsi="Arial" w:cs="Arial"/>
          <w:sz w:val="22"/>
          <w:szCs w:val="22"/>
        </w:rPr>
      </w:pPr>
    </w:p>
    <w:p w14:paraId="03617E90" w14:textId="77777777" w:rsidR="00760278" w:rsidRPr="00760278" w:rsidRDefault="0054366A" w:rsidP="00760278">
      <w:pPr>
        <w:shd w:val="clear" w:color="auto" w:fill="D9D9D9" w:themeFill="background1" w:themeFillShade="D9"/>
        <w:rPr>
          <w:rFonts w:ascii="Arial" w:hAnsi="Arial" w:cs="Arial"/>
          <w:b/>
          <w:bCs/>
          <w:sz w:val="22"/>
          <w:szCs w:val="22"/>
        </w:rPr>
      </w:pPr>
      <w:r>
        <w:rPr>
          <w:rFonts w:ascii="Arial" w:hAnsi="Arial"/>
          <w:b/>
          <w:sz w:val="22"/>
        </w:rPr>
        <w:t>Please note:</w:t>
      </w:r>
    </w:p>
    <w:p w14:paraId="6E48916C" w14:textId="3E41F504" w:rsidR="0054366A" w:rsidRPr="0054366A" w:rsidRDefault="0054366A" w:rsidP="00760278">
      <w:pPr>
        <w:shd w:val="clear" w:color="auto" w:fill="D9D9D9" w:themeFill="background1" w:themeFillShade="D9"/>
        <w:rPr>
          <w:rFonts w:ascii="Arial" w:hAnsi="Arial" w:cs="Arial"/>
          <w:sz w:val="22"/>
          <w:szCs w:val="22"/>
        </w:rPr>
      </w:pPr>
      <w:r>
        <w:rPr>
          <w:rFonts w:ascii="Arial" w:hAnsi="Arial"/>
          <w:sz w:val="22"/>
        </w:rPr>
        <w:t>The consequence of this is that, from 2027, an employer may owe the pseudo final levy even if the employee does not use the car for private purposes (or only up to a maximum of 500 kilometres) and therefore has no addition to his/her taxable income. If the employee uses this car for commuting, the employer will have to pay the pseudo final levy of 12%.</w:t>
      </w:r>
    </w:p>
    <w:p w14:paraId="70FFDE3B" w14:textId="77777777" w:rsidR="0054366A" w:rsidRPr="0054366A" w:rsidRDefault="0054366A" w:rsidP="0054366A">
      <w:pPr>
        <w:rPr>
          <w:rFonts w:ascii="Arial" w:hAnsi="Arial" w:cs="Arial"/>
          <w:sz w:val="22"/>
          <w:szCs w:val="22"/>
        </w:rPr>
      </w:pPr>
    </w:p>
    <w:p w14:paraId="22FD8355" w14:textId="77777777" w:rsidR="0054366A" w:rsidRPr="00760278" w:rsidRDefault="0054366A" w:rsidP="0054366A">
      <w:pPr>
        <w:rPr>
          <w:rFonts w:ascii="Arial" w:hAnsi="Arial" w:cs="Arial"/>
          <w:b/>
          <w:bCs/>
          <w:sz w:val="22"/>
          <w:szCs w:val="22"/>
        </w:rPr>
      </w:pPr>
      <w:r>
        <w:rPr>
          <w:rFonts w:ascii="Arial" w:hAnsi="Arial"/>
          <w:b/>
          <w:sz w:val="22"/>
        </w:rPr>
        <w:t>Car</w:t>
      </w:r>
    </w:p>
    <w:p w14:paraId="72A41E21" w14:textId="77777777" w:rsidR="0054366A" w:rsidRPr="0054366A" w:rsidRDefault="0054366A" w:rsidP="0054366A">
      <w:pPr>
        <w:rPr>
          <w:rFonts w:ascii="Arial" w:hAnsi="Arial" w:cs="Arial"/>
          <w:sz w:val="22"/>
          <w:szCs w:val="22"/>
        </w:rPr>
      </w:pPr>
      <w:r>
        <w:rPr>
          <w:rFonts w:ascii="Arial" w:hAnsi="Arial"/>
          <w:sz w:val="22"/>
        </w:rPr>
        <w:t>The pseudo final levy applies to cars. These are vehicles with vehicle classification M1 in the civil vehicle registration system and vehicles that would be classified as such under the European Regulation.</w:t>
      </w:r>
    </w:p>
    <w:p w14:paraId="1D24D86B" w14:textId="77777777" w:rsidR="0054366A" w:rsidRPr="0054366A" w:rsidRDefault="0054366A" w:rsidP="0054366A">
      <w:pPr>
        <w:rPr>
          <w:rFonts w:ascii="Arial" w:hAnsi="Arial" w:cs="Arial"/>
          <w:sz w:val="22"/>
          <w:szCs w:val="22"/>
        </w:rPr>
      </w:pPr>
    </w:p>
    <w:p w14:paraId="2B9704D8" w14:textId="77777777" w:rsidR="00760278" w:rsidRPr="00760278" w:rsidRDefault="0054366A" w:rsidP="00760278">
      <w:pPr>
        <w:shd w:val="clear" w:color="auto" w:fill="D9D9D9" w:themeFill="background1" w:themeFillShade="D9"/>
        <w:rPr>
          <w:rFonts w:ascii="Arial" w:hAnsi="Arial" w:cs="Arial"/>
          <w:b/>
          <w:bCs/>
          <w:sz w:val="22"/>
          <w:szCs w:val="22"/>
        </w:rPr>
      </w:pPr>
      <w:r>
        <w:rPr>
          <w:rFonts w:ascii="Arial" w:hAnsi="Arial"/>
          <w:b/>
          <w:sz w:val="22"/>
        </w:rPr>
        <w:t>Please note:</w:t>
      </w:r>
    </w:p>
    <w:p w14:paraId="77C675C2" w14:textId="39B8F783" w:rsidR="0054366A" w:rsidRPr="0054366A" w:rsidRDefault="0054366A" w:rsidP="00760278">
      <w:pPr>
        <w:shd w:val="clear" w:color="auto" w:fill="D9D9D9" w:themeFill="background1" w:themeFillShade="D9"/>
        <w:rPr>
          <w:rFonts w:ascii="Arial" w:hAnsi="Arial" w:cs="Arial"/>
          <w:sz w:val="22"/>
          <w:szCs w:val="22"/>
        </w:rPr>
      </w:pPr>
      <w:r>
        <w:rPr>
          <w:rFonts w:ascii="Arial" w:hAnsi="Arial"/>
          <w:sz w:val="22"/>
        </w:rPr>
        <w:t>An M1 vehicle is a motor vehicle with four or more wheels that has been designed and constructed to carry persons and has a maximum of nine seats, including the driver’s seat. Camper vans, people carriers for patient transport (equipped with a maximum of nine seats) and hearses also fall into this category.</w:t>
      </w:r>
    </w:p>
    <w:p w14:paraId="13A080F3" w14:textId="77777777" w:rsidR="0054366A" w:rsidRPr="0054366A" w:rsidRDefault="0054366A" w:rsidP="0054366A">
      <w:pPr>
        <w:rPr>
          <w:rFonts w:ascii="Arial" w:hAnsi="Arial" w:cs="Arial"/>
          <w:sz w:val="22"/>
          <w:szCs w:val="22"/>
        </w:rPr>
      </w:pPr>
    </w:p>
    <w:p w14:paraId="0F7FAC4B" w14:textId="77777777" w:rsidR="0054366A" w:rsidRPr="0054366A" w:rsidRDefault="0054366A" w:rsidP="0054366A">
      <w:pPr>
        <w:rPr>
          <w:rFonts w:ascii="Arial" w:hAnsi="Arial" w:cs="Arial"/>
          <w:sz w:val="22"/>
          <w:szCs w:val="22"/>
        </w:rPr>
      </w:pPr>
      <w:r>
        <w:rPr>
          <w:rFonts w:ascii="Arial" w:hAnsi="Arial"/>
          <w:sz w:val="22"/>
        </w:rPr>
        <w:lastRenderedPageBreak/>
        <w:t xml:space="preserve">Vans, trucks and tractors do not have an M1 classification and therefore fall outside the pseudo final levy. </w:t>
      </w:r>
    </w:p>
    <w:p w14:paraId="64AF809E" w14:textId="77777777" w:rsidR="00760278" w:rsidRPr="0054366A" w:rsidRDefault="00760278" w:rsidP="0054366A">
      <w:pPr>
        <w:rPr>
          <w:rFonts w:ascii="Arial" w:hAnsi="Arial" w:cs="Arial"/>
          <w:sz w:val="22"/>
          <w:szCs w:val="22"/>
        </w:rPr>
      </w:pPr>
    </w:p>
    <w:p w14:paraId="41DA2533" w14:textId="77777777" w:rsidR="0054366A" w:rsidRPr="003A70E4" w:rsidRDefault="0054366A" w:rsidP="0054366A">
      <w:pPr>
        <w:rPr>
          <w:rFonts w:ascii="Arial" w:hAnsi="Arial" w:cs="Arial"/>
          <w:b/>
          <w:bCs/>
          <w:sz w:val="22"/>
          <w:szCs w:val="22"/>
        </w:rPr>
      </w:pPr>
      <w:r>
        <w:rPr>
          <w:rFonts w:ascii="Arial" w:hAnsi="Arial"/>
          <w:b/>
          <w:sz w:val="22"/>
        </w:rPr>
        <w:t>Transitional arrangements up to 17 September 2030</w:t>
      </w:r>
    </w:p>
    <w:p w14:paraId="68D1DFB4" w14:textId="16B0A97C" w:rsidR="0054366A" w:rsidRPr="0054366A" w:rsidRDefault="0054366A" w:rsidP="0054366A">
      <w:pPr>
        <w:rPr>
          <w:rFonts w:ascii="Arial" w:hAnsi="Arial" w:cs="Arial"/>
          <w:sz w:val="22"/>
          <w:szCs w:val="22"/>
        </w:rPr>
      </w:pPr>
      <w:r>
        <w:rPr>
          <w:rFonts w:ascii="Arial" w:hAnsi="Arial"/>
          <w:sz w:val="22"/>
        </w:rPr>
        <w:t>Cars made available before 1 January 2027 will not be immediately subject to the pseudo final levy from that date. Transitional arrangements will apply to these cars up to 17 September 2030. Employers will only have to pay the pseudo final levy for such cars from that point on.</w:t>
      </w:r>
    </w:p>
    <w:p w14:paraId="567FF5D9" w14:textId="77777777" w:rsidR="0054366A" w:rsidRPr="0054366A" w:rsidRDefault="0054366A" w:rsidP="0054366A">
      <w:pPr>
        <w:rPr>
          <w:rFonts w:ascii="Arial" w:hAnsi="Arial" w:cs="Arial"/>
          <w:sz w:val="22"/>
          <w:szCs w:val="22"/>
        </w:rPr>
      </w:pPr>
    </w:p>
    <w:p w14:paraId="5A539D88" w14:textId="77777777" w:rsidR="003A70E4" w:rsidRPr="003A70E4" w:rsidRDefault="0054366A" w:rsidP="003A70E4">
      <w:pPr>
        <w:shd w:val="clear" w:color="auto" w:fill="D9D9D9" w:themeFill="background1" w:themeFillShade="D9"/>
        <w:rPr>
          <w:rFonts w:ascii="Arial" w:hAnsi="Arial" w:cs="Arial"/>
          <w:b/>
          <w:bCs/>
          <w:sz w:val="22"/>
          <w:szCs w:val="22"/>
        </w:rPr>
      </w:pPr>
      <w:r>
        <w:rPr>
          <w:rFonts w:ascii="Arial" w:hAnsi="Arial"/>
          <w:b/>
          <w:sz w:val="22"/>
        </w:rPr>
        <w:t>Please note:</w:t>
      </w:r>
    </w:p>
    <w:p w14:paraId="6674DE0E" w14:textId="54263F34" w:rsidR="0054366A" w:rsidRPr="0054366A" w:rsidRDefault="0054366A" w:rsidP="003A70E4">
      <w:pPr>
        <w:shd w:val="clear" w:color="auto" w:fill="D9D9D9" w:themeFill="background1" w:themeFillShade="D9"/>
        <w:rPr>
          <w:rFonts w:ascii="Arial" w:hAnsi="Arial" w:cs="Arial"/>
          <w:sz w:val="22"/>
          <w:szCs w:val="22"/>
        </w:rPr>
      </w:pPr>
      <w:r>
        <w:rPr>
          <w:rFonts w:ascii="Arial" w:hAnsi="Arial"/>
          <w:sz w:val="22"/>
        </w:rPr>
        <w:t>The transitional arrangements are linked to the car. This means that, even if an employer makes the same car available to different employees before and after 1 January 2027, the transitional arrangements will continue to apply.</w:t>
      </w:r>
    </w:p>
    <w:p w14:paraId="2C77B852" w14:textId="77777777" w:rsidR="0054366A" w:rsidRPr="0054366A" w:rsidRDefault="0054366A" w:rsidP="0054366A">
      <w:pPr>
        <w:rPr>
          <w:rFonts w:ascii="Arial" w:hAnsi="Arial" w:cs="Arial"/>
          <w:sz w:val="22"/>
          <w:szCs w:val="22"/>
        </w:rPr>
      </w:pPr>
    </w:p>
    <w:p w14:paraId="07E6F796" w14:textId="77777777" w:rsidR="0054366A" w:rsidRPr="003A70E4" w:rsidRDefault="0054366A" w:rsidP="0054366A">
      <w:pPr>
        <w:rPr>
          <w:rFonts w:ascii="Arial" w:hAnsi="Arial" w:cs="Arial"/>
          <w:b/>
          <w:bCs/>
          <w:sz w:val="22"/>
          <w:szCs w:val="22"/>
        </w:rPr>
      </w:pPr>
      <w:r>
        <w:rPr>
          <w:rFonts w:ascii="Arial" w:hAnsi="Arial"/>
          <w:b/>
          <w:sz w:val="22"/>
        </w:rPr>
        <w:t>12% of the list price</w:t>
      </w:r>
    </w:p>
    <w:p w14:paraId="42B4E825" w14:textId="3EA602BA" w:rsidR="0054366A" w:rsidRPr="0054366A" w:rsidRDefault="0054366A" w:rsidP="0054366A">
      <w:pPr>
        <w:rPr>
          <w:rFonts w:ascii="Arial" w:hAnsi="Arial" w:cs="Arial"/>
          <w:sz w:val="22"/>
          <w:szCs w:val="22"/>
        </w:rPr>
      </w:pPr>
      <w:r>
        <w:rPr>
          <w:rFonts w:ascii="Arial" w:hAnsi="Arial"/>
          <w:sz w:val="22"/>
        </w:rPr>
        <w:t xml:space="preserve">The 12% pseudo final levy will be calculated on the list price of the car, including VAT and private vehicle and motorcycle tax (BPM). In contrast to the addition to taxable income for a company car, the employee’s personal contribution is not </w:t>
      </w:r>
      <w:proofErr w:type="gramStart"/>
      <w:r>
        <w:rPr>
          <w:rFonts w:ascii="Arial" w:hAnsi="Arial"/>
          <w:sz w:val="22"/>
        </w:rPr>
        <w:t>taken into account</w:t>
      </w:r>
      <w:proofErr w:type="gramEnd"/>
      <w:r>
        <w:rPr>
          <w:rFonts w:ascii="Arial" w:hAnsi="Arial"/>
          <w:sz w:val="22"/>
        </w:rPr>
        <w:t xml:space="preserve"> when calculating the pseudo final levy. If the car is more than 25 years old, the 12% pseudo final levy is calculated on the market value of the vehicle. </w:t>
      </w:r>
    </w:p>
    <w:p w14:paraId="313AA530" w14:textId="77777777" w:rsidR="0054366A" w:rsidRPr="0054366A" w:rsidRDefault="0054366A" w:rsidP="0054366A">
      <w:pPr>
        <w:rPr>
          <w:rFonts w:ascii="Arial" w:hAnsi="Arial" w:cs="Arial"/>
          <w:sz w:val="22"/>
          <w:szCs w:val="22"/>
        </w:rPr>
      </w:pPr>
    </w:p>
    <w:p w14:paraId="2E18E2A1" w14:textId="77777777" w:rsidR="0054366A" w:rsidRPr="003A70E4" w:rsidRDefault="0054366A" w:rsidP="0054366A">
      <w:pPr>
        <w:rPr>
          <w:rFonts w:ascii="Arial" w:hAnsi="Arial" w:cs="Arial"/>
          <w:b/>
          <w:bCs/>
          <w:sz w:val="22"/>
          <w:szCs w:val="22"/>
        </w:rPr>
      </w:pPr>
      <w:r>
        <w:rPr>
          <w:rFonts w:ascii="Arial" w:hAnsi="Arial"/>
          <w:b/>
          <w:sz w:val="22"/>
        </w:rPr>
        <w:t>Payment with payroll tax return</w:t>
      </w:r>
    </w:p>
    <w:p w14:paraId="0BBB06D8" w14:textId="77777777" w:rsidR="0054366A" w:rsidRPr="0054366A" w:rsidRDefault="0054366A" w:rsidP="0054366A">
      <w:pPr>
        <w:rPr>
          <w:rFonts w:ascii="Arial" w:hAnsi="Arial" w:cs="Arial"/>
          <w:sz w:val="22"/>
          <w:szCs w:val="22"/>
        </w:rPr>
      </w:pPr>
      <w:r>
        <w:rPr>
          <w:rFonts w:ascii="Arial" w:hAnsi="Arial"/>
          <w:sz w:val="22"/>
        </w:rPr>
        <w:t>The pseudo final levy is charged each calendar month. However, the employer can choose to pay it in the second payroll tax return period of the following calendar year, at the latest.</w:t>
      </w:r>
    </w:p>
    <w:p w14:paraId="21024378" w14:textId="77777777" w:rsidR="0054366A" w:rsidRPr="0054366A" w:rsidRDefault="0054366A" w:rsidP="0054366A">
      <w:pPr>
        <w:rPr>
          <w:rFonts w:ascii="Arial" w:hAnsi="Arial" w:cs="Arial"/>
          <w:sz w:val="22"/>
          <w:szCs w:val="22"/>
        </w:rPr>
      </w:pPr>
    </w:p>
    <w:p w14:paraId="3EB92542" w14:textId="77777777" w:rsidR="003A70E4" w:rsidRPr="003A70E4" w:rsidRDefault="0054366A" w:rsidP="003A70E4">
      <w:pPr>
        <w:shd w:val="clear" w:color="auto" w:fill="D9D9D9" w:themeFill="background1" w:themeFillShade="D9"/>
        <w:rPr>
          <w:rFonts w:ascii="Arial" w:hAnsi="Arial" w:cs="Arial"/>
          <w:b/>
          <w:bCs/>
          <w:sz w:val="22"/>
          <w:szCs w:val="22"/>
        </w:rPr>
      </w:pPr>
      <w:r>
        <w:rPr>
          <w:rFonts w:ascii="Arial" w:hAnsi="Arial"/>
          <w:b/>
          <w:sz w:val="22"/>
        </w:rPr>
        <w:t>Please note:</w:t>
      </w:r>
    </w:p>
    <w:p w14:paraId="1849DCBF" w14:textId="01C37AE8" w:rsidR="0054366A" w:rsidRPr="0054366A" w:rsidRDefault="0054366A" w:rsidP="003A70E4">
      <w:pPr>
        <w:shd w:val="clear" w:color="auto" w:fill="D9D9D9" w:themeFill="background1" w:themeFillShade="D9"/>
        <w:rPr>
          <w:rFonts w:ascii="Arial" w:hAnsi="Arial" w:cs="Arial"/>
          <w:sz w:val="22"/>
          <w:szCs w:val="22"/>
        </w:rPr>
      </w:pPr>
      <w:r>
        <w:rPr>
          <w:rFonts w:ascii="Arial" w:hAnsi="Arial"/>
          <w:sz w:val="22"/>
        </w:rPr>
        <w:t>For 2027 an employer will therefore pay the pseudo final levy no later than in the second payroll tax return period of 2028.</w:t>
      </w:r>
    </w:p>
    <w:p w14:paraId="64A644DB" w14:textId="77777777" w:rsidR="0054366A" w:rsidRPr="0054366A" w:rsidRDefault="0054366A" w:rsidP="0054366A">
      <w:pPr>
        <w:rPr>
          <w:rFonts w:ascii="Arial" w:hAnsi="Arial" w:cs="Arial"/>
          <w:sz w:val="22"/>
          <w:szCs w:val="22"/>
        </w:rPr>
      </w:pPr>
    </w:p>
    <w:p w14:paraId="59AC6B9C" w14:textId="77777777" w:rsidR="0054366A" w:rsidRPr="0054366A" w:rsidRDefault="0054366A" w:rsidP="0054366A">
      <w:pPr>
        <w:rPr>
          <w:rFonts w:ascii="Arial" w:hAnsi="Arial" w:cs="Arial"/>
          <w:sz w:val="22"/>
          <w:szCs w:val="22"/>
        </w:rPr>
      </w:pPr>
      <w:r>
        <w:rPr>
          <w:rFonts w:ascii="Arial" w:hAnsi="Arial"/>
          <w:sz w:val="22"/>
        </w:rPr>
        <w:t>There is no benefit in trying to save on the pseudo final levy by not making the car available for private use every day. Even if the car is made available for private purposes for just part of a month, this is considered to apply to the whole calendar month. The 12% pseudo final levy will therefore be applicable for the entire calendar month.</w:t>
      </w:r>
    </w:p>
    <w:p w14:paraId="46A928A5" w14:textId="77777777" w:rsidR="0054366A" w:rsidRPr="0054366A" w:rsidRDefault="0054366A" w:rsidP="0054366A">
      <w:pPr>
        <w:rPr>
          <w:rFonts w:ascii="Arial" w:hAnsi="Arial" w:cs="Arial"/>
          <w:sz w:val="22"/>
          <w:szCs w:val="22"/>
        </w:rPr>
      </w:pPr>
    </w:p>
    <w:p w14:paraId="62892E23" w14:textId="77777777" w:rsidR="0054366A" w:rsidRPr="003A70E4" w:rsidRDefault="0054366A" w:rsidP="0054366A">
      <w:pPr>
        <w:rPr>
          <w:rFonts w:ascii="Arial" w:hAnsi="Arial" w:cs="Arial"/>
          <w:b/>
          <w:bCs/>
          <w:sz w:val="22"/>
          <w:szCs w:val="22"/>
        </w:rPr>
      </w:pPr>
      <w:r>
        <w:rPr>
          <w:rFonts w:ascii="Arial" w:hAnsi="Arial"/>
          <w:b/>
          <w:sz w:val="22"/>
        </w:rPr>
        <w:t>Also applicable to directors/major shareholders, but not to entrepreneurs subject to income tax</w:t>
      </w:r>
    </w:p>
    <w:p w14:paraId="43BBD9A5" w14:textId="77777777" w:rsidR="0054366A" w:rsidRDefault="0054366A" w:rsidP="0054366A">
      <w:pPr>
        <w:rPr>
          <w:rFonts w:ascii="Arial" w:hAnsi="Arial" w:cs="Arial"/>
          <w:sz w:val="22"/>
          <w:szCs w:val="22"/>
        </w:rPr>
      </w:pPr>
      <w:r>
        <w:rPr>
          <w:rFonts w:ascii="Arial" w:hAnsi="Arial"/>
          <w:sz w:val="22"/>
        </w:rPr>
        <w:t>The pseudo final levy is a levy that applies to employers. This means that if a company makes a company car available to a director/major shareholder (DGA), it may also have to pay the levy.</w:t>
      </w:r>
    </w:p>
    <w:p w14:paraId="3FCEED31" w14:textId="77777777" w:rsidR="003B70C5" w:rsidRPr="0054366A" w:rsidRDefault="003B70C5" w:rsidP="0054366A">
      <w:pPr>
        <w:rPr>
          <w:rFonts w:ascii="Arial" w:hAnsi="Arial" w:cs="Arial"/>
          <w:sz w:val="22"/>
          <w:szCs w:val="22"/>
        </w:rPr>
      </w:pPr>
    </w:p>
    <w:p w14:paraId="18995C1F" w14:textId="77777777" w:rsidR="0054366A" w:rsidRPr="0054366A" w:rsidRDefault="0054366A" w:rsidP="0054366A">
      <w:pPr>
        <w:rPr>
          <w:rFonts w:ascii="Arial" w:hAnsi="Arial" w:cs="Arial"/>
          <w:sz w:val="22"/>
          <w:szCs w:val="22"/>
        </w:rPr>
      </w:pPr>
      <w:r>
        <w:rPr>
          <w:rFonts w:ascii="Arial" w:hAnsi="Arial"/>
          <w:sz w:val="22"/>
        </w:rPr>
        <w:t>A sole trader or partner in a general partnership will not be subject to the levy personally, but may have to pay it for his/her staff.</w:t>
      </w:r>
    </w:p>
    <w:p w14:paraId="4E6FC82F" w14:textId="77777777" w:rsidR="0054366A" w:rsidRPr="0054366A" w:rsidRDefault="0054366A" w:rsidP="0054366A">
      <w:pPr>
        <w:rPr>
          <w:rFonts w:ascii="Arial" w:hAnsi="Arial" w:cs="Arial"/>
          <w:sz w:val="22"/>
          <w:szCs w:val="22"/>
        </w:rPr>
      </w:pPr>
    </w:p>
    <w:p w14:paraId="315F9262" w14:textId="77777777" w:rsidR="0054366A" w:rsidRPr="003A70E4" w:rsidRDefault="0054366A" w:rsidP="0054366A">
      <w:pPr>
        <w:rPr>
          <w:rFonts w:ascii="Arial" w:hAnsi="Arial" w:cs="Arial"/>
          <w:b/>
          <w:bCs/>
          <w:sz w:val="22"/>
          <w:szCs w:val="22"/>
        </w:rPr>
      </w:pPr>
      <w:r>
        <w:rPr>
          <w:rFonts w:ascii="Arial" w:hAnsi="Arial"/>
          <w:b/>
          <w:sz w:val="22"/>
        </w:rPr>
        <w:t>Get prepared</w:t>
      </w:r>
    </w:p>
    <w:p w14:paraId="63E04303" w14:textId="51B88149" w:rsidR="0054366A" w:rsidRDefault="003B70C5" w:rsidP="0054366A">
      <w:pPr>
        <w:rPr>
          <w:rFonts w:ascii="Arial" w:hAnsi="Arial" w:cs="Arial"/>
          <w:sz w:val="22"/>
          <w:szCs w:val="22"/>
        </w:rPr>
      </w:pPr>
      <w:r>
        <w:rPr>
          <w:rFonts w:ascii="Arial" w:hAnsi="Arial"/>
          <w:sz w:val="22"/>
        </w:rPr>
        <w:t>Although the measure will not take effect until 2027 and transitional arrangements will apply, it is a good idea to start preparing for its introduction. This applies in particular if you have entered into a lease with a five-year term or plan to do so in the future. That is because the transitional arrangements will run until 17 September 2030 and that is already less than five years away.</w:t>
      </w:r>
    </w:p>
    <w:p w14:paraId="60BAFE0F" w14:textId="3F741056" w:rsidR="002D6A1B" w:rsidRDefault="002D6A1B" w:rsidP="00AC1CBE">
      <w:pPr>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p>
    <w:p w14:paraId="1BD60913" w14:textId="01074762" w:rsidR="00146674" w:rsidRDefault="00146674" w:rsidP="00957F2F">
      <w:pPr>
        <w:pStyle w:val="Kop2"/>
        <w:ind w:hanging="283"/>
      </w:pPr>
      <w:r>
        <w:lastRenderedPageBreak/>
        <w:t>Final levy for vans used by different employees higher in 2026</w:t>
      </w:r>
    </w:p>
    <w:p w14:paraId="4E77519D" w14:textId="47B2AC09" w:rsidR="00146674" w:rsidRDefault="00146674" w:rsidP="00146674">
      <w:pPr>
        <w:rPr>
          <w:rFonts w:ascii="Arial" w:hAnsi="Arial" w:cs="Arial"/>
          <w:sz w:val="22"/>
          <w:szCs w:val="22"/>
        </w:rPr>
      </w:pPr>
    </w:p>
    <w:p w14:paraId="524C54FA" w14:textId="55EB1F0B" w:rsidR="00D2040D" w:rsidRDefault="00373193" w:rsidP="00146674">
      <w:pPr>
        <w:rPr>
          <w:rFonts w:ascii="Arial" w:hAnsi="Arial" w:cs="Arial"/>
          <w:sz w:val="22"/>
          <w:szCs w:val="22"/>
        </w:rPr>
      </w:pPr>
      <w:r>
        <w:rPr>
          <w:rFonts w:ascii="Arial" w:hAnsi="Arial"/>
          <w:sz w:val="22"/>
        </w:rPr>
        <w:t>If an employer has a van that is used by a number of different employees, the addition to taxable income for private use can be replaced with a flat payment by applying a final levy. In 2026 the amount of the final levy will be € 13 higher than in 2025, amounting to € 451 per year (2025: € 438).</w:t>
      </w:r>
    </w:p>
    <w:p w14:paraId="626853C4" w14:textId="0A13CA9D" w:rsidR="00F66908" w:rsidRDefault="00F66908">
      <w:pPr>
        <w:rPr>
          <w:rFonts w:ascii="Arial" w:hAnsi="Arial" w:cs="Arial"/>
          <w:sz w:val="22"/>
          <w:szCs w:val="22"/>
        </w:rPr>
      </w:pPr>
    </w:p>
    <w:p w14:paraId="6E753D77" w14:textId="7C09CDA4" w:rsidR="00D2040D" w:rsidRPr="005A408C" w:rsidRDefault="00D2040D" w:rsidP="005A408C">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b/>
          <w:bCs/>
          <w:sz w:val="22"/>
          <w:szCs w:val="22"/>
        </w:rPr>
      </w:pPr>
      <w:r>
        <w:rPr>
          <w:rFonts w:ascii="Arial" w:hAnsi="Arial"/>
          <w:b/>
          <w:sz w:val="22"/>
        </w:rPr>
        <w:t>Please note:</w:t>
      </w:r>
    </w:p>
    <w:p w14:paraId="4A30EB84" w14:textId="23D9B0DD" w:rsidR="00D2040D" w:rsidRPr="00D2040D" w:rsidRDefault="00F90B2A" w:rsidP="005A408C">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r>
        <w:rPr>
          <w:rFonts w:ascii="Arial" w:hAnsi="Arial"/>
          <w:sz w:val="22"/>
        </w:rPr>
        <w:t>As a consequence of case-law dating from 2019 (</w:t>
      </w:r>
      <w:hyperlink r:id="rId18" w:history="1">
        <w:r>
          <w:rPr>
            <w:rStyle w:val="Hyperlink"/>
            <w:rFonts w:ascii="Arial" w:hAnsi="Arial"/>
            <w:sz w:val="22"/>
          </w:rPr>
          <w:t>ECLI:NL:GHDHA:2019:3152</w:t>
        </w:r>
      </w:hyperlink>
      <w:r>
        <w:rPr>
          <w:rFonts w:ascii="Arial" w:hAnsi="Arial"/>
          <w:sz w:val="22"/>
        </w:rPr>
        <w:t>), in practice the Tax and Customs Administration only allows the final levy to be applied for a van used by different employees if it would be onerous to keep a journey log for the van. You should therefore bear in mind that, in situations in which the Tax and Customs Administration does not consider it onerous to keep a journey log, application of the final levy will not be accepted.</w:t>
      </w:r>
    </w:p>
    <w:p w14:paraId="2E0AE16A" w14:textId="77777777" w:rsidR="00E26725" w:rsidRDefault="00E26725" w:rsidP="00AC1CBE">
      <w:pPr>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p>
    <w:p w14:paraId="466BE0B6" w14:textId="71846150" w:rsidR="002259CA" w:rsidRPr="002259CA" w:rsidRDefault="002259CA" w:rsidP="008F7603">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r>
        <w:rPr>
          <w:rFonts w:ascii="Arial" w:hAnsi="Arial"/>
          <w:b/>
          <w:sz w:val="22"/>
        </w:rPr>
        <w:t>Tip:</w:t>
      </w:r>
      <w:r>
        <w:rPr>
          <w:rFonts w:ascii="Arial" w:hAnsi="Arial"/>
          <w:sz w:val="22"/>
        </w:rPr>
        <w:br/>
        <w:t>The amount of € 451 applies only to a van that is used by a number of different employees. If a car is available to several employees for private use, you can base the addition to taxable income for each employee on the extent to which the employee has access to the car. If a car is equally available to two employees, for example, and they both also use it for private purposes, the addition for both employees will be 50% of the customary addition.</w:t>
      </w:r>
    </w:p>
    <w:p w14:paraId="03FC4CED" w14:textId="77777777" w:rsidR="00482435" w:rsidRDefault="00482435" w:rsidP="00D72AB4">
      <w:pPr>
        <w:rPr>
          <w:rFonts w:ascii="Arial" w:hAnsi="Arial" w:cs="Arial"/>
          <w:bCs/>
          <w:iCs/>
          <w:sz w:val="22"/>
          <w:szCs w:val="22"/>
        </w:rPr>
      </w:pPr>
    </w:p>
    <w:p w14:paraId="0A65AB86" w14:textId="0A7C2EDB" w:rsidR="00E307B7" w:rsidRDefault="0083596A" w:rsidP="00957F2F">
      <w:pPr>
        <w:pStyle w:val="Kop2"/>
        <w:ind w:hanging="283"/>
      </w:pPr>
      <w:r>
        <w:t>No addition to taxable income if company bicycle occasionally stored at home</w:t>
      </w:r>
    </w:p>
    <w:p w14:paraId="1274593F" w14:textId="77777777" w:rsidR="00A35E4F" w:rsidRDefault="00A35E4F" w:rsidP="00E307B7">
      <w:pPr>
        <w:rPr>
          <w:rFonts w:ascii="Arial" w:hAnsi="Arial" w:cs="Arial"/>
          <w:bCs/>
          <w:iCs/>
          <w:sz w:val="22"/>
          <w:szCs w:val="22"/>
        </w:rPr>
      </w:pPr>
    </w:p>
    <w:p w14:paraId="2F54BECB" w14:textId="77777777" w:rsidR="00233A23" w:rsidRDefault="00233A23" w:rsidP="00233A23">
      <w:pPr>
        <w:rPr>
          <w:rFonts w:ascii="Arial" w:hAnsi="Arial" w:cs="Arial"/>
          <w:bCs/>
          <w:iCs/>
          <w:sz w:val="22"/>
          <w:szCs w:val="22"/>
        </w:rPr>
      </w:pPr>
      <w:r>
        <w:rPr>
          <w:rFonts w:ascii="Arial" w:hAnsi="Arial"/>
          <w:sz w:val="22"/>
        </w:rPr>
        <w:t>If you make a bicycle available to an employee that he/she may use for private purposes, you have to apply an addition to his/her taxable income. If an employee is also allowed to use the bicycle for commuting, it will in any case be considered to have been made available for private use. An addition to taxable income of 7% of the recommended retail price of the bicycle applies per calendar year if the bicycle is used for private purposes.</w:t>
      </w:r>
    </w:p>
    <w:p w14:paraId="6D35A1EB" w14:textId="77777777" w:rsidR="00233A23" w:rsidRPr="00233A23" w:rsidRDefault="00233A23" w:rsidP="00233A23">
      <w:pPr>
        <w:rPr>
          <w:rFonts w:ascii="Arial" w:hAnsi="Arial" w:cs="Arial"/>
          <w:bCs/>
          <w:iCs/>
          <w:sz w:val="22"/>
          <w:szCs w:val="22"/>
        </w:rPr>
      </w:pPr>
    </w:p>
    <w:p w14:paraId="61282CB7" w14:textId="77777777" w:rsidR="00233A23" w:rsidRDefault="00233A23" w:rsidP="00233A23">
      <w:pPr>
        <w:rPr>
          <w:rFonts w:ascii="Arial" w:hAnsi="Arial" w:cs="Arial"/>
          <w:bCs/>
          <w:iCs/>
          <w:sz w:val="22"/>
          <w:szCs w:val="22"/>
        </w:rPr>
      </w:pPr>
      <w:r>
        <w:rPr>
          <w:rFonts w:ascii="Arial" w:hAnsi="Arial"/>
          <w:sz w:val="22"/>
        </w:rPr>
        <w:t>You are required to deduct payroll tax/national insurance contributions from this addition. You also have to pay contributions on it to employee insurance schemes, as well as paying the employer levy under the Healthcare Insurance Act (Zvw) or deducting the Zvw contribution.</w:t>
      </w:r>
    </w:p>
    <w:p w14:paraId="104DA354" w14:textId="77777777" w:rsidR="00233A23" w:rsidRPr="00233A23" w:rsidRDefault="00233A23" w:rsidP="00233A23">
      <w:pPr>
        <w:rPr>
          <w:rFonts w:ascii="Arial" w:hAnsi="Arial" w:cs="Arial"/>
          <w:bCs/>
          <w:iCs/>
          <w:sz w:val="22"/>
          <w:szCs w:val="22"/>
        </w:rPr>
      </w:pPr>
    </w:p>
    <w:p w14:paraId="6760A7D7" w14:textId="77777777" w:rsidR="003A70E4" w:rsidRDefault="00233A23" w:rsidP="003A70E4">
      <w:pPr>
        <w:shd w:val="clear" w:color="auto" w:fill="D9D9D9" w:themeFill="background1" w:themeFillShade="D9"/>
        <w:rPr>
          <w:rFonts w:ascii="Arial" w:hAnsi="Arial" w:cs="Arial"/>
          <w:b/>
          <w:bCs/>
          <w:iCs/>
          <w:sz w:val="22"/>
          <w:szCs w:val="22"/>
        </w:rPr>
      </w:pPr>
      <w:r>
        <w:rPr>
          <w:rFonts w:ascii="Arial" w:hAnsi="Arial"/>
          <w:b/>
          <w:sz w:val="22"/>
        </w:rPr>
        <w:t>Tip:</w:t>
      </w:r>
    </w:p>
    <w:p w14:paraId="2E5CEAFC" w14:textId="20DD5DB5" w:rsidR="00233A23" w:rsidRDefault="00233A23" w:rsidP="003A70E4">
      <w:pPr>
        <w:shd w:val="clear" w:color="auto" w:fill="D9D9D9" w:themeFill="background1" w:themeFillShade="D9"/>
        <w:rPr>
          <w:rFonts w:ascii="Arial" w:hAnsi="Arial" w:cs="Arial"/>
          <w:bCs/>
          <w:iCs/>
          <w:sz w:val="22"/>
          <w:szCs w:val="22"/>
        </w:rPr>
      </w:pPr>
      <w:r>
        <w:rPr>
          <w:rFonts w:ascii="Arial" w:hAnsi="Arial"/>
          <w:sz w:val="22"/>
        </w:rPr>
        <w:t>You can also opt to allocate the addition to the fixed budget, provided that the standard-practice test is satisfied. If you ultimately exceed the fixed budget in a particular year, as an employer you will have to pay an 80% final levy on the excess amount. Take this into account when deciding whether or not to allocate the addition to the fixed budget.</w:t>
      </w:r>
    </w:p>
    <w:p w14:paraId="088E6288" w14:textId="77777777" w:rsidR="00233A23" w:rsidRDefault="00233A23" w:rsidP="00E307B7">
      <w:pPr>
        <w:rPr>
          <w:rFonts w:ascii="Arial" w:hAnsi="Arial" w:cs="Arial"/>
          <w:bCs/>
          <w:iCs/>
          <w:sz w:val="22"/>
          <w:szCs w:val="22"/>
        </w:rPr>
      </w:pPr>
    </w:p>
    <w:p w14:paraId="7EAC5827" w14:textId="67F69BF0" w:rsidR="00233A23" w:rsidRDefault="00233A23" w:rsidP="00E307B7">
      <w:pPr>
        <w:rPr>
          <w:rFonts w:ascii="Arial" w:hAnsi="Arial"/>
          <w:sz w:val="22"/>
        </w:rPr>
      </w:pPr>
      <w:r>
        <w:rPr>
          <w:rFonts w:ascii="Arial" w:hAnsi="Arial"/>
          <w:sz w:val="22"/>
        </w:rPr>
        <w:t xml:space="preserve">From 1 January 2026, with retroactive effect from 1 January 2020, it is no longer necessary to apply an addition for bicycles that are not, or are only occasionally (no more than 10% of the time), stored at the employee’s home/residential address. This applies to shared bicycles and ‘hub bicycles’ (public shared electric bicycles), for example, but also to other bicycles that are stored at the employee’s home/residential address for no more than 10% of the time. </w:t>
      </w:r>
    </w:p>
    <w:p w14:paraId="137A204D" w14:textId="77777777" w:rsidR="0080169D" w:rsidRDefault="0080169D" w:rsidP="00E307B7">
      <w:pPr>
        <w:rPr>
          <w:rFonts w:ascii="Arial" w:hAnsi="Arial"/>
          <w:sz w:val="22"/>
        </w:rPr>
      </w:pPr>
    </w:p>
    <w:p w14:paraId="5F9D2089" w14:textId="77777777" w:rsidR="0080169D" w:rsidRDefault="0080169D" w:rsidP="00E307B7">
      <w:pPr>
        <w:rPr>
          <w:rFonts w:ascii="Arial" w:hAnsi="Arial"/>
          <w:sz w:val="22"/>
        </w:rPr>
      </w:pPr>
    </w:p>
    <w:p w14:paraId="5FC4F707" w14:textId="77777777" w:rsidR="0080169D" w:rsidRDefault="0080169D" w:rsidP="00E307B7">
      <w:pPr>
        <w:rPr>
          <w:rFonts w:ascii="Arial" w:hAnsi="Arial" w:cs="Arial"/>
          <w:bCs/>
          <w:iCs/>
          <w:sz w:val="22"/>
          <w:szCs w:val="22"/>
        </w:rPr>
      </w:pPr>
    </w:p>
    <w:p w14:paraId="138DAF74" w14:textId="77777777" w:rsidR="003A70E4" w:rsidRDefault="003A70E4" w:rsidP="00E307B7">
      <w:pPr>
        <w:rPr>
          <w:rFonts w:ascii="Arial" w:hAnsi="Arial" w:cs="Arial"/>
          <w:bCs/>
          <w:iCs/>
          <w:sz w:val="22"/>
          <w:szCs w:val="22"/>
        </w:rPr>
      </w:pPr>
    </w:p>
    <w:p w14:paraId="5CF3F02F" w14:textId="77777777" w:rsidR="003A70E4" w:rsidRDefault="0083596A" w:rsidP="003A70E4">
      <w:pPr>
        <w:shd w:val="clear" w:color="auto" w:fill="D9D9D9" w:themeFill="background1" w:themeFillShade="D9"/>
        <w:rPr>
          <w:rFonts w:ascii="Arial" w:hAnsi="Arial" w:cs="Arial"/>
          <w:b/>
          <w:bCs/>
          <w:iCs/>
          <w:sz w:val="22"/>
          <w:szCs w:val="22"/>
        </w:rPr>
      </w:pPr>
      <w:r>
        <w:rPr>
          <w:rFonts w:ascii="Arial" w:hAnsi="Arial"/>
          <w:b/>
          <w:sz w:val="22"/>
        </w:rPr>
        <w:lastRenderedPageBreak/>
        <w:t>Please note:</w:t>
      </w:r>
    </w:p>
    <w:p w14:paraId="15919383" w14:textId="4FADE340" w:rsidR="0083596A" w:rsidRDefault="0083596A" w:rsidP="003A70E4">
      <w:pPr>
        <w:shd w:val="clear" w:color="auto" w:fill="D9D9D9" w:themeFill="background1" w:themeFillShade="D9"/>
        <w:rPr>
          <w:rFonts w:ascii="Arial" w:hAnsi="Arial" w:cs="Arial"/>
          <w:bCs/>
          <w:iCs/>
          <w:sz w:val="22"/>
          <w:szCs w:val="22"/>
        </w:rPr>
      </w:pPr>
      <w:r>
        <w:rPr>
          <w:rFonts w:ascii="Arial" w:hAnsi="Arial"/>
          <w:sz w:val="22"/>
        </w:rPr>
        <w:t>If the bicycle is not at the employee’s disposal during the period when it is located at his/her home/residential address, this is not regarded as storage of the bicycle. Such a situation arises, for example, if a shared bicycle has been returned in the app.</w:t>
      </w:r>
    </w:p>
    <w:p w14:paraId="6A47A7BD" w14:textId="77777777" w:rsidR="0083596A" w:rsidRDefault="0083596A" w:rsidP="00E307B7">
      <w:pPr>
        <w:rPr>
          <w:rFonts w:ascii="Arial" w:hAnsi="Arial" w:cs="Arial"/>
          <w:bCs/>
          <w:iCs/>
          <w:sz w:val="22"/>
          <w:szCs w:val="22"/>
        </w:rPr>
      </w:pPr>
    </w:p>
    <w:p w14:paraId="6463272F" w14:textId="77777777" w:rsidR="003A70E4" w:rsidRPr="003A70E4" w:rsidRDefault="0083596A" w:rsidP="003A70E4">
      <w:pPr>
        <w:shd w:val="clear" w:color="auto" w:fill="D9D9D9" w:themeFill="background1" w:themeFillShade="D9"/>
        <w:rPr>
          <w:rFonts w:ascii="Arial" w:hAnsi="Arial" w:cs="Arial"/>
          <w:b/>
          <w:iCs/>
          <w:sz w:val="22"/>
          <w:szCs w:val="22"/>
        </w:rPr>
      </w:pPr>
      <w:r>
        <w:rPr>
          <w:rFonts w:ascii="Arial" w:hAnsi="Arial"/>
          <w:b/>
          <w:sz w:val="22"/>
        </w:rPr>
        <w:t>Tip:</w:t>
      </w:r>
    </w:p>
    <w:p w14:paraId="301AE8CC" w14:textId="593EAAE8" w:rsidR="0083596A" w:rsidRDefault="0083596A" w:rsidP="003A70E4">
      <w:pPr>
        <w:shd w:val="clear" w:color="auto" w:fill="D9D9D9" w:themeFill="background1" w:themeFillShade="D9"/>
        <w:rPr>
          <w:rFonts w:ascii="Arial" w:hAnsi="Arial" w:cs="Arial"/>
          <w:bCs/>
          <w:iCs/>
          <w:sz w:val="22"/>
          <w:szCs w:val="22"/>
        </w:rPr>
      </w:pPr>
      <w:r>
        <w:rPr>
          <w:rFonts w:ascii="Arial" w:hAnsi="Arial"/>
          <w:sz w:val="22"/>
        </w:rPr>
        <w:t>The new rules apply with retroactive effect from 1 January 2020. If you have incorrectly applied an addition from that date, as of 1 January 2026 you will be able to claim back the tax that has been deducted. However, you must be able to demonstrate that the bicycle was not being stored at your home for more than 10% of the time. In addition, the bicycle must have been used only for your commute to and from work (or part of this trip) and must not have been used for private purposes.</w:t>
      </w:r>
    </w:p>
    <w:p w14:paraId="35100F66" w14:textId="77777777" w:rsidR="0080169D" w:rsidRDefault="0080169D" w:rsidP="0080169D">
      <w:pPr>
        <w:pStyle w:val="Kop2"/>
        <w:numPr>
          <w:ilvl w:val="0"/>
          <w:numId w:val="0"/>
        </w:numPr>
        <w:ind w:left="283"/>
      </w:pPr>
      <w:bookmarkStart w:id="38" w:name="_Toc152927296"/>
      <w:bookmarkStart w:id="39" w:name="_Toc155866623"/>
    </w:p>
    <w:p w14:paraId="4F8A4C55" w14:textId="4DF7C366" w:rsidR="003A70E4" w:rsidRDefault="003A70E4" w:rsidP="00957F2F">
      <w:pPr>
        <w:pStyle w:val="Kop2"/>
        <w:ind w:hanging="283"/>
      </w:pPr>
      <w:r>
        <w:t xml:space="preserve">Travel allowances </w:t>
      </w:r>
      <w:bookmarkEnd w:id="38"/>
      <w:bookmarkEnd w:id="39"/>
      <w:r>
        <w:t>to remain at 2025 level in 2026</w:t>
      </w:r>
    </w:p>
    <w:p w14:paraId="079F2708" w14:textId="77777777" w:rsidR="003A70E4" w:rsidRPr="003B3768" w:rsidRDefault="003A70E4" w:rsidP="003A70E4">
      <w:pPr>
        <w:rPr>
          <w:rFonts w:ascii="Arial" w:hAnsi="Arial" w:cs="Arial"/>
          <w:b/>
          <w:iCs/>
          <w:sz w:val="22"/>
          <w:szCs w:val="22"/>
        </w:rPr>
      </w:pPr>
    </w:p>
    <w:p w14:paraId="7FA922B0" w14:textId="44AC1042" w:rsidR="003A70E4" w:rsidRDefault="003A70E4" w:rsidP="003A70E4">
      <w:pPr>
        <w:rPr>
          <w:rFonts w:ascii="Arial" w:hAnsi="Arial" w:cs="Arial"/>
          <w:bCs/>
          <w:iCs/>
          <w:sz w:val="22"/>
          <w:szCs w:val="22"/>
        </w:rPr>
      </w:pPr>
      <w:r>
        <w:rPr>
          <w:rFonts w:ascii="Arial" w:hAnsi="Arial"/>
          <w:sz w:val="22"/>
        </w:rPr>
        <w:t>The travel allowance for the costs of business travel using your own transport, including commuting, will be € 0.23/km in 2026 (same as in 2025). This applies to virtually all forms of transport and therefore also to kilometres travelled by bicycle or moped, for example.</w:t>
      </w:r>
    </w:p>
    <w:p w14:paraId="29E8D222" w14:textId="77777777" w:rsidR="00233A23" w:rsidRDefault="00233A23" w:rsidP="00E307B7">
      <w:pPr>
        <w:rPr>
          <w:rFonts w:ascii="Arial" w:hAnsi="Arial" w:cs="Arial"/>
          <w:bCs/>
          <w:iCs/>
          <w:sz w:val="22"/>
          <w:szCs w:val="22"/>
        </w:rPr>
      </w:pPr>
    </w:p>
    <w:p w14:paraId="2FC79C1F" w14:textId="3F4D6D12" w:rsidR="00A46BD4" w:rsidRPr="00A46BD4" w:rsidRDefault="00A46BD4" w:rsidP="00957F2F">
      <w:pPr>
        <w:pStyle w:val="Kop2"/>
        <w:ind w:hanging="283"/>
        <w:rPr>
          <w:szCs w:val="24"/>
        </w:rPr>
      </w:pPr>
      <w:bookmarkStart w:id="40" w:name="_Toc155866624"/>
      <w:bookmarkStart w:id="41" w:name="_Toc152927297"/>
      <w:r>
        <w:t>Car parking during holiday taxed or untaxed?</w:t>
      </w:r>
    </w:p>
    <w:p w14:paraId="21682205" w14:textId="77777777" w:rsidR="00A46BD4" w:rsidRDefault="00A46BD4" w:rsidP="00A46BD4">
      <w:pPr>
        <w:rPr>
          <w:rFonts w:ascii="Arial" w:hAnsi="Arial" w:cs="Arial"/>
          <w:b/>
          <w:bCs/>
          <w:sz w:val="22"/>
          <w:szCs w:val="22"/>
        </w:rPr>
      </w:pPr>
    </w:p>
    <w:p w14:paraId="17BD0FD4" w14:textId="0A921624" w:rsidR="00A46BD4" w:rsidRPr="00A46BD4" w:rsidRDefault="00A46BD4" w:rsidP="00A46BD4">
      <w:pPr>
        <w:rPr>
          <w:rFonts w:ascii="Arial" w:hAnsi="Arial" w:cs="Arial"/>
          <w:sz w:val="22"/>
          <w:szCs w:val="22"/>
        </w:rPr>
      </w:pPr>
      <w:r>
        <w:rPr>
          <w:rFonts w:ascii="Arial" w:hAnsi="Arial"/>
          <w:sz w:val="22"/>
        </w:rPr>
        <w:t>Employers who have sufficient parking space close to their premises sometimes allow their employees to park their car there while they are on holiday, for example. Is the use of such parking space that is not actually on the company’s site taxed or untaxed?</w:t>
      </w:r>
    </w:p>
    <w:p w14:paraId="3E5EDA2B" w14:textId="77777777" w:rsidR="00A46BD4" w:rsidRDefault="00A46BD4" w:rsidP="00A46BD4">
      <w:pPr>
        <w:rPr>
          <w:rFonts w:ascii="Arial" w:hAnsi="Arial" w:cs="Arial"/>
          <w:b/>
          <w:bCs/>
          <w:sz w:val="22"/>
          <w:szCs w:val="22"/>
        </w:rPr>
      </w:pPr>
    </w:p>
    <w:p w14:paraId="24F5C4EB" w14:textId="77777777" w:rsidR="00A46BD4" w:rsidRDefault="00A46BD4" w:rsidP="00A46BD4">
      <w:pPr>
        <w:rPr>
          <w:rFonts w:ascii="Arial" w:hAnsi="Arial" w:cs="Arial"/>
          <w:b/>
          <w:bCs/>
          <w:sz w:val="22"/>
          <w:szCs w:val="22"/>
        </w:rPr>
      </w:pPr>
      <w:r>
        <w:rPr>
          <w:rFonts w:ascii="Arial" w:hAnsi="Arial"/>
          <w:b/>
          <w:sz w:val="22"/>
        </w:rPr>
        <w:t>Public parking</w:t>
      </w:r>
    </w:p>
    <w:p w14:paraId="4B150531" w14:textId="1E12A54D" w:rsidR="00A46BD4" w:rsidRDefault="00A46BD4" w:rsidP="00A46BD4">
      <w:pPr>
        <w:rPr>
          <w:rFonts w:ascii="Arial" w:hAnsi="Arial" w:cs="Arial"/>
          <w:sz w:val="22"/>
          <w:szCs w:val="22"/>
        </w:rPr>
      </w:pPr>
      <w:r>
        <w:rPr>
          <w:rFonts w:ascii="Arial" w:hAnsi="Arial"/>
          <w:sz w:val="22"/>
        </w:rPr>
        <w:t xml:space="preserve">In a </w:t>
      </w:r>
      <w:hyperlink r:id="rId19" w:history="1">
        <w:r>
          <w:rPr>
            <w:rStyle w:val="Hyperlink"/>
            <w:rFonts w:ascii="Arial" w:hAnsi="Arial"/>
            <w:sz w:val="22"/>
          </w:rPr>
          <w:t>knowledge group opinion</w:t>
        </w:r>
      </w:hyperlink>
      <w:r>
        <w:rPr>
          <w:rFonts w:ascii="Arial" w:hAnsi="Arial"/>
          <w:sz w:val="22"/>
        </w:rPr>
        <w:t xml:space="preserve"> the Tax and Customs Administration has focused on this situation in more detail with the help of a case study. Between an employer’s offices and the parking spaces there is a public space. Third parties can also make use of the parking facilities, which cost € 16 per day.</w:t>
      </w:r>
    </w:p>
    <w:p w14:paraId="1DFC8A44" w14:textId="77777777" w:rsidR="00A46BD4" w:rsidRPr="00A46BD4" w:rsidRDefault="00A46BD4" w:rsidP="00A46BD4">
      <w:pPr>
        <w:rPr>
          <w:rFonts w:ascii="Arial" w:hAnsi="Arial" w:cs="Arial"/>
          <w:sz w:val="22"/>
          <w:szCs w:val="22"/>
        </w:rPr>
      </w:pPr>
    </w:p>
    <w:p w14:paraId="40D70ABF" w14:textId="77777777" w:rsidR="00A46BD4" w:rsidRDefault="00A46BD4" w:rsidP="00A46BD4">
      <w:pPr>
        <w:rPr>
          <w:rFonts w:ascii="Arial" w:hAnsi="Arial" w:cs="Arial"/>
          <w:b/>
          <w:bCs/>
          <w:sz w:val="22"/>
          <w:szCs w:val="22"/>
        </w:rPr>
      </w:pPr>
      <w:r>
        <w:rPr>
          <w:rFonts w:ascii="Arial" w:hAnsi="Arial"/>
          <w:b/>
          <w:sz w:val="22"/>
        </w:rPr>
        <w:t>No zero rating</w:t>
      </w:r>
    </w:p>
    <w:p w14:paraId="4116EA7D" w14:textId="58FB1ACE" w:rsidR="00A46BD4" w:rsidRDefault="00A46BD4" w:rsidP="00A46BD4">
      <w:pPr>
        <w:rPr>
          <w:rFonts w:ascii="Arial" w:hAnsi="Arial" w:cs="Arial"/>
          <w:sz w:val="22"/>
          <w:szCs w:val="22"/>
        </w:rPr>
      </w:pPr>
      <w:r>
        <w:rPr>
          <w:rFonts w:ascii="Arial" w:hAnsi="Arial"/>
          <w:sz w:val="22"/>
        </w:rPr>
        <w:t>The Tax and Customs Administration takes the view that, in such a situation, parking your own car at this facility while you are on holiday is taxable.</w:t>
      </w:r>
      <w:r w:rsidR="00954090">
        <w:rPr>
          <w:rFonts w:ascii="Arial" w:hAnsi="Arial"/>
          <w:sz w:val="22"/>
        </w:rPr>
        <w:t xml:space="preserve"> </w:t>
      </w:r>
      <w:r>
        <w:rPr>
          <w:rFonts w:ascii="Arial" w:hAnsi="Arial"/>
          <w:sz w:val="22"/>
        </w:rPr>
        <w:t>Under a special scheme, parking facilities fall within the concept of the ‘workplace’. This means that the zero rating applies.</w:t>
      </w:r>
    </w:p>
    <w:p w14:paraId="59CA063E" w14:textId="77777777" w:rsidR="00A46BD4" w:rsidRDefault="00A46BD4" w:rsidP="00A46BD4">
      <w:pPr>
        <w:rPr>
          <w:rFonts w:ascii="Arial" w:hAnsi="Arial" w:cs="Arial"/>
          <w:sz w:val="22"/>
          <w:szCs w:val="22"/>
        </w:rPr>
      </w:pPr>
    </w:p>
    <w:p w14:paraId="00750617" w14:textId="4B16B47D" w:rsidR="00A46BD4" w:rsidRDefault="00A46BD4" w:rsidP="00A46BD4">
      <w:pPr>
        <w:rPr>
          <w:rFonts w:ascii="Arial" w:hAnsi="Arial" w:cs="Arial"/>
          <w:sz w:val="22"/>
          <w:szCs w:val="22"/>
        </w:rPr>
      </w:pPr>
      <w:r>
        <w:rPr>
          <w:rFonts w:ascii="Arial" w:hAnsi="Arial"/>
          <w:sz w:val="22"/>
        </w:rPr>
        <w:t>However, in the opinion of the knowledge group, this zero rating is only applicable to facilities that the employer “considers necessary in the interests of the work process or business process or has to provide due to statutory obligations”. It must also be a question of facilities that would not generally be regarded as part of a person’s salary, even though there may be some private benefit. According to the knowledge group, this does not cover parking for a long period of time for purposes other than work, which means the zero rating does not apply.</w:t>
      </w:r>
    </w:p>
    <w:p w14:paraId="3E2D1F3F" w14:textId="77777777" w:rsidR="00A46BD4" w:rsidRPr="00A46BD4" w:rsidRDefault="00A46BD4" w:rsidP="00A46BD4">
      <w:pPr>
        <w:rPr>
          <w:rFonts w:ascii="Arial" w:hAnsi="Arial" w:cs="Arial"/>
          <w:sz w:val="22"/>
          <w:szCs w:val="22"/>
        </w:rPr>
      </w:pPr>
    </w:p>
    <w:p w14:paraId="2477594E" w14:textId="77777777" w:rsidR="00A46BD4" w:rsidRDefault="00A46BD4" w:rsidP="00A46BD4">
      <w:pPr>
        <w:rPr>
          <w:rFonts w:ascii="Arial" w:hAnsi="Arial" w:cs="Arial"/>
          <w:sz w:val="22"/>
          <w:szCs w:val="22"/>
        </w:rPr>
      </w:pPr>
      <w:r>
        <w:rPr>
          <w:rFonts w:ascii="Arial" w:hAnsi="Arial"/>
          <w:b/>
          <w:sz w:val="22"/>
        </w:rPr>
        <w:t>Broader interpretation in 2025 Payroll Taxes Handbook</w:t>
      </w:r>
      <w:r>
        <w:rPr>
          <w:rFonts w:ascii="Arial" w:hAnsi="Arial"/>
          <w:b/>
          <w:sz w:val="22"/>
        </w:rPr>
        <w:br/>
      </w:r>
      <w:r>
        <w:rPr>
          <w:rFonts w:ascii="Arial" w:hAnsi="Arial"/>
          <w:sz w:val="22"/>
        </w:rPr>
        <w:t>However, the 2025 Payroll Taxes Handbook (</w:t>
      </w:r>
      <w:r>
        <w:rPr>
          <w:rFonts w:ascii="Arial" w:hAnsi="Arial"/>
          <w:i/>
          <w:iCs/>
          <w:sz w:val="22"/>
        </w:rPr>
        <w:t>Handboek Loonheffingen 2025</w:t>
      </w:r>
      <w:r>
        <w:rPr>
          <w:rFonts w:ascii="Arial" w:hAnsi="Arial"/>
          <w:sz w:val="22"/>
        </w:rPr>
        <w:t>) employs a broader interpretation and states that the parking is untaxed if the employee could successfully hold the employer liable (for damage to the vehicle while it is at the facility). The Tax and Customs Administration takes the view that, on the basis of this interpretation, employers are entitled to rely on parking being untaxed in the circumstances outlined above. The handbook will, however, be adapted on this point.</w:t>
      </w:r>
    </w:p>
    <w:p w14:paraId="5E185FE3" w14:textId="77777777" w:rsidR="00A46BD4" w:rsidRPr="00A46BD4" w:rsidRDefault="00A46BD4" w:rsidP="00A46BD4">
      <w:pPr>
        <w:rPr>
          <w:rFonts w:ascii="Arial" w:hAnsi="Arial" w:cs="Arial"/>
          <w:sz w:val="22"/>
          <w:szCs w:val="22"/>
        </w:rPr>
      </w:pPr>
    </w:p>
    <w:p w14:paraId="11A9BA9D" w14:textId="77777777" w:rsidR="00A46BD4" w:rsidRDefault="00A46BD4" w:rsidP="00A46BD4">
      <w:pPr>
        <w:rPr>
          <w:rFonts w:ascii="Arial" w:hAnsi="Arial" w:cs="Arial"/>
          <w:sz w:val="22"/>
          <w:szCs w:val="22"/>
        </w:rPr>
      </w:pPr>
      <w:r>
        <w:rPr>
          <w:rFonts w:ascii="Arial" w:hAnsi="Arial"/>
          <w:b/>
          <w:sz w:val="22"/>
        </w:rPr>
        <w:t>Transitional arrangements</w:t>
      </w:r>
      <w:r>
        <w:rPr>
          <w:rFonts w:ascii="Arial" w:hAnsi="Arial"/>
          <w:b/>
          <w:sz w:val="22"/>
        </w:rPr>
        <w:br/>
      </w:r>
      <w:r>
        <w:rPr>
          <w:rFonts w:ascii="Arial" w:hAnsi="Arial"/>
          <w:sz w:val="22"/>
        </w:rPr>
        <w:t>Due to the lack of clarity, the Tax and Customs Administration is applying a transition period for employers who made a parking facility close to the workplace available to their employees, on the basis of the text in the 2025 Payroll Taxes Handbook, before the Tax and Customs Administration adopted its current position, i.e. before 9 October 2025. Until the 2026 Payroll Taxes Handbook is published, parking a private vehicle during a holiday will remain untaxed in such cases.</w:t>
      </w:r>
    </w:p>
    <w:p w14:paraId="56CED0F1" w14:textId="77777777" w:rsidR="00A46BD4" w:rsidRPr="00A46BD4" w:rsidRDefault="00A46BD4" w:rsidP="00A46BD4">
      <w:pPr>
        <w:rPr>
          <w:rFonts w:ascii="Arial" w:hAnsi="Arial" w:cs="Arial"/>
          <w:sz w:val="22"/>
          <w:szCs w:val="22"/>
        </w:rPr>
      </w:pPr>
    </w:p>
    <w:p w14:paraId="3768DDA2" w14:textId="77777777" w:rsidR="00A46BD4" w:rsidRPr="00A46BD4" w:rsidRDefault="00A46BD4" w:rsidP="00A46BD4">
      <w:pPr>
        <w:shd w:val="clear" w:color="auto" w:fill="D9D9D9" w:themeFill="background1" w:themeFillShade="D9"/>
        <w:rPr>
          <w:rFonts w:ascii="Arial" w:hAnsi="Arial" w:cs="Arial"/>
          <w:sz w:val="22"/>
          <w:szCs w:val="22"/>
        </w:rPr>
      </w:pPr>
      <w:r>
        <w:rPr>
          <w:rFonts w:ascii="Arial" w:hAnsi="Arial"/>
          <w:b/>
          <w:sz w:val="22"/>
        </w:rPr>
        <w:t>Tip:</w:t>
      </w:r>
      <w:r>
        <w:rPr>
          <w:rFonts w:ascii="Arial" w:hAnsi="Arial"/>
          <w:b/>
          <w:sz w:val="22"/>
        </w:rPr>
        <w:br/>
      </w:r>
      <w:r>
        <w:rPr>
          <w:rFonts w:ascii="Arial" w:hAnsi="Arial"/>
          <w:sz w:val="22"/>
        </w:rPr>
        <w:t>Make sure that you anticipate the introduction of this change if such circumstances apply to you. From the moment the 2026 Payroll Taxes Handbook is published your employee will have to pay tax on the benefit. You can, of course, also gross up this benefit or allocate it to the work-related expenses scheme, if it satisfies the standard-practice criterion.</w:t>
      </w:r>
    </w:p>
    <w:p w14:paraId="7A5B4304" w14:textId="77777777" w:rsidR="00A46BD4" w:rsidRPr="00A46BD4" w:rsidRDefault="00A46BD4" w:rsidP="00A46BD4">
      <w:pPr>
        <w:rPr>
          <w:rFonts w:ascii="Arial" w:hAnsi="Arial" w:cs="Arial"/>
          <w:sz w:val="22"/>
          <w:szCs w:val="22"/>
        </w:rPr>
      </w:pPr>
    </w:p>
    <w:p w14:paraId="41D7E4C7" w14:textId="6BC6CDA1" w:rsidR="00491E53" w:rsidRDefault="00F753C2" w:rsidP="00957F2F">
      <w:pPr>
        <w:pStyle w:val="Kop2"/>
        <w:ind w:hanging="283"/>
      </w:pPr>
      <w:r>
        <w:t>From 2027: no WPM reporting</w:t>
      </w:r>
      <w:bookmarkEnd w:id="40"/>
      <w:r>
        <w:t xml:space="preserve"> for companies with up to 250 employees</w:t>
      </w:r>
    </w:p>
    <w:p w14:paraId="2C1C276A" w14:textId="7B0DBDD7" w:rsidR="00491E53" w:rsidRDefault="00491E53" w:rsidP="00491E53">
      <w:pPr>
        <w:rPr>
          <w:rFonts w:ascii="Arial" w:hAnsi="Arial" w:cs="Arial"/>
          <w:sz w:val="22"/>
          <w:szCs w:val="22"/>
        </w:rPr>
      </w:pPr>
    </w:p>
    <w:p w14:paraId="6081F5DF" w14:textId="77777777" w:rsidR="00491E53" w:rsidRPr="00491E53" w:rsidRDefault="00491E53" w:rsidP="00491E53">
      <w:pPr>
        <w:rPr>
          <w:rFonts w:ascii="Arial" w:hAnsi="Arial" w:cs="Arial"/>
          <w:sz w:val="22"/>
          <w:szCs w:val="22"/>
        </w:rPr>
      </w:pPr>
      <w:r>
        <w:rPr>
          <w:rFonts w:ascii="Arial" w:hAnsi="Arial"/>
          <w:sz w:val="22"/>
        </w:rPr>
        <w:t>It is likely that, from 2027, companies with up to 250 employees will be exempt from the obligation to report on the business travel and commuting journeys of their employees.</w:t>
      </w:r>
    </w:p>
    <w:p w14:paraId="74C246F9" w14:textId="77777777" w:rsidR="00491E53" w:rsidRPr="00491E53" w:rsidRDefault="00491E53" w:rsidP="00491E53">
      <w:pPr>
        <w:rPr>
          <w:rFonts w:ascii="Arial" w:hAnsi="Arial" w:cs="Arial"/>
          <w:sz w:val="22"/>
          <w:szCs w:val="22"/>
        </w:rPr>
      </w:pPr>
    </w:p>
    <w:p w14:paraId="5C29ABED" w14:textId="77777777" w:rsidR="00491E53" w:rsidRPr="00ED253A" w:rsidRDefault="00491E53" w:rsidP="00491E53">
      <w:pPr>
        <w:rPr>
          <w:rFonts w:ascii="Arial" w:hAnsi="Arial" w:cs="Arial"/>
          <w:b/>
          <w:bCs/>
          <w:sz w:val="22"/>
          <w:szCs w:val="22"/>
        </w:rPr>
      </w:pPr>
      <w:r>
        <w:rPr>
          <w:rFonts w:ascii="Arial" w:hAnsi="Arial"/>
          <w:b/>
          <w:sz w:val="22"/>
        </w:rPr>
        <w:t>Work-related personal mobility (WPM) reporting obligation</w:t>
      </w:r>
    </w:p>
    <w:p w14:paraId="45B58B79" w14:textId="2E498519" w:rsidR="00491E53" w:rsidRPr="00491E53" w:rsidRDefault="00491E53" w:rsidP="00491E53">
      <w:pPr>
        <w:rPr>
          <w:rFonts w:ascii="Arial" w:hAnsi="Arial" w:cs="Arial"/>
          <w:sz w:val="22"/>
          <w:szCs w:val="22"/>
        </w:rPr>
      </w:pPr>
      <w:r>
        <w:rPr>
          <w:rFonts w:ascii="Arial" w:hAnsi="Arial"/>
          <w:sz w:val="22"/>
        </w:rPr>
        <w:t>Since 1 July 2024 employers with 100 or more staff have been required to report on the business travel and commuting journeys of their employees. This obligation forms part of the Ministry of Infrastructure and Water Management’s Environment and Planning Act and is known as the ‘Work-related personal mobility (WPM) reporting obligation’.</w:t>
      </w:r>
    </w:p>
    <w:p w14:paraId="60B47BC5" w14:textId="77777777" w:rsidR="00491E53" w:rsidRPr="00491E53" w:rsidRDefault="00491E53" w:rsidP="00491E53">
      <w:pPr>
        <w:rPr>
          <w:rFonts w:ascii="Arial" w:hAnsi="Arial" w:cs="Arial"/>
          <w:sz w:val="22"/>
          <w:szCs w:val="22"/>
        </w:rPr>
      </w:pPr>
    </w:p>
    <w:p w14:paraId="06FD141B" w14:textId="77777777" w:rsidR="00491E53" w:rsidRPr="00ED253A" w:rsidRDefault="00491E53" w:rsidP="00491E53">
      <w:pPr>
        <w:rPr>
          <w:rFonts w:ascii="Arial" w:hAnsi="Arial" w:cs="Arial"/>
          <w:b/>
          <w:bCs/>
          <w:sz w:val="22"/>
          <w:szCs w:val="22"/>
        </w:rPr>
      </w:pPr>
      <w:r>
        <w:rPr>
          <w:rFonts w:ascii="Arial" w:hAnsi="Arial"/>
          <w:b/>
          <w:sz w:val="22"/>
        </w:rPr>
        <w:t>What information?</w:t>
      </w:r>
    </w:p>
    <w:p w14:paraId="35F8F3A0" w14:textId="3D08BE91" w:rsidR="00491E53" w:rsidRPr="00491E53" w:rsidRDefault="00491E53" w:rsidP="00491E53">
      <w:pPr>
        <w:rPr>
          <w:rFonts w:ascii="Arial" w:hAnsi="Arial" w:cs="Arial"/>
          <w:sz w:val="22"/>
          <w:szCs w:val="22"/>
        </w:rPr>
      </w:pPr>
      <w:r>
        <w:rPr>
          <w:rFonts w:ascii="Arial" w:hAnsi="Arial"/>
          <w:sz w:val="22"/>
        </w:rPr>
        <w:t>Companies that fall under this reporting obligation have to collect a whole host of data. This includes, for example, the total number of kilometres that their employees have travelled for business and commuting purposes and the annual total of kilometres travelled, broken down by mode of transport and fuel type.</w:t>
      </w:r>
    </w:p>
    <w:p w14:paraId="2AA71439" w14:textId="77777777" w:rsidR="00491E53" w:rsidRPr="00491E53" w:rsidRDefault="00491E53" w:rsidP="00491E53">
      <w:pPr>
        <w:rPr>
          <w:rFonts w:ascii="Arial" w:hAnsi="Arial" w:cs="Arial"/>
          <w:sz w:val="22"/>
          <w:szCs w:val="22"/>
        </w:rPr>
      </w:pPr>
    </w:p>
    <w:p w14:paraId="3ED7B2EE" w14:textId="77777777" w:rsidR="00ED253A" w:rsidRPr="00ED253A" w:rsidRDefault="00491E53" w:rsidP="00ED253A">
      <w:pPr>
        <w:shd w:val="clear" w:color="auto" w:fill="D9D9D9" w:themeFill="background1" w:themeFillShade="D9"/>
        <w:rPr>
          <w:rFonts w:ascii="Arial" w:hAnsi="Arial" w:cs="Arial"/>
          <w:b/>
          <w:bCs/>
          <w:sz w:val="22"/>
          <w:szCs w:val="22"/>
        </w:rPr>
      </w:pPr>
      <w:r>
        <w:rPr>
          <w:rFonts w:ascii="Arial" w:hAnsi="Arial"/>
          <w:b/>
          <w:sz w:val="22"/>
        </w:rPr>
        <w:t>Please note:</w:t>
      </w:r>
    </w:p>
    <w:p w14:paraId="5E78D9A5" w14:textId="35D1708D" w:rsidR="00491E53" w:rsidRPr="00491E53" w:rsidRDefault="00491E53" w:rsidP="00ED253A">
      <w:pPr>
        <w:shd w:val="clear" w:color="auto" w:fill="D9D9D9" w:themeFill="background1" w:themeFillShade="D9"/>
        <w:rPr>
          <w:rFonts w:ascii="Arial" w:hAnsi="Arial" w:cs="Arial"/>
          <w:sz w:val="22"/>
          <w:szCs w:val="22"/>
        </w:rPr>
      </w:pPr>
      <w:r>
        <w:rPr>
          <w:rFonts w:ascii="Arial" w:hAnsi="Arial"/>
          <w:sz w:val="22"/>
        </w:rPr>
        <w:t>The data for 2025 must be submitted by 30 June 2026 at the latest.</w:t>
      </w:r>
    </w:p>
    <w:p w14:paraId="5D42882D" w14:textId="77777777" w:rsidR="00491E53" w:rsidRPr="00491E53" w:rsidRDefault="00491E53" w:rsidP="00491E53">
      <w:pPr>
        <w:rPr>
          <w:rFonts w:ascii="Arial" w:hAnsi="Arial" w:cs="Arial"/>
          <w:sz w:val="22"/>
          <w:szCs w:val="22"/>
        </w:rPr>
      </w:pPr>
    </w:p>
    <w:p w14:paraId="5C6EFC24" w14:textId="77777777" w:rsidR="00491E53" w:rsidRPr="00ED253A" w:rsidRDefault="00491E53" w:rsidP="00491E53">
      <w:pPr>
        <w:rPr>
          <w:rFonts w:ascii="Arial" w:hAnsi="Arial" w:cs="Arial"/>
          <w:b/>
          <w:bCs/>
          <w:sz w:val="22"/>
          <w:szCs w:val="22"/>
        </w:rPr>
      </w:pPr>
      <w:r>
        <w:rPr>
          <w:rFonts w:ascii="Arial" w:hAnsi="Arial"/>
          <w:b/>
          <w:sz w:val="22"/>
        </w:rPr>
        <w:t>Exception for employers with up to 250 employees</w:t>
      </w:r>
    </w:p>
    <w:p w14:paraId="28CBCA18" w14:textId="5385E8A1" w:rsidR="00491E53" w:rsidRPr="00491E53" w:rsidRDefault="00491E53" w:rsidP="00491E53">
      <w:pPr>
        <w:rPr>
          <w:rFonts w:ascii="Arial" w:hAnsi="Arial" w:cs="Arial"/>
          <w:sz w:val="22"/>
          <w:szCs w:val="22"/>
        </w:rPr>
      </w:pPr>
      <w:r>
        <w:rPr>
          <w:rFonts w:ascii="Arial" w:hAnsi="Arial"/>
          <w:sz w:val="22"/>
        </w:rPr>
        <w:t>The administrative systems of many SMEs are not set up to cope with this reporting obligation. On 15 April 2025 the Dutch Lower House therefore passed a motion to abolish WPM reporting for companies with up to 250 employees. A letter to Parliament of 20 November 2025 also announced the intention to exempt companies with up to 250 staff from the obligation.</w:t>
      </w:r>
    </w:p>
    <w:p w14:paraId="2D14CC78" w14:textId="77777777" w:rsidR="00491E53" w:rsidRPr="00491E53" w:rsidRDefault="00491E53" w:rsidP="00491E53">
      <w:pPr>
        <w:rPr>
          <w:rFonts w:ascii="Arial" w:hAnsi="Arial" w:cs="Arial"/>
          <w:sz w:val="22"/>
          <w:szCs w:val="22"/>
        </w:rPr>
      </w:pPr>
    </w:p>
    <w:p w14:paraId="11F4D197" w14:textId="77777777" w:rsidR="00491E53" w:rsidRPr="00491E53" w:rsidRDefault="00491E53" w:rsidP="00491E53">
      <w:pPr>
        <w:rPr>
          <w:rFonts w:ascii="Arial" w:hAnsi="Arial" w:cs="Arial"/>
          <w:sz w:val="22"/>
          <w:szCs w:val="22"/>
        </w:rPr>
      </w:pPr>
      <w:r>
        <w:rPr>
          <w:rFonts w:ascii="Arial" w:hAnsi="Arial"/>
          <w:sz w:val="22"/>
        </w:rPr>
        <w:t>Legislation is being prepared to this effect. The aim is for the exemption to be introduced from 1 January 2027. If this legislation is adopted in time, from that date the reporting obligation will only apply to companies with 250 employees or more.</w:t>
      </w:r>
    </w:p>
    <w:p w14:paraId="781957F5" w14:textId="77777777" w:rsidR="00491E53" w:rsidRPr="00491E53" w:rsidRDefault="00491E53" w:rsidP="00491E53">
      <w:pPr>
        <w:rPr>
          <w:rFonts w:ascii="Arial" w:hAnsi="Arial" w:cs="Arial"/>
          <w:sz w:val="22"/>
          <w:szCs w:val="22"/>
        </w:rPr>
      </w:pPr>
    </w:p>
    <w:p w14:paraId="7F50447E" w14:textId="77777777" w:rsidR="00491E53" w:rsidRPr="00ED253A" w:rsidRDefault="00491E53" w:rsidP="00491E53">
      <w:pPr>
        <w:rPr>
          <w:rFonts w:ascii="Arial" w:hAnsi="Arial" w:cs="Arial"/>
          <w:b/>
          <w:bCs/>
          <w:sz w:val="22"/>
          <w:szCs w:val="22"/>
        </w:rPr>
      </w:pPr>
      <w:r>
        <w:rPr>
          <w:rFonts w:ascii="Arial" w:hAnsi="Arial"/>
          <w:b/>
          <w:sz w:val="22"/>
        </w:rPr>
        <w:t>Restrained enforcement up to 2027?</w:t>
      </w:r>
    </w:p>
    <w:p w14:paraId="45608498" w14:textId="77777777" w:rsidR="00491E53" w:rsidRPr="00491E53" w:rsidRDefault="00491E53" w:rsidP="00491E53">
      <w:pPr>
        <w:rPr>
          <w:rFonts w:ascii="Arial" w:hAnsi="Arial" w:cs="Arial"/>
          <w:sz w:val="22"/>
          <w:szCs w:val="22"/>
        </w:rPr>
      </w:pPr>
      <w:r>
        <w:rPr>
          <w:rFonts w:ascii="Arial" w:hAnsi="Arial"/>
          <w:sz w:val="22"/>
        </w:rPr>
        <w:t xml:space="preserve">The plan does not mean that WPM reporting has already been abolished for companies with up to 250 employees. Companies with 100 or more staff are therefore still required to fulfil the reporting obligations. The State Secretary is, however, consulting with the Association of Netherlands Municipalities (VNG) on the question of enforcement up to 1 January 2027. He </w:t>
      </w:r>
      <w:r>
        <w:rPr>
          <w:rFonts w:ascii="Arial" w:hAnsi="Arial"/>
          <w:sz w:val="22"/>
        </w:rPr>
        <w:lastRenderedPageBreak/>
        <w:t>is keen for municipalities and environmental agencies to exercise their enforcement powers with restraint over the period leading up to that date.</w:t>
      </w:r>
    </w:p>
    <w:p w14:paraId="22CB8793" w14:textId="77777777" w:rsidR="00491E53" w:rsidRPr="00491E53" w:rsidRDefault="00491E53" w:rsidP="00491E53">
      <w:pPr>
        <w:rPr>
          <w:rFonts w:ascii="Arial" w:hAnsi="Arial" w:cs="Arial"/>
          <w:sz w:val="22"/>
          <w:szCs w:val="22"/>
        </w:rPr>
      </w:pPr>
    </w:p>
    <w:p w14:paraId="2684F85B" w14:textId="77777777" w:rsidR="00ED253A" w:rsidRPr="00ED253A" w:rsidRDefault="00491E53" w:rsidP="00ED253A">
      <w:pPr>
        <w:shd w:val="clear" w:color="auto" w:fill="D9D9D9" w:themeFill="background1" w:themeFillShade="D9"/>
        <w:rPr>
          <w:rFonts w:ascii="Arial" w:hAnsi="Arial" w:cs="Arial"/>
          <w:b/>
          <w:bCs/>
          <w:sz w:val="22"/>
          <w:szCs w:val="22"/>
        </w:rPr>
      </w:pPr>
      <w:r>
        <w:rPr>
          <w:rFonts w:ascii="Arial" w:hAnsi="Arial"/>
          <w:b/>
          <w:sz w:val="22"/>
        </w:rPr>
        <w:t>Tip:</w:t>
      </w:r>
    </w:p>
    <w:p w14:paraId="7815A732" w14:textId="6379A012" w:rsidR="008F0F78" w:rsidRPr="002F71B0" w:rsidRDefault="00491E53" w:rsidP="00ED253A">
      <w:pPr>
        <w:shd w:val="clear" w:color="auto" w:fill="D9D9D9" w:themeFill="background1" w:themeFillShade="D9"/>
        <w:rPr>
          <w:rFonts w:ascii="Arial" w:hAnsi="Arial" w:cs="Arial"/>
          <w:sz w:val="22"/>
          <w:szCs w:val="22"/>
        </w:rPr>
      </w:pPr>
      <w:r>
        <w:rPr>
          <w:rFonts w:ascii="Arial" w:hAnsi="Arial"/>
          <w:sz w:val="22"/>
        </w:rPr>
        <w:t xml:space="preserve">For more information about the reporting obligation please visit </w:t>
      </w:r>
      <w:hyperlink r:id="rId20" w:history="1">
        <w:r>
          <w:rPr>
            <w:rStyle w:val="Hyperlink"/>
            <w:rFonts w:ascii="Arial" w:hAnsi="Arial"/>
            <w:sz w:val="22"/>
          </w:rPr>
          <w:t>RVO.nl</w:t>
        </w:r>
      </w:hyperlink>
      <w:r>
        <w:rPr>
          <w:rFonts w:ascii="Arial" w:hAnsi="Arial"/>
          <w:sz w:val="22"/>
        </w:rPr>
        <w:t>.</w:t>
      </w:r>
      <w:bookmarkEnd w:id="41"/>
      <w:r>
        <w:br w:type="page"/>
      </w:r>
    </w:p>
    <w:p w14:paraId="71BC30DB" w14:textId="77777777" w:rsidR="003854EA" w:rsidRPr="00754442" w:rsidRDefault="003854EA" w:rsidP="006009D4">
      <w:pPr>
        <w:pStyle w:val="Kop1"/>
      </w:pPr>
      <w:bookmarkStart w:id="42" w:name="_Toc106639610"/>
      <w:bookmarkStart w:id="43" w:name="_Toc152927300"/>
      <w:bookmarkStart w:id="44" w:name="_Toc155866625"/>
      <w:r>
        <w:lastRenderedPageBreak/>
        <w:t>Work-related expenses scheme</w:t>
      </w:r>
      <w:bookmarkEnd w:id="42"/>
      <w:bookmarkEnd w:id="43"/>
      <w:bookmarkEnd w:id="44"/>
    </w:p>
    <w:p w14:paraId="5BAB3FF6" w14:textId="77777777" w:rsidR="003854EA" w:rsidRPr="00754442" w:rsidRDefault="003854EA" w:rsidP="003854EA">
      <w:pPr>
        <w:pStyle w:val="Geenafstand"/>
        <w:rPr>
          <w:rFonts w:ascii="Arial" w:hAnsi="Arial" w:cs="Arial"/>
          <w:sz w:val="20"/>
          <w:szCs w:val="20"/>
        </w:rPr>
      </w:pPr>
    </w:p>
    <w:p w14:paraId="24B2933F" w14:textId="7AFF8167" w:rsidR="003854EA" w:rsidRPr="00754442" w:rsidRDefault="003854EA" w:rsidP="003854EA">
      <w:pPr>
        <w:rPr>
          <w:rFonts w:ascii="Arial" w:hAnsi="Arial" w:cs="Arial"/>
          <w:color w:val="000000"/>
          <w:sz w:val="22"/>
          <w:szCs w:val="22"/>
        </w:rPr>
      </w:pPr>
      <w:r>
        <w:rPr>
          <w:rFonts w:ascii="Arial" w:hAnsi="Arial"/>
          <w:color w:val="000000"/>
          <w:sz w:val="22"/>
        </w:rPr>
        <w:t xml:space="preserve">The work-related expenses scheme allows employers to grant their employees all kinds of allowances and benefits in kind free of tax. If the employer remains within the ‘fixed budget’ in a particular year, the employer also pays no tax. If this fixed budget is exceeded, the employer has to pay 80% tax via the final levy. The standard-practice test </w:t>
      </w:r>
      <w:proofErr w:type="gramStart"/>
      <w:r>
        <w:rPr>
          <w:rFonts w:ascii="Arial" w:hAnsi="Arial"/>
          <w:color w:val="000000"/>
          <w:sz w:val="22"/>
        </w:rPr>
        <w:t>has to</w:t>
      </w:r>
      <w:proofErr w:type="gramEnd"/>
      <w:r>
        <w:rPr>
          <w:rFonts w:ascii="Arial" w:hAnsi="Arial"/>
          <w:color w:val="000000"/>
          <w:sz w:val="22"/>
        </w:rPr>
        <w:t xml:space="preserve"> be </w:t>
      </w:r>
      <w:proofErr w:type="gramStart"/>
      <w:r>
        <w:rPr>
          <w:rFonts w:ascii="Arial" w:hAnsi="Arial"/>
          <w:color w:val="000000"/>
          <w:sz w:val="22"/>
        </w:rPr>
        <w:t>taken into account</w:t>
      </w:r>
      <w:proofErr w:type="gramEnd"/>
      <w:r>
        <w:rPr>
          <w:rFonts w:ascii="Arial" w:hAnsi="Arial"/>
          <w:color w:val="000000"/>
          <w:sz w:val="22"/>
        </w:rPr>
        <w:t>.</w:t>
      </w:r>
    </w:p>
    <w:p w14:paraId="690FF3CE" w14:textId="77777777" w:rsidR="001B7724" w:rsidRDefault="001B7724" w:rsidP="003854EA">
      <w:pPr>
        <w:rPr>
          <w:rFonts w:ascii="Arial" w:hAnsi="Arial" w:cs="Arial"/>
          <w:color w:val="000000"/>
          <w:sz w:val="22"/>
          <w:szCs w:val="22"/>
        </w:rPr>
      </w:pPr>
    </w:p>
    <w:p w14:paraId="797049C9" w14:textId="77777777" w:rsidR="00B15B01" w:rsidRPr="00754442" w:rsidRDefault="00B15B01" w:rsidP="003854EA">
      <w:pPr>
        <w:rPr>
          <w:rFonts w:ascii="Arial" w:hAnsi="Arial" w:cs="Arial"/>
          <w:color w:val="000000"/>
          <w:sz w:val="22"/>
          <w:szCs w:val="22"/>
        </w:rPr>
      </w:pPr>
    </w:p>
    <w:p w14:paraId="5DD967DB" w14:textId="7FD2F2D4" w:rsidR="00C9418C" w:rsidRPr="00C9418C" w:rsidRDefault="00A46BD4" w:rsidP="00957F2F">
      <w:pPr>
        <w:pStyle w:val="Kop2"/>
        <w:ind w:hanging="283"/>
        <w:rPr>
          <w:sz w:val="22"/>
        </w:rPr>
      </w:pPr>
      <w:bookmarkStart w:id="45" w:name="_Toc155866626"/>
      <w:bookmarkStart w:id="46" w:name="_Toc152927301"/>
      <w:r>
        <w:t>No change to fixed budget under work-related expenses scheme in 202</w:t>
      </w:r>
      <w:bookmarkEnd w:id="45"/>
      <w:r>
        <w:t>6</w:t>
      </w:r>
    </w:p>
    <w:p w14:paraId="638C9F52" w14:textId="77777777" w:rsidR="00B70F69" w:rsidRDefault="00B70F69" w:rsidP="00C72605">
      <w:pPr>
        <w:rPr>
          <w:rFonts w:ascii="Arial" w:hAnsi="Arial" w:cs="Arial"/>
          <w:color w:val="000000"/>
          <w:sz w:val="22"/>
          <w:szCs w:val="22"/>
        </w:rPr>
      </w:pPr>
    </w:p>
    <w:p w14:paraId="1E7F57BF" w14:textId="00CFD641" w:rsidR="0004571D" w:rsidRPr="00C72605" w:rsidRDefault="008D7B72" w:rsidP="00C72605">
      <w:pPr>
        <w:rPr>
          <w:rFonts w:ascii="Arial" w:hAnsi="Arial" w:cs="Arial"/>
          <w:color w:val="000000"/>
          <w:sz w:val="22"/>
          <w:szCs w:val="22"/>
        </w:rPr>
      </w:pPr>
      <w:r>
        <w:rPr>
          <w:rFonts w:ascii="Arial" w:hAnsi="Arial"/>
          <w:color w:val="000000"/>
          <w:sz w:val="22"/>
        </w:rPr>
        <w:t>Under the work-related expenses scheme you, as an employer, can grant your employees various allowances and benefits in kind free of tax. One well-known example is the Christmas hamper. If the allowances granted remain within the fixed budget, the employer also does not have to pay any tax on them. In 2026 the fixed budget under the work-related expenses scheme will be the same as in 2025, amounting to 2% of the wage bill, up to an amount of € 400,000. If the wage bill is above this level, the fixed budget on the excess amount will be 1.18%</w:t>
      </w:r>
      <w:bookmarkEnd w:id="46"/>
      <w:r>
        <w:t>.</w:t>
      </w:r>
    </w:p>
    <w:p w14:paraId="17E878C7" w14:textId="77777777" w:rsidR="0004571D" w:rsidRPr="00C11A41" w:rsidRDefault="0004571D" w:rsidP="008C67CF">
      <w:pPr>
        <w:rPr>
          <w:rFonts w:ascii="Arial" w:hAnsi="Arial" w:cs="Arial"/>
          <w:sz w:val="22"/>
          <w:szCs w:val="22"/>
        </w:rPr>
      </w:pPr>
    </w:p>
    <w:p w14:paraId="49EC844C" w14:textId="136817DD" w:rsidR="008C67CF" w:rsidRDefault="008C67CF" w:rsidP="008C67CF">
      <w:pPr>
        <w:rPr>
          <w:rFonts w:ascii="Arial" w:hAnsi="Arial" w:cs="Arial"/>
          <w:sz w:val="22"/>
          <w:szCs w:val="22"/>
        </w:rPr>
      </w:pPr>
      <w:r>
        <w:rPr>
          <w:rFonts w:ascii="Arial" w:hAnsi="Arial"/>
          <w:sz w:val="22"/>
        </w:rPr>
        <w:t>In 2026 the maximum fixed budget will therefore be 2% x € 400,000 = € 8,000, plus 1.18% on the excess amount of the wage bill. From 1 January 2027 the maximum fixed budget will be 2.16% of the wage bill, up to an amount of € 400,000, and 1.18% on the excess amount.</w:t>
      </w:r>
    </w:p>
    <w:p w14:paraId="73FEC134" w14:textId="77777777" w:rsidR="00F753C2" w:rsidRPr="00C11A41" w:rsidRDefault="00F753C2" w:rsidP="008C67CF">
      <w:pPr>
        <w:rPr>
          <w:rFonts w:ascii="Arial" w:hAnsi="Arial" w:cs="Arial"/>
          <w:sz w:val="22"/>
          <w:szCs w:val="22"/>
        </w:rPr>
      </w:pPr>
    </w:p>
    <w:p w14:paraId="0060939E" w14:textId="77777777" w:rsidR="00F753C2" w:rsidRDefault="00325843" w:rsidP="00047C52">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b/>
          <w:bCs/>
          <w:color w:val="000000"/>
          <w:sz w:val="22"/>
          <w:szCs w:val="22"/>
        </w:rPr>
      </w:pPr>
      <w:r>
        <w:rPr>
          <w:rFonts w:ascii="Arial" w:hAnsi="Arial"/>
          <w:b/>
          <w:sz w:val="22"/>
        </w:rPr>
        <w:t>Please note:</w:t>
      </w:r>
    </w:p>
    <w:p w14:paraId="0FC75374" w14:textId="140BB7B1" w:rsidR="00F934D2" w:rsidRPr="00754442" w:rsidRDefault="00AD5A31" w:rsidP="00047C52">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r>
        <w:rPr>
          <w:rFonts w:ascii="Arial" w:hAnsi="Arial"/>
          <w:sz w:val="22"/>
        </w:rPr>
        <w:t>If you apply the group scheme, the fixed budget for 2026 is set at 2% on the first € 400,000 of the group’s total wage bill and at 1.18% on the excess amount. The fixed budget of each part of the group cannot be taken as a basis. The group scheme is therefore only advantageous if not every company within the group is using the whole of its fixed budget. After all, the unused portion can then be used by another group company.</w:t>
      </w:r>
    </w:p>
    <w:p w14:paraId="56A168DE" w14:textId="6CD94049" w:rsidR="00325843" w:rsidRDefault="00325843" w:rsidP="001B7724">
      <w:pPr>
        <w:rPr>
          <w:rFonts w:ascii="Arial" w:hAnsi="Arial" w:cs="Arial"/>
          <w:color w:val="000000"/>
          <w:sz w:val="22"/>
          <w:szCs w:val="22"/>
        </w:rPr>
      </w:pPr>
    </w:p>
    <w:p w14:paraId="3A5B91BC" w14:textId="77777777" w:rsidR="00F753C2" w:rsidRDefault="00282451" w:rsidP="00282451">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b/>
          <w:bCs/>
          <w:sz w:val="22"/>
          <w:szCs w:val="22"/>
        </w:rPr>
      </w:pPr>
      <w:r>
        <w:rPr>
          <w:rFonts w:ascii="Arial" w:hAnsi="Arial"/>
          <w:b/>
          <w:sz w:val="22"/>
        </w:rPr>
        <w:t>Tip:</w:t>
      </w:r>
    </w:p>
    <w:p w14:paraId="25A9D147" w14:textId="65F2A665" w:rsidR="00282451" w:rsidRPr="00754442" w:rsidRDefault="00D2040D" w:rsidP="00282451">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r>
        <w:rPr>
          <w:rFonts w:ascii="Arial" w:hAnsi="Arial"/>
          <w:sz w:val="22"/>
        </w:rPr>
        <w:t xml:space="preserve">You can decide annually whether or not to apply the group scheme. Check first whether the group scheme would be beneficial for you. For 2025 you need to </w:t>
      </w:r>
      <w:proofErr w:type="gramStart"/>
      <w:r>
        <w:rPr>
          <w:rFonts w:ascii="Arial" w:hAnsi="Arial"/>
          <w:sz w:val="22"/>
        </w:rPr>
        <w:t>make a decision</w:t>
      </w:r>
      <w:proofErr w:type="gramEnd"/>
      <w:r>
        <w:rPr>
          <w:rFonts w:ascii="Arial" w:hAnsi="Arial"/>
          <w:sz w:val="22"/>
        </w:rPr>
        <w:t xml:space="preserve"> by no later than the second return period of 2026. For 2026 you do not have to do this until the beginning of 2027.</w:t>
      </w:r>
    </w:p>
    <w:p w14:paraId="0E33A1C0" w14:textId="77777777" w:rsidR="003854EA" w:rsidRDefault="003854EA" w:rsidP="003854EA">
      <w:pPr>
        <w:rPr>
          <w:rFonts w:ascii="Arial" w:hAnsi="Arial" w:cs="Arial"/>
          <w:sz w:val="22"/>
          <w:szCs w:val="22"/>
        </w:rPr>
      </w:pPr>
    </w:p>
    <w:p w14:paraId="06C20412" w14:textId="1734BA72" w:rsidR="00466EFC" w:rsidRDefault="00466EFC" w:rsidP="00957F2F">
      <w:pPr>
        <w:pStyle w:val="Kop2"/>
        <w:tabs>
          <w:tab w:val="clear" w:pos="539"/>
          <w:tab w:val="left" w:pos="567"/>
        </w:tabs>
        <w:ind w:hanging="283"/>
        <w:rPr>
          <w:rFonts w:cs="Arial"/>
          <w:bCs/>
          <w:color w:val="000000"/>
          <w:szCs w:val="24"/>
        </w:rPr>
      </w:pPr>
      <w:bookmarkStart w:id="47" w:name="_Toc155866627"/>
      <w:bookmarkStart w:id="48" w:name="_Toc152927303"/>
      <w:r>
        <w:rPr>
          <w:color w:val="000000"/>
        </w:rPr>
        <w:t>Standard-practice test for fixed budget</w:t>
      </w:r>
      <w:r>
        <w:rPr>
          <w:color w:val="000000"/>
        </w:rPr>
        <w:br/>
      </w:r>
    </w:p>
    <w:p w14:paraId="5E6A839C" w14:textId="77777777" w:rsidR="00466EFC" w:rsidRPr="00466EFC" w:rsidRDefault="00466EFC" w:rsidP="00466EFC">
      <w:pPr>
        <w:rPr>
          <w:rFonts w:ascii="Arial" w:hAnsi="Arial" w:cs="Arial"/>
          <w:sz w:val="22"/>
          <w:szCs w:val="22"/>
        </w:rPr>
      </w:pPr>
      <w:r>
        <w:rPr>
          <w:rFonts w:ascii="Arial" w:hAnsi="Arial"/>
          <w:sz w:val="22"/>
        </w:rPr>
        <w:t>In principle, all the allowances and benefits in kind that you provide to your employees can be allocated to the fixed budget. The employee will then pay no payroll tax on them. You will only pay a final levy of 80% if the total amount of the allowances and benefits in kind allocated exceeds your fixed budget.</w:t>
      </w:r>
    </w:p>
    <w:p w14:paraId="3747D3C3" w14:textId="77777777" w:rsidR="00466EFC" w:rsidRPr="00466EFC" w:rsidRDefault="00466EFC" w:rsidP="00466EFC">
      <w:pPr>
        <w:rPr>
          <w:rFonts w:ascii="Arial" w:hAnsi="Arial" w:cs="Arial"/>
          <w:sz w:val="22"/>
          <w:szCs w:val="22"/>
        </w:rPr>
      </w:pPr>
    </w:p>
    <w:p w14:paraId="5993A7D8" w14:textId="77777777" w:rsidR="00466EFC" w:rsidRPr="00F753C2" w:rsidRDefault="00466EFC" w:rsidP="00466EFC">
      <w:pPr>
        <w:rPr>
          <w:rFonts w:ascii="Arial" w:hAnsi="Arial" w:cs="Arial"/>
          <w:b/>
          <w:bCs/>
          <w:sz w:val="22"/>
          <w:szCs w:val="22"/>
        </w:rPr>
      </w:pPr>
      <w:r>
        <w:rPr>
          <w:rFonts w:ascii="Arial" w:hAnsi="Arial"/>
          <w:b/>
          <w:sz w:val="22"/>
        </w:rPr>
        <w:t>Certain benefits not eligible for fixed budget</w:t>
      </w:r>
    </w:p>
    <w:p w14:paraId="109AF8AA" w14:textId="77777777" w:rsidR="00466EFC" w:rsidRDefault="00466EFC" w:rsidP="00466EFC">
      <w:pPr>
        <w:rPr>
          <w:rFonts w:ascii="Arial" w:hAnsi="Arial" w:cs="Arial"/>
          <w:sz w:val="22"/>
          <w:szCs w:val="22"/>
        </w:rPr>
      </w:pPr>
      <w:r>
        <w:rPr>
          <w:rFonts w:ascii="Arial" w:hAnsi="Arial"/>
          <w:sz w:val="22"/>
        </w:rPr>
        <w:t>You cannot allocate everything to the fixed budget. There are certain benefits that your employee has to pay tax on. This applies, for example, to a company car or to the interest benefit (compared to the market rate) resulting from a loan to an employee for the purchase of his/her own home if the interest on the loan is deductible for income tax purposes.</w:t>
      </w:r>
    </w:p>
    <w:p w14:paraId="19F3809E" w14:textId="77777777" w:rsidR="00466EFC" w:rsidRDefault="00466EFC" w:rsidP="00466EFC">
      <w:pPr>
        <w:rPr>
          <w:rFonts w:ascii="Arial" w:hAnsi="Arial" w:cs="Arial"/>
          <w:sz w:val="22"/>
          <w:szCs w:val="22"/>
        </w:rPr>
      </w:pPr>
    </w:p>
    <w:p w14:paraId="6BA8B520" w14:textId="77777777" w:rsidR="007C4EBB" w:rsidRDefault="007C4EBB" w:rsidP="00466EFC">
      <w:pPr>
        <w:rPr>
          <w:rFonts w:ascii="Arial" w:hAnsi="Arial" w:cs="Arial"/>
          <w:sz w:val="22"/>
          <w:szCs w:val="22"/>
        </w:rPr>
      </w:pPr>
    </w:p>
    <w:p w14:paraId="30F41FC5" w14:textId="77777777" w:rsidR="007C4EBB" w:rsidRDefault="007C4EBB" w:rsidP="00466EFC">
      <w:pPr>
        <w:rPr>
          <w:rFonts w:ascii="Arial" w:hAnsi="Arial" w:cs="Arial"/>
          <w:sz w:val="22"/>
          <w:szCs w:val="22"/>
        </w:rPr>
      </w:pPr>
    </w:p>
    <w:p w14:paraId="6741FD04" w14:textId="3E0664EE" w:rsidR="00466EFC" w:rsidRPr="00F753C2" w:rsidRDefault="00466EFC" w:rsidP="00466EFC">
      <w:pPr>
        <w:rPr>
          <w:rFonts w:ascii="Arial" w:hAnsi="Arial" w:cs="Arial"/>
          <w:b/>
          <w:bCs/>
          <w:sz w:val="22"/>
          <w:szCs w:val="22"/>
        </w:rPr>
      </w:pPr>
      <w:r>
        <w:rPr>
          <w:rFonts w:ascii="Arial" w:hAnsi="Arial"/>
          <w:b/>
          <w:sz w:val="22"/>
        </w:rPr>
        <w:t>Zero rating or specific exemption for certain benefits</w:t>
      </w:r>
    </w:p>
    <w:p w14:paraId="63778B18" w14:textId="2CF0D40E" w:rsidR="00466EFC" w:rsidRPr="00466EFC" w:rsidRDefault="00466EFC" w:rsidP="00466EFC">
      <w:pPr>
        <w:rPr>
          <w:rFonts w:ascii="Arial" w:hAnsi="Arial" w:cs="Arial"/>
          <w:sz w:val="22"/>
          <w:szCs w:val="22"/>
        </w:rPr>
      </w:pPr>
      <w:r>
        <w:rPr>
          <w:rFonts w:ascii="Arial" w:hAnsi="Arial"/>
          <w:sz w:val="22"/>
        </w:rPr>
        <w:t>Certain allowances and benefits in kind benefit from a specific exemption or zero rating. They do not lead to any reduction in your fixed budget.</w:t>
      </w:r>
    </w:p>
    <w:p w14:paraId="0C97FF12" w14:textId="77777777" w:rsidR="007C4EBB" w:rsidRDefault="007C4EBB" w:rsidP="00466EFC">
      <w:pPr>
        <w:rPr>
          <w:rFonts w:ascii="Arial" w:hAnsi="Arial"/>
          <w:b/>
          <w:sz w:val="22"/>
        </w:rPr>
      </w:pPr>
    </w:p>
    <w:p w14:paraId="20973BBE" w14:textId="20739140" w:rsidR="00466EFC" w:rsidRPr="00F753C2" w:rsidRDefault="00466EFC" w:rsidP="00466EFC">
      <w:pPr>
        <w:rPr>
          <w:rFonts w:ascii="Arial" w:hAnsi="Arial" w:cs="Arial"/>
          <w:b/>
          <w:bCs/>
          <w:sz w:val="22"/>
          <w:szCs w:val="22"/>
        </w:rPr>
      </w:pPr>
      <w:r>
        <w:rPr>
          <w:rFonts w:ascii="Arial" w:hAnsi="Arial"/>
          <w:b/>
          <w:sz w:val="22"/>
        </w:rPr>
        <w:t>Standard-practice test</w:t>
      </w:r>
    </w:p>
    <w:p w14:paraId="64DBADEE" w14:textId="15755FF5" w:rsidR="00466EFC" w:rsidRPr="00466EFC" w:rsidRDefault="00466EFC" w:rsidP="00466EFC">
      <w:pPr>
        <w:rPr>
          <w:rFonts w:ascii="Arial" w:hAnsi="Arial" w:cs="Arial"/>
          <w:sz w:val="22"/>
          <w:szCs w:val="22"/>
        </w:rPr>
      </w:pPr>
      <w:r>
        <w:rPr>
          <w:rFonts w:ascii="Arial" w:hAnsi="Arial"/>
          <w:sz w:val="22"/>
        </w:rPr>
        <w:t>You are only allowed to allocate benefits to your fixed budget if they satisfy the standard-practice test. The Tax and Customs Administration has clarified this test in the Payroll Taxes Handbook.</w:t>
      </w:r>
    </w:p>
    <w:p w14:paraId="5AAC6F5B" w14:textId="77777777" w:rsidR="00466EFC" w:rsidRPr="00466EFC" w:rsidRDefault="00466EFC" w:rsidP="00466EFC">
      <w:pPr>
        <w:rPr>
          <w:rFonts w:ascii="Arial" w:hAnsi="Arial" w:cs="Arial"/>
          <w:sz w:val="22"/>
          <w:szCs w:val="22"/>
        </w:rPr>
      </w:pPr>
    </w:p>
    <w:p w14:paraId="2438E57B" w14:textId="04213FE5" w:rsidR="00466EFC" w:rsidRPr="00466EFC" w:rsidRDefault="00466EFC" w:rsidP="00466EFC">
      <w:pPr>
        <w:rPr>
          <w:rFonts w:ascii="Arial" w:hAnsi="Arial" w:cs="Arial"/>
          <w:sz w:val="22"/>
          <w:szCs w:val="22"/>
        </w:rPr>
      </w:pPr>
      <w:r>
        <w:rPr>
          <w:rFonts w:ascii="Arial" w:hAnsi="Arial"/>
          <w:sz w:val="22"/>
        </w:rPr>
        <w:t>You satisfy the standard-practice test if the allowances and benefits in kind do not deviate by more than 30% from what is customary in comparable circumstances. The Tax and Customs Administration has clarified a number of points that should always be considered:</w:t>
      </w:r>
    </w:p>
    <w:p w14:paraId="61BDB6F8" w14:textId="77777777" w:rsidR="00466EFC" w:rsidRDefault="00466EFC" w:rsidP="002F233C">
      <w:pPr>
        <w:pStyle w:val="Lijstalinea"/>
        <w:numPr>
          <w:ilvl w:val="0"/>
          <w:numId w:val="31"/>
        </w:numPr>
        <w:rPr>
          <w:rFonts w:ascii="Arial" w:hAnsi="Arial" w:cs="Arial"/>
        </w:rPr>
      </w:pPr>
      <w:r>
        <w:rPr>
          <w:rFonts w:ascii="Arial" w:hAnsi="Arial"/>
        </w:rPr>
        <w:t>the type of allowances and benefits in kind, and their value;</w:t>
      </w:r>
    </w:p>
    <w:p w14:paraId="4621357D" w14:textId="77777777" w:rsidR="00466EFC" w:rsidRDefault="00466EFC" w:rsidP="002F233C">
      <w:pPr>
        <w:pStyle w:val="Lijstalinea"/>
        <w:numPr>
          <w:ilvl w:val="0"/>
          <w:numId w:val="31"/>
        </w:numPr>
        <w:rPr>
          <w:rFonts w:ascii="Arial" w:hAnsi="Arial" w:cs="Arial"/>
        </w:rPr>
      </w:pPr>
      <w:r>
        <w:rPr>
          <w:rFonts w:ascii="Arial" w:hAnsi="Arial"/>
        </w:rPr>
        <w:t>the level of the allowances and benefits in kind;</w:t>
      </w:r>
    </w:p>
    <w:p w14:paraId="030DDDBF" w14:textId="77777777" w:rsidR="00466EFC" w:rsidRDefault="00466EFC" w:rsidP="002F233C">
      <w:pPr>
        <w:pStyle w:val="Lijstalinea"/>
        <w:numPr>
          <w:ilvl w:val="0"/>
          <w:numId w:val="31"/>
        </w:numPr>
        <w:rPr>
          <w:rFonts w:ascii="Arial" w:hAnsi="Arial" w:cs="Arial"/>
        </w:rPr>
      </w:pPr>
      <w:r>
        <w:rPr>
          <w:rFonts w:ascii="Arial" w:hAnsi="Arial"/>
        </w:rPr>
        <w:t>who receives the allowances and benefits in kind;</w:t>
      </w:r>
    </w:p>
    <w:p w14:paraId="460099FD" w14:textId="72172A2C" w:rsidR="00466EFC" w:rsidRPr="00D94178" w:rsidRDefault="00466EFC" w:rsidP="002F233C">
      <w:pPr>
        <w:pStyle w:val="Lijstalinea"/>
        <w:numPr>
          <w:ilvl w:val="0"/>
          <w:numId w:val="31"/>
        </w:numPr>
        <w:rPr>
          <w:rFonts w:ascii="Arial" w:hAnsi="Arial" w:cs="Arial"/>
        </w:rPr>
      </w:pPr>
      <w:r>
        <w:rPr>
          <w:rFonts w:ascii="Arial" w:hAnsi="Arial"/>
        </w:rPr>
        <w:t>whether achieving a beneficial tax rate is a decisive factor in designating an allowance or benefit in kind as salary for final levy purposes.</w:t>
      </w:r>
    </w:p>
    <w:p w14:paraId="41C073A5" w14:textId="77777777" w:rsidR="00466EFC" w:rsidRDefault="00466EFC" w:rsidP="00466EFC">
      <w:pPr>
        <w:rPr>
          <w:rFonts w:ascii="Arial" w:hAnsi="Arial" w:cs="Arial"/>
          <w:sz w:val="22"/>
          <w:szCs w:val="22"/>
        </w:rPr>
      </w:pPr>
    </w:p>
    <w:p w14:paraId="20658DC1" w14:textId="77777777" w:rsidR="00F753C2" w:rsidRPr="00F753C2" w:rsidRDefault="00466EFC" w:rsidP="00F753C2">
      <w:pPr>
        <w:shd w:val="clear" w:color="auto" w:fill="D9D9D9" w:themeFill="background1" w:themeFillShade="D9"/>
        <w:rPr>
          <w:rFonts w:ascii="Arial" w:hAnsi="Arial" w:cs="Arial"/>
          <w:b/>
          <w:bCs/>
          <w:sz w:val="22"/>
          <w:szCs w:val="22"/>
        </w:rPr>
      </w:pPr>
      <w:r>
        <w:rPr>
          <w:rFonts w:ascii="Arial" w:hAnsi="Arial"/>
          <w:b/>
          <w:sz w:val="22"/>
        </w:rPr>
        <w:t>Please note:</w:t>
      </w:r>
    </w:p>
    <w:p w14:paraId="6D49D225" w14:textId="34EE7D88" w:rsidR="00466EFC" w:rsidRDefault="00466EFC" w:rsidP="00F753C2">
      <w:pPr>
        <w:shd w:val="clear" w:color="auto" w:fill="D9D9D9" w:themeFill="background1" w:themeFillShade="D9"/>
        <w:rPr>
          <w:rFonts w:ascii="Arial" w:hAnsi="Arial" w:cs="Arial"/>
          <w:sz w:val="22"/>
          <w:szCs w:val="22"/>
        </w:rPr>
      </w:pPr>
      <w:r>
        <w:rPr>
          <w:rFonts w:ascii="Arial" w:hAnsi="Arial"/>
          <w:sz w:val="22"/>
        </w:rPr>
        <w:t>If you do not satisfy the standard-practice test, the portion of the allowance or benefit in kind that does not deviate by more than 30% from customary practice can still be allocated to the fixed budget. However, the amount above this 30% threshold must then be taxed as part of the employee’s individual salary.</w:t>
      </w:r>
    </w:p>
    <w:p w14:paraId="314609EC" w14:textId="77777777" w:rsidR="00466EFC" w:rsidRDefault="00466EFC" w:rsidP="00466EFC">
      <w:pPr>
        <w:rPr>
          <w:rFonts w:ascii="Arial" w:hAnsi="Arial" w:cs="Arial"/>
          <w:sz w:val="22"/>
          <w:szCs w:val="22"/>
        </w:rPr>
      </w:pPr>
    </w:p>
    <w:p w14:paraId="6C977031" w14:textId="299A896F" w:rsidR="00466EFC" w:rsidRDefault="00466EFC" w:rsidP="00957F2F">
      <w:pPr>
        <w:pStyle w:val="Kop2"/>
        <w:tabs>
          <w:tab w:val="clear" w:pos="539"/>
          <w:tab w:val="left" w:pos="567"/>
        </w:tabs>
        <w:ind w:hanging="283"/>
        <w:rPr>
          <w:rFonts w:cs="Arial"/>
          <w:bCs/>
          <w:color w:val="000000"/>
          <w:szCs w:val="24"/>
        </w:rPr>
      </w:pPr>
      <w:r>
        <w:rPr>
          <w:color w:val="000000"/>
        </w:rPr>
        <w:t>Efficiency threshold of € 2,400 for the standard-practice test</w:t>
      </w:r>
    </w:p>
    <w:p w14:paraId="00402D78" w14:textId="77777777" w:rsidR="00466EFC" w:rsidRDefault="00466EFC" w:rsidP="00466EFC">
      <w:pPr>
        <w:rPr>
          <w:rFonts w:ascii="Arial" w:hAnsi="Arial" w:cs="Arial"/>
          <w:sz w:val="22"/>
          <w:szCs w:val="22"/>
        </w:rPr>
      </w:pPr>
    </w:p>
    <w:p w14:paraId="3848BF45" w14:textId="14B53779" w:rsidR="00466EFC" w:rsidRDefault="00466EFC" w:rsidP="00466EFC">
      <w:pPr>
        <w:rPr>
          <w:rFonts w:ascii="Arial" w:hAnsi="Arial" w:cs="Arial"/>
          <w:sz w:val="22"/>
          <w:szCs w:val="22"/>
        </w:rPr>
      </w:pPr>
      <w:r>
        <w:rPr>
          <w:rFonts w:ascii="Arial" w:hAnsi="Arial"/>
          <w:sz w:val="22"/>
        </w:rPr>
        <w:t>Assessing whether something meets the standard-practice requirement is not always easy. To avoid having to discuss every euro with the Tax and Customs Administration, you can take advantage of the efficiency margin of € 2,400. Up to a maximum amount of € 2,400 per employee per year the Tax and Customs Administration will in all reasonableness consider allowances and benefits in kind to be in line with customary practice. ‘In all reasonableness’ is relevant, for example, to cases involving the statutory minimum wage (the employee’s wage may not be lower than the statutory minimum wage) or a trainee.</w:t>
      </w:r>
    </w:p>
    <w:p w14:paraId="32D4D0C5" w14:textId="77777777" w:rsidR="00D94178" w:rsidRDefault="00D94178" w:rsidP="00466EFC">
      <w:pPr>
        <w:rPr>
          <w:rFonts w:ascii="Arial" w:hAnsi="Arial" w:cs="Arial"/>
          <w:sz w:val="22"/>
          <w:szCs w:val="22"/>
        </w:rPr>
      </w:pPr>
    </w:p>
    <w:p w14:paraId="7ADC608F" w14:textId="37047779" w:rsidR="00D94178" w:rsidRDefault="00D94178" w:rsidP="00466EFC">
      <w:pPr>
        <w:rPr>
          <w:rFonts w:ascii="Arial" w:hAnsi="Arial" w:cs="Arial"/>
          <w:sz w:val="22"/>
          <w:szCs w:val="22"/>
        </w:rPr>
      </w:pPr>
      <w:r>
        <w:rPr>
          <w:rFonts w:ascii="Arial" w:hAnsi="Arial"/>
          <w:sz w:val="22"/>
        </w:rPr>
        <w:t>The Tax and Customs Administration has provided more detailed explanations on how the efficiency threshold is applied in practice.</w:t>
      </w:r>
    </w:p>
    <w:p w14:paraId="0D4BE22C" w14:textId="77777777" w:rsidR="00D94178" w:rsidRDefault="00D94178" w:rsidP="00466EFC">
      <w:pPr>
        <w:rPr>
          <w:rFonts w:ascii="Arial" w:hAnsi="Arial" w:cs="Arial"/>
          <w:sz w:val="22"/>
          <w:szCs w:val="22"/>
        </w:rPr>
      </w:pPr>
    </w:p>
    <w:p w14:paraId="2A59501E" w14:textId="77777777" w:rsidR="00D94178" w:rsidRPr="00F753C2" w:rsidRDefault="00D94178" w:rsidP="00D94178">
      <w:pPr>
        <w:rPr>
          <w:rFonts w:ascii="Arial" w:hAnsi="Arial" w:cs="Arial"/>
          <w:b/>
          <w:bCs/>
          <w:sz w:val="22"/>
          <w:szCs w:val="22"/>
        </w:rPr>
      </w:pPr>
      <w:r>
        <w:rPr>
          <w:rFonts w:ascii="Arial" w:hAnsi="Arial"/>
          <w:b/>
          <w:sz w:val="22"/>
        </w:rPr>
        <w:t>Safe haven</w:t>
      </w:r>
    </w:p>
    <w:p w14:paraId="3F636597" w14:textId="14EAFE96" w:rsidR="00D94178" w:rsidRPr="00D94178" w:rsidRDefault="00D94178" w:rsidP="00D94178">
      <w:pPr>
        <w:rPr>
          <w:rFonts w:ascii="Arial" w:hAnsi="Arial" w:cs="Arial"/>
          <w:sz w:val="22"/>
          <w:szCs w:val="22"/>
        </w:rPr>
      </w:pPr>
      <w:r>
        <w:rPr>
          <w:rFonts w:ascii="Arial" w:hAnsi="Arial"/>
          <w:sz w:val="22"/>
        </w:rPr>
        <w:t>Up to a total amount of € 2,400 per employee per year the Tax and Customs Administration always considers the allocation of allowances and benefits in kind to be in line with customary practice. Up to this threshold you benefit from a ‘safe haven’ and the Tax and Customs Administration will not take any action.</w:t>
      </w:r>
    </w:p>
    <w:p w14:paraId="633D31C3" w14:textId="77777777" w:rsidR="00D94178" w:rsidRPr="00D94178" w:rsidRDefault="00D94178" w:rsidP="00D94178">
      <w:pPr>
        <w:rPr>
          <w:rFonts w:ascii="Arial" w:hAnsi="Arial" w:cs="Arial"/>
          <w:sz w:val="22"/>
          <w:szCs w:val="22"/>
        </w:rPr>
      </w:pPr>
    </w:p>
    <w:p w14:paraId="3DAAF2DC" w14:textId="16357911" w:rsidR="00D94178" w:rsidRPr="00D94178" w:rsidRDefault="00D94178" w:rsidP="00D94178">
      <w:pPr>
        <w:rPr>
          <w:rFonts w:ascii="Arial" w:hAnsi="Arial" w:cs="Arial"/>
          <w:sz w:val="22"/>
          <w:szCs w:val="22"/>
        </w:rPr>
      </w:pPr>
      <w:r>
        <w:rPr>
          <w:rFonts w:ascii="Arial" w:hAnsi="Arial"/>
          <w:sz w:val="22"/>
        </w:rPr>
        <w:t>The type of expense or remuneration component concerned is irrelevant here. A bonus or end-of-year bonus, for example, up to an amount of € 2,400 can therefore also be designated as salary for final levy purposes within this ‘safe haven’.</w:t>
      </w:r>
    </w:p>
    <w:p w14:paraId="6233C6C6" w14:textId="77777777" w:rsidR="00D94178" w:rsidRDefault="00D94178" w:rsidP="00D94178">
      <w:pPr>
        <w:rPr>
          <w:rFonts w:ascii="Arial" w:hAnsi="Arial" w:cs="Arial"/>
          <w:sz w:val="22"/>
          <w:szCs w:val="22"/>
        </w:rPr>
      </w:pPr>
    </w:p>
    <w:p w14:paraId="51C286A0" w14:textId="77777777" w:rsidR="00B15B01" w:rsidRDefault="00B15B01" w:rsidP="00D94178">
      <w:pPr>
        <w:rPr>
          <w:rFonts w:ascii="Arial" w:hAnsi="Arial" w:cs="Arial"/>
          <w:sz w:val="22"/>
          <w:szCs w:val="22"/>
        </w:rPr>
      </w:pPr>
    </w:p>
    <w:p w14:paraId="56645048" w14:textId="77777777" w:rsidR="00B15B01" w:rsidRPr="00D94178" w:rsidRDefault="00B15B01" w:rsidP="00D94178">
      <w:pPr>
        <w:rPr>
          <w:rFonts w:ascii="Arial" w:hAnsi="Arial" w:cs="Arial"/>
          <w:sz w:val="22"/>
          <w:szCs w:val="22"/>
        </w:rPr>
      </w:pPr>
    </w:p>
    <w:p w14:paraId="775D867F" w14:textId="77777777" w:rsidR="00D94178" w:rsidRPr="00F753C2" w:rsidRDefault="00D94178" w:rsidP="00D94178">
      <w:pPr>
        <w:rPr>
          <w:rFonts w:ascii="Arial" w:hAnsi="Arial" w:cs="Arial"/>
          <w:b/>
          <w:bCs/>
          <w:sz w:val="22"/>
          <w:szCs w:val="22"/>
        </w:rPr>
      </w:pPr>
      <w:r>
        <w:rPr>
          <w:rFonts w:ascii="Arial" w:hAnsi="Arial"/>
          <w:b/>
          <w:sz w:val="22"/>
        </w:rPr>
        <w:lastRenderedPageBreak/>
        <w:t>What counts towards the € 2,400 threshold?</w:t>
      </w:r>
    </w:p>
    <w:p w14:paraId="59FDBDE8" w14:textId="1C7239F9" w:rsidR="00D94178" w:rsidRPr="00D94178" w:rsidRDefault="00D94178" w:rsidP="00D94178">
      <w:pPr>
        <w:rPr>
          <w:rFonts w:ascii="Arial" w:hAnsi="Arial" w:cs="Arial"/>
          <w:sz w:val="22"/>
          <w:szCs w:val="22"/>
        </w:rPr>
      </w:pPr>
      <w:r>
        <w:rPr>
          <w:rFonts w:ascii="Arial" w:hAnsi="Arial"/>
          <w:sz w:val="22"/>
        </w:rPr>
        <w:t>If there is no doubt that the allocation of an allowance or benefit in kind satisfies the standard-practice test, it does not count towards the € 2,400 threshold.</w:t>
      </w:r>
    </w:p>
    <w:p w14:paraId="766B4C36" w14:textId="77777777" w:rsidR="00D94178" w:rsidRPr="00D94178" w:rsidRDefault="00D94178" w:rsidP="00D94178">
      <w:pPr>
        <w:rPr>
          <w:rFonts w:ascii="Arial" w:hAnsi="Arial" w:cs="Arial"/>
          <w:sz w:val="22"/>
          <w:szCs w:val="22"/>
        </w:rPr>
      </w:pPr>
    </w:p>
    <w:p w14:paraId="0D57B925" w14:textId="327617E6" w:rsidR="00D94178" w:rsidRPr="00D94178" w:rsidRDefault="00D94178" w:rsidP="00D94178">
      <w:pPr>
        <w:rPr>
          <w:rFonts w:ascii="Arial" w:hAnsi="Arial" w:cs="Arial"/>
          <w:sz w:val="22"/>
          <w:szCs w:val="22"/>
        </w:rPr>
      </w:pPr>
      <w:r>
        <w:rPr>
          <w:rFonts w:ascii="Arial" w:hAnsi="Arial"/>
          <w:sz w:val="22"/>
        </w:rPr>
        <w:t>This applies, for example, in the case of an allowance that benefits from a specific exemption, such as a travel allowance for commuting of up to € 0.23 per kilometre.</w:t>
      </w:r>
    </w:p>
    <w:p w14:paraId="68ADE4BC" w14:textId="77777777" w:rsidR="00D94178" w:rsidRPr="00D94178" w:rsidRDefault="00D94178" w:rsidP="00D94178">
      <w:pPr>
        <w:rPr>
          <w:rFonts w:ascii="Arial" w:hAnsi="Arial" w:cs="Arial"/>
          <w:sz w:val="22"/>
          <w:szCs w:val="22"/>
        </w:rPr>
      </w:pPr>
      <w:r>
        <w:rPr>
          <w:rFonts w:ascii="Arial" w:hAnsi="Arial"/>
          <w:sz w:val="22"/>
        </w:rPr>
        <w:t>However, there are also other allowances and benefits in kind (without specific exemptions) that satisfy the standard-practice test without any doubt, for example because it has been agreed in advance with the Tax and Customs Administration that they are in line with customary practice.</w:t>
      </w:r>
    </w:p>
    <w:p w14:paraId="722CE107" w14:textId="77777777" w:rsidR="00D94178" w:rsidRPr="00D94178" w:rsidRDefault="00D94178" w:rsidP="00D94178">
      <w:pPr>
        <w:rPr>
          <w:rFonts w:ascii="Arial" w:hAnsi="Arial" w:cs="Arial"/>
          <w:sz w:val="22"/>
          <w:szCs w:val="22"/>
        </w:rPr>
      </w:pPr>
    </w:p>
    <w:p w14:paraId="3EC1B67D" w14:textId="77777777" w:rsidR="00D94178" w:rsidRPr="00D94178" w:rsidRDefault="00D94178" w:rsidP="00D94178">
      <w:pPr>
        <w:rPr>
          <w:rFonts w:ascii="Arial" w:hAnsi="Arial" w:cs="Arial"/>
          <w:i/>
          <w:iCs/>
          <w:sz w:val="22"/>
          <w:szCs w:val="22"/>
        </w:rPr>
      </w:pPr>
      <w:r>
        <w:rPr>
          <w:rFonts w:ascii="Arial" w:hAnsi="Arial"/>
          <w:i/>
          <w:sz w:val="22"/>
        </w:rPr>
        <w:t>Example</w:t>
      </w:r>
    </w:p>
    <w:p w14:paraId="2882B772" w14:textId="6975FD42" w:rsidR="00D94178" w:rsidRPr="00D94178" w:rsidRDefault="00D94178" w:rsidP="00D94178">
      <w:pPr>
        <w:rPr>
          <w:rFonts w:ascii="Arial" w:hAnsi="Arial" w:cs="Arial"/>
          <w:i/>
          <w:iCs/>
          <w:sz w:val="22"/>
          <w:szCs w:val="22"/>
        </w:rPr>
      </w:pPr>
      <w:r>
        <w:rPr>
          <w:rFonts w:ascii="Arial" w:hAnsi="Arial"/>
          <w:i/>
          <w:sz w:val="22"/>
        </w:rPr>
        <w:t>An employer grants an employee a travel allowance for commuting of € 1,500 (at the rate of the specific exemption: a maximum of € 0.23 per kilometre). The Tax and Customs Administration has also confirmed to the employer that the allocation of the employer’s bicycle scheme is in line with customary practice, at an amount of € 2,000 per bicycle. In the year in question the employer does not grant any other allowances or benefits in kind. In December the employer wants to designate an end-of-year bonus of € 2,400 as salary for final levy purposes. The employer therefore does not exceed the € 2,400 threshold, as the travel allowance and the bicycle do not count towards this limit.</w:t>
      </w:r>
    </w:p>
    <w:p w14:paraId="39C468AE" w14:textId="77777777" w:rsidR="00D94178" w:rsidRPr="00D94178" w:rsidRDefault="00D94178" w:rsidP="00D94178">
      <w:pPr>
        <w:rPr>
          <w:rFonts w:ascii="Arial" w:hAnsi="Arial" w:cs="Arial"/>
          <w:sz w:val="22"/>
          <w:szCs w:val="22"/>
        </w:rPr>
      </w:pPr>
    </w:p>
    <w:p w14:paraId="3EF0B400" w14:textId="77777777" w:rsidR="00D94178" w:rsidRPr="00F753C2" w:rsidRDefault="00D94178" w:rsidP="00D94178">
      <w:pPr>
        <w:rPr>
          <w:rFonts w:ascii="Arial" w:hAnsi="Arial" w:cs="Arial"/>
          <w:b/>
          <w:bCs/>
          <w:sz w:val="22"/>
          <w:szCs w:val="22"/>
        </w:rPr>
      </w:pPr>
      <w:r>
        <w:rPr>
          <w:rFonts w:ascii="Arial" w:hAnsi="Arial"/>
          <w:b/>
          <w:sz w:val="22"/>
        </w:rPr>
        <w:t>Assessment if € 2,400 threshold is exceeded</w:t>
      </w:r>
    </w:p>
    <w:p w14:paraId="33364735" w14:textId="0175F43F" w:rsidR="00D94178" w:rsidRPr="00D94178" w:rsidRDefault="00D94178" w:rsidP="00D94178">
      <w:pPr>
        <w:rPr>
          <w:rFonts w:ascii="Arial" w:hAnsi="Arial" w:cs="Arial"/>
          <w:sz w:val="22"/>
          <w:szCs w:val="22"/>
        </w:rPr>
      </w:pPr>
      <w:r>
        <w:rPr>
          <w:rFonts w:ascii="Arial" w:hAnsi="Arial"/>
          <w:sz w:val="22"/>
        </w:rPr>
        <w:t>If the employer designates more than € 2,400 per employee per year as salary for final levy purposes, up to an amount of € 2,400 it is possible to rely on the efficiency threshold. Above this amount, however, the Tax and Customs Administration may assess whether the benefits are in line with customary practice.</w:t>
      </w:r>
    </w:p>
    <w:p w14:paraId="4456829D" w14:textId="77777777" w:rsidR="00D94178" w:rsidRPr="00D94178" w:rsidRDefault="00D94178" w:rsidP="00D94178">
      <w:pPr>
        <w:rPr>
          <w:rFonts w:ascii="Arial" w:hAnsi="Arial" w:cs="Arial"/>
          <w:sz w:val="22"/>
          <w:szCs w:val="22"/>
        </w:rPr>
      </w:pPr>
    </w:p>
    <w:p w14:paraId="45DD8A04" w14:textId="77777777" w:rsidR="00D94178" w:rsidRPr="00D94178" w:rsidRDefault="00D94178" w:rsidP="00D94178">
      <w:pPr>
        <w:rPr>
          <w:rFonts w:ascii="Arial" w:hAnsi="Arial" w:cs="Arial"/>
          <w:i/>
          <w:iCs/>
          <w:sz w:val="22"/>
          <w:szCs w:val="22"/>
        </w:rPr>
      </w:pPr>
      <w:r>
        <w:rPr>
          <w:rFonts w:ascii="Arial" w:hAnsi="Arial"/>
          <w:i/>
          <w:sz w:val="22"/>
        </w:rPr>
        <w:t>Example</w:t>
      </w:r>
    </w:p>
    <w:p w14:paraId="607B2260" w14:textId="2BD1047C" w:rsidR="00D94178" w:rsidRPr="00D94178" w:rsidRDefault="00D94178" w:rsidP="00D94178">
      <w:pPr>
        <w:rPr>
          <w:rFonts w:ascii="Arial" w:hAnsi="Arial" w:cs="Arial"/>
          <w:i/>
          <w:iCs/>
          <w:sz w:val="22"/>
          <w:szCs w:val="22"/>
        </w:rPr>
      </w:pPr>
      <w:r>
        <w:rPr>
          <w:rFonts w:ascii="Arial" w:hAnsi="Arial"/>
          <w:i/>
          <w:sz w:val="22"/>
        </w:rPr>
        <w:t>An employer grants a bonus of € 4,000 and wants to allocate this to the fixed budget under the work-related expenses scheme as salary for final levy purposes. In this example the employer does not grant any other allowances or benefits in kind. This means that the employer can benefit from the efficiency threshold for an amount of € 2,400, but that the customary nature of the remaining amount of € 1,600 may be open to debate. Bear in mind that the Tax and Customs Administration will not generally consider this sum of € 1,600 to be in line with customary practice.</w:t>
      </w:r>
    </w:p>
    <w:p w14:paraId="3F59D8A4" w14:textId="77777777" w:rsidR="00466EFC" w:rsidRPr="00D94178" w:rsidRDefault="00466EFC" w:rsidP="00D94178">
      <w:pPr>
        <w:rPr>
          <w:rFonts w:ascii="Arial" w:hAnsi="Arial" w:cs="Arial"/>
          <w:sz w:val="22"/>
          <w:szCs w:val="22"/>
        </w:rPr>
      </w:pPr>
    </w:p>
    <w:p w14:paraId="2CC1FA23" w14:textId="6DB8FB8E" w:rsidR="00E84D9E" w:rsidRDefault="00E84D9E" w:rsidP="00957F2F">
      <w:pPr>
        <w:pStyle w:val="Kop2"/>
        <w:tabs>
          <w:tab w:val="clear" w:pos="539"/>
          <w:tab w:val="left" w:pos="567"/>
        </w:tabs>
        <w:ind w:hanging="283"/>
        <w:rPr>
          <w:rFonts w:cs="Arial"/>
          <w:bCs/>
          <w:color w:val="000000"/>
          <w:szCs w:val="24"/>
        </w:rPr>
      </w:pPr>
      <w:r>
        <w:rPr>
          <w:color w:val="000000"/>
        </w:rPr>
        <w:t>Designate components of fixed budget on time</w:t>
      </w:r>
    </w:p>
    <w:p w14:paraId="4C91B657" w14:textId="77777777" w:rsidR="00790A3C" w:rsidRDefault="00790A3C" w:rsidP="00E84D9E">
      <w:pPr>
        <w:rPr>
          <w:rFonts w:ascii="Arial" w:hAnsi="Arial" w:cs="Arial"/>
          <w:sz w:val="22"/>
          <w:szCs w:val="22"/>
        </w:rPr>
      </w:pPr>
    </w:p>
    <w:p w14:paraId="1AD497D6" w14:textId="006B078D" w:rsidR="000F6DA0" w:rsidRDefault="00790A3C">
      <w:pPr>
        <w:rPr>
          <w:rFonts w:ascii="Arial" w:hAnsi="Arial" w:cs="Arial"/>
          <w:sz w:val="22"/>
          <w:szCs w:val="22"/>
        </w:rPr>
      </w:pPr>
      <w:r>
        <w:rPr>
          <w:rFonts w:ascii="Arial" w:hAnsi="Arial"/>
          <w:sz w:val="22"/>
        </w:rPr>
        <w:t>In April 2024 the Supreme Court clarified how an employer can designate an allowance or benefit in kind as salary for final levy purposes under the fixed budget. If it is not designated on time it will be deemed part of the employee’s individual taxable salary.</w:t>
      </w:r>
    </w:p>
    <w:p w14:paraId="6C3096E7" w14:textId="77777777" w:rsidR="00F753C2" w:rsidRDefault="00F753C2">
      <w:pPr>
        <w:rPr>
          <w:rFonts w:ascii="Arial" w:hAnsi="Arial" w:cs="Arial"/>
          <w:sz w:val="22"/>
          <w:szCs w:val="22"/>
        </w:rPr>
      </w:pPr>
    </w:p>
    <w:p w14:paraId="4EE22029" w14:textId="6F42A23E" w:rsidR="000F6DA0" w:rsidRDefault="00790A3C" w:rsidP="00E84D9E">
      <w:pPr>
        <w:rPr>
          <w:rFonts w:ascii="Arial" w:hAnsi="Arial" w:cs="Arial"/>
          <w:sz w:val="22"/>
          <w:szCs w:val="22"/>
        </w:rPr>
      </w:pPr>
      <w:r>
        <w:rPr>
          <w:rFonts w:ascii="Arial" w:hAnsi="Arial"/>
          <w:sz w:val="22"/>
        </w:rPr>
        <w:t>If that is not the employer’s intention, it is worth bearing in mind the following rules, amongst others, relating to such designations:</w:t>
      </w:r>
    </w:p>
    <w:p w14:paraId="67EEFC81" w14:textId="56EF7737" w:rsidR="00790A3C" w:rsidRDefault="00790A3C" w:rsidP="002F233C">
      <w:pPr>
        <w:pStyle w:val="Lijstalinea"/>
        <w:numPr>
          <w:ilvl w:val="0"/>
          <w:numId w:val="12"/>
        </w:numPr>
        <w:rPr>
          <w:rFonts w:ascii="Arial" w:hAnsi="Arial" w:cs="Arial"/>
        </w:rPr>
      </w:pPr>
      <w:r>
        <w:rPr>
          <w:rFonts w:ascii="Arial" w:hAnsi="Arial"/>
        </w:rPr>
        <w:t xml:space="preserve">In principle, there are no formal requirements relating to how an employer can make a designation. This can be done, for example, by means of a notification sent from the employer to the employee or by means of inclusion in the employer’s accounting records. </w:t>
      </w:r>
    </w:p>
    <w:p w14:paraId="37AF486D" w14:textId="77777777" w:rsidR="00E460F6" w:rsidRDefault="00790A3C" w:rsidP="002F233C">
      <w:pPr>
        <w:pStyle w:val="Lijstalinea"/>
        <w:numPr>
          <w:ilvl w:val="0"/>
          <w:numId w:val="12"/>
        </w:numPr>
        <w:rPr>
          <w:rFonts w:ascii="Arial" w:hAnsi="Arial" w:cs="Arial"/>
        </w:rPr>
      </w:pPr>
      <w:r>
        <w:rPr>
          <w:rFonts w:ascii="Arial" w:hAnsi="Arial"/>
        </w:rPr>
        <w:t>The employer must, however, be able to demonstrate that such a designation has taken place.</w:t>
      </w:r>
    </w:p>
    <w:p w14:paraId="26571114" w14:textId="4C02E213" w:rsidR="00E460F6" w:rsidRDefault="00E460F6" w:rsidP="002F233C">
      <w:pPr>
        <w:pStyle w:val="Lijstalinea"/>
        <w:numPr>
          <w:ilvl w:val="0"/>
          <w:numId w:val="12"/>
        </w:numPr>
        <w:rPr>
          <w:rFonts w:ascii="Arial" w:hAnsi="Arial" w:cs="Arial"/>
        </w:rPr>
      </w:pPr>
      <w:r>
        <w:rPr>
          <w:rFonts w:ascii="Arial" w:hAnsi="Arial"/>
        </w:rPr>
        <w:lastRenderedPageBreak/>
        <w:t>The designation must be made by the point at which the employee receives the allowance at the latest. This will generally be the moment when the allowance is paid.</w:t>
      </w:r>
    </w:p>
    <w:p w14:paraId="525DA2AB" w14:textId="77777777" w:rsidR="00E460F6" w:rsidRDefault="00E460F6" w:rsidP="0072073A">
      <w:pPr>
        <w:pStyle w:val="Lijstalinea"/>
        <w:ind w:left="360"/>
        <w:rPr>
          <w:rFonts w:ascii="Arial" w:hAnsi="Arial" w:cs="Arial"/>
        </w:rPr>
      </w:pPr>
    </w:p>
    <w:p w14:paraId="740E91EF" w14:textId="3C9EB65A" w:rsidR="00E460F6" w:rsidRDefault="00E460F6" w:rsidP="00E460F6">
      <w:pPr>
        <w:rPr>
          <w:rFonts w:ascii="Arial" w:hAnsi="Arial" w:cs="Arial"/>
          <w:sz w:val="22"/>
          <w:szCs w:val="22"/>
        </w:rPr>
      </w:pPr>
      <w:r>
        <w:rPr>
          <w:rFonts w:ascii="Arial" w:hAnsi="Arial"/>
          <w:sz w:val="22"/>
        </w:rPr>
        <w:t>A discussion may arise with the Tax and Customs Administration regarding whether a particular allowance can be designated as salary for final levy purposes under the fixed budget. This is due to the standard-practice test that applies here. In the event of such a discussion arising, it is important that the allowance is designated on time as salary for final levy purposes under the fixed budget. According to the Supreme Court, if the employer fails to do this, or does so late, this cannot be corrected later. The Supreme Court has, however, ruled that it is also possible to settle the allowance individually with the employee at the same time as designating it as salary for final levy purposes. In this way the employer can wait for the (judicial) outcome of the discussion with the Tax and Customs Administration.</w:t>
      </w:r>
    </w:p>
    <w:p w14:paraId="669D7125" w14:textId="77777777" w:rsidR="00790A3C" w:rsidRPr="00E84D9E" w:rsidRDefault="00790A3C" w:rsidP="00E84D9E"/>
    <w:p w14:paraId="6ADA3859" w14:textId="19CEAF62" w:rsidR="00B24425" w:rsidRPr="00B24425" w:rsidRDefault="00B24425" w:rsidP="00957F2F">
      <w:pPr>
        <w:pStyle w:val="Kop2"/>
        <w:tabs>
          <w:tab w:val="clear" w:pos="539"/>
          <w:tab w:val="left" w:pos="567"/>
        </w:tabs>
        <w:ind w:hanging="283"/>
        <w:rPr>
          <w:rFonts w:cs="Arial"/>
          <w:bCs/>
          <w:color w:val="000000"/>
          <w:szCs w:val="24"/>
        </w:rPr>
      </w:pPr>
      <w:r>
        <w:t>Employers who are not withholding entities and tax-free allowances</w:t>
      </w:r>
    </w:p>
    <w:p w14:paraId="23DCCE4C" w14:textId="77777777" w:rsidR="00B24425" w:rsidRDefault="00B24425" w:rsidP="00B24425">
      <w:pPr>
        <w:rPr>
          <w:rFonts w:ascii="Arial" w:hAnsi="Arial" w:cs="Arial"/>
          <w:sz w:val="22"/>
          <w:szCs w:val="22"/>
        </w:rPr>
      </w:pPr>
    </w:p>
    <w:p w14:paraId="50B0AB63" w14:textId="63C551B7" w:rsidR="00B24425" w:rsidRDefault="00B24425" w:rsidP="00B24425">
      <w:pPr>
        <w:rPr>
          <w:rFonts w:ascii="Arial" w:hAnsi="Arial" w:cs="Arial"/>
          <w:sz w:val="22"/>
          <w:szCs w:val="22"/>
        </w:rPr>
      </w:pPr>
      <w:r>
        <w:rPr>
          <w:rFonts w:ascii="Arial" w:hAnsi="Arial"/>
          <w:sz w:val="22"/>
        </w:rPr>
        <w:t>In principle, employers who grant allowances or benefits in kind to their employees free of tax have to designate these allowances and benefits in advance. This obligation does not apply, however, to employers who are not withholding entities, e.g. foreign employers.</w:t>
      </w:r>
    </w:p>
    <w:p w14:paraId="160A4D01" w14:textId="77777777" w:rsidR="00B24425" w:rsidRPr="00B24425" w:rsidRDefault="00B24425" w:rsidP="00B24425">
      <w:pPr>
        <w:rPr>
          <w:rFonts w:ascii="Arial" w:hAnsi="Arial" w:cs="Arial"/>
          <w:sz w:val="22"/>
          <w:szCs w:val="22"/>
        </w:rPr>
      </w:pPr>
    </w:p>
    <w:p w14:paraId="2B971D7E" w14:textId="77777777" w:rsidR="00B24425" w:rsidRDefault="00B24425" w:rsidP="00B24425">
      <w:pPr>
        <w:rPr>
          <w:rFonts w:ascii="Arial" w:hAnsi="Arial" w:cs="Arial"/>
          <w:b/>
          <w:bCs/>
          <w:sz w:val="22"/>
          <w:szCs w:val="22"/>
        </w:rPr>
      </w:pPr>
      <w:r>
        <w:rPr>
          <w:rFonts w:ascii="Arial" w:hAnsi="Arial"/>
          <w:b/>
          <w:sz w:val="22"/>
        </w:rPr>
        <w:t>Specific exemptions and work-related expenses scheme</w:t>
      </w:r>
    </w:p>
    <w:p w14:paraId="24ABD4F3" w14:textId="06CFECD0" w:rsidR="00B24425" w:rsidRDefault="00B24425" w:rsidP="00B24425">
      <w:pPr>
        <w:rPr>
          <w:rFonts w:ascii="Arial" w:hAnsi="Arial" w:cs="Arial"/>
          <w:sz w:val="22"/>
          <w:szCs w:val="22"/>
        </w:rPr>
      </w:pPr>
      <w:r>
        <w:rPr>
          <w:rFonts w:ascii="Arial" w:hAnsi="Arial"/>
          <w:sz w:val="22"/>
        </w:rPr>
        <w:t>If an employer wants to grant allowances or benefits in kind free of tax, it can do so if they benefit from specific exemptions or if the employer makes use of the fixed budget under the work-related expenses scheme. In both cases the employer must designate these allowances and benefits as salary for final levy purposes by the time they are granted at the latest.</w:t>
      </w:r>
    </w:p>
    <w:p w14:paraId="2F9358D0" w14:textId="77777777" w:rsidR="00B24425" w:rsidRPr="00B24425" w:rsidRDefault="00B24425" w:rsidP="00B24425">
      <w:pPr>
        <w:rPr>
          <w:rFonts w:ascii="Arial" w:hAnsi="Arial" w:cs="Arial"/>
          <w:sz w:val="22"/>
          <w:szCs w:val="22"/>
        </w:rPr>
      </w:pPr>
    </w:p>
    <w:p w14:paraId="6F153BE7" w14:textId="77777777" w:rsidR="00B24425" w:rsidRDefault="00B24425" w:rsidP="00B24425">
      <w:pPr>
        <w:shd w:val="clear" w:color="auto" w:fill="D9D9D9" w:themeFill="background1" w:themeFillShade="D9"/>
        <w:rPr>
          <w:rFonts w:ascii="Arial" w:hAnsi="Arial" w:cs="Arial"/>
          <w:sz w:val="22"/>
          <w:szCs w:val="22"/>
        </w:rPr>
      </w:pPr>
      <w:r>
        <w:rPr>
          <w:rFonts w:ascii="Arial" w:hAnsi="Arial"/>
          <w:b/>
          <w:sz w:val="22"/>
        </w:rPr>
        <w:t>Tip:</w:t>
      </w:r>
      <w:r>
        <w:rPr>
          <w:rFonts w:ascii="Arial" w:hAnsi="Arial"/>
          <w:sz w:val="22"/>
        </w:rPr>
        <w:br/>
        <w:t>With regard to specific exemptions, the Tax and Customs Administration assumes that the allowances and benefits have been designated if they are not taxed as part of an employee’s individual salary.</w:t>
      </w:r>
    </w:p>
    <w:p w14:paraId="34FC3CF9" w14:textId="77777777" w:rsidR="00B24425" w:rsidRPr="00B24425" w:rsidRDefault="00B24425" w:rsidP="00B24425">
      <w:pPr>
        <w:rPr>
          <w:rFonts w:ascii="Arial" w:hAnsi="Arial" w:cs="Arial"/>
          <w:sz w:val="22"/>
          <w:szCs w:val="22"/>
        </w:rPr>
      </w:pPr>
    </w:p>
    <w:p w14:paraId="63A5BFDB" w14:textId="77777777" w:rsidR="00B24425" w:rsidRDefault="00B24425" w:rsidP="00B24425">
      <w:pPr>
        <w:rPr>
          <w:rFonts w:ascii="Arial" w:hAnsi="Arial" w:cs="Arial"/>
          <w:b/>
          <w:bCs/>
          <w:sz w:val="22"/>
          <w:szCs w:val="22"/>
        </w:rPr>
      </w:pPr>
      <w:r>
        <w:rPr>
          <w:rFonts w:ascii="Arial" w:hAnsi="Arial"/>
          <w:b/>
          <w:sz w:val="22"/>
        </w:rPr>
        <w:t>Employer who is not a Dutch withholding entity</w:t>
      </w:r>
    </w:p>
    <w:p w14:paraId="1CA7EDA7" w14:textId="37307B9D" w:rsidR="00B24425" w:rsidRDefault="00B24425" w:rsidP="00B24425">
      <w:pPr>
        <w:rPr>
          <w:rFonts w:ascii="Arial" w:hAnsi="Arial" w:cs="Arial"/>
          <w:sz w:val="22"/>
          <w:szCs w:val="22"/>
        </w:rPr>
      </w:pPr>
      <w:r>
        <w:rPr>
          <w:rFonts w:ascii="Arial" w:hAnsi="Arial"/>
          <w:sz w:val="22"/>
        </w:rPr>
        <w:t xml:space="preserve">The </w:t>
      </w:r>
      <w:hyperlink r:id="rId21" w:history="1">
        <w:r>
          <w:rPr>
            <w:rStyle w:val="Hyperlink"/>
            <w:rFonts w:ascii="Arial" w:hAnsi="Arial"/>
            <w:sz w:val="22"/>
          </w:rPr>
          <w:t>Supreme Court</w:t>
        </w:r>
      </w:hyperlink>
      <w:r>
        <w:rPr>
          <w:rFonts w:ascii="Arial" w:hAnsi="Arial"/>
          <w:sz w:val="22"/>
        </w:rPr>
        <w:t xml:space="preserve"> has ruled that an employer who is not a Dutch withholding entity can also apply the exemptions, even if the allowances and benefits concerned have not been designated as salary for final levy purposes. In the Supreme Court’s view, employees whose employer is not a Dutch withholding entity should not end up in a worse position than colleagues who are employed by such an entity.</w:t>
      </w:r>
    </w:p>
    <w:p w14:paraId="4DE5A6A2" w14:textId="77777777" w:rsidR="00B24425" w:rsidRPr="00B24425" w:rsidRDefault="00B24425" w:rsidP="00B24425">
      <w:pPr>
        <w:rPr>
          <w:rFonts w:ascii="Arial" w:hAnsi="Arial" w:cs="Arial"/>
          <w:sz w:val="22"/>
          <w:szCs w:val="22"/>
        </w:rPr>
      </w:pPr>
    </w:p>
    <w:p w14:paraId="3320F555" w14:textId="77777777" w:rsidR="00B24425" w:rsidRDefault="00B24425" w:rsidP="00B24425">
      <w:pPr>
        <w:rPr>
          <w:rFonts w:ascii="Arial" w:hAnsi="Arial" w:cs="Arial"/>
          <w:b/>
          <w:bCs/>
          <w:sz w:val="22"/>
          <w:szCs w:val="22"/>
        </w:rPr>
      </w:pPr>
      <w:r>
        <w:rPr>
          <w:rFonts w:ascii="Arial" w:hAnsi="Arial"/>
          <w:b/>
          <w:sz w:val="22"/>
        </w:rPr>
        <w:t>Pilot’s expense allowance</w:t>
      </w:r>
    </w:p>
    <w:p w14:paraId="7154E653" w14:textId="407892C3" w:rsidR="00B24425" w:rsidRDefault="00B24425" w:rsidP="00B24425">
      <w:pPr>
        <w:rPr>
          <w:rFonts w:ascii="Arial" w:hAnsi="Arial" w:cs="Arial"/>
          <w:sz w:val="22"/>
          <w:szCs w:val="22"/>
        </w:rPr>
      </w:pPr>
      <w:r>
        <w:rPr>
          <w:rFonts w:ascii="Arial" w:hAnsi="Arial"/>
          <w:sz w:val="22"/>
        </w:rPr>
        <w:t>One of the Supreme Court’s judgments on this topic concerned a pilot who had foreign income. He wanted to designate a portion of this income as an untaxed expense allowance. The inspector did not agree with this, partly because the employer had not designated the expense allowances as such. However, the Supreme Court took the view that this requirement does not apply to employers who are not Dutch withholding entities.</w:t>
      </w:r>
    </w:p>
    <w:p w14:paraId="25138483" w14:textId="77777777" w:rsidR="00B24425" w:rsidRPr="00B24425" w:rsidRDefault="00B24425" w:rsidP="00B24425">
      <w:pPr>
        <w:rPr>
          <w:rFonts w:ascii="Arial" w:hAnsi="Arial" w:cs="Arial"/>
          <w:sz w:val="22"/>
          <w:szCs w:val="22"/>
        </w:rPr>
      </w:pPr>
    </w:p>
    <w:p w14:paraId="4D444063" w14:textId="77777777" w:rsidR="00B24425" w:rsidRDefault="00B24425" w:rsidP="00B24425">
      <w:pPr>
        <w:rPr>
          <w:rFonts w:ascii="Arial" w:hAnsi="Arial" w:cs="Arial"/>
          <w:b/>
          <w:bCs/>
          <w:sz w:val="22"/>
          <w:szCs w:val="22"/>
        </w:rPr>
      </w:pPr>
      <w:r>
        <w:rPr>
          <w:rFonts w:ascii="Arial" w:hAnsi="Arial"/>
          <w:b/>
          <w:sz w:val="22"/>
        </w:rPr>
        <w:t>Limitation of expense allowance</w:t>
      </w:r>
    </w:p>
    <w:p w14:paraId="6114E301" w14:textId="2BB4CE89" w:rsidR="00B24425" w:rsidRPr="00B24425" w:rsidRDefault="00B24425" w:rsidP="00B24425">
      <w:pPr>
        <w:rPr>
          <w:rFonts w:ascii="Arial" w:hAnsi="Arial" w:cs="Arial"/>
          <w:sz w:val="22"/>
          <w:szCs w:val="22"/>
        </w:rPr>
      </w:pPr>
      <w:r>
        <w:rPr>
          <w:rFonts w:ascii="Arial" w:hAnsi="Arial"/>
          <w:sz w:val="22"/>
        </w:rPr>
        <w:t>In this case the untaxed expense allowance was, however, limited to an amount that the inspector had previously approved. This had been presented to the Court of Appeal in The Hague as a compromise and therefore could not be reconsidered at a later point.</w:t>
      </w:r>
    </w:p>
    <w:p w14:paraId="40F1591F" w14:textId="77777777" w:rsidR="00B24425" w:rsidRDefault="00B24425" w:rsidP="00B24425">
      <w:pPr>
        <w:rPr>
          <w:rFonts w:ascii="Arial" w:hAnsi="Arial" w:cs="Arial"/>
          <w:sz w:val="22"/>
          <w:szCs w:val="22"/>
        </w:rPr>
      </w:pPr>
    </w:p>
    <w:p w14:paraId="25CC10A5" w14:textId="29728C46" w:rsidR="00723CEA" w:rsidRDefault="00723CEA" w:rsidP="00957F2F">
      <w:pPr>
        <w:pStyle w:val="Kop2"/>
        <w:tabs>
          <w:tab w:val="clear" w:pos="539"/>
          <w:tab w:val="left" w:pos="567"/>
        </w:tabs>
        <w:ind w:hanging="283"/>
        <w:rPr>
          <w:rFonts w:cs="Arial"/>
          <w:bCs/>
          <w:color w:val="000000"/>
          <w:szCs w:val="24"/>
        </w:rPr>
      </w:pPr>
      <w:r>
        <w:rPr>
          <w:color w:val="000000"/>
        </w:rPr>
        <w:lastRenderedPageBreak/>
        <w:t>Increase in homeworking allowance and other standard amounts</w:t>
      </w:r>
      <w:bookmarkEnd w:id="47"/>
    </w:p>
    <w:p w14:paraId="5086828A" w14:textId="77777777" w:rsidR="00C9418C" w:rsidRPr="00C9418C" w:rsidRDefault="00C9418C" w:rsidP="00C9418C"/>
    <w:p w14:paraId="748D2905" w14:textId="498278F0" w:rsidR="00C64C39" w:rsidRDefault="00C64C39" w:rsidP="00C64C39">
      <w:pPr>
        <w:rPr>
          <w:rFonts w:ascii="Arial" w:hAnsi="Arial" w:cs="Arial"/>
          <w:sz w:val="22"/>
          <w:szCs w:val="22"/>
        </w:rPr>
      </w:pPr>
      <w:r>
        <w:rPr>
          <w:rFonts w:ascii="Arial" w:hAnsi="Arial"/>
          <w:sz w:val="22"/>
        </w:rPr>
        <w:t>Subject to certain conditions, you can pay your employees an untaxed allowance for the additional costs associated with working from home. In 2026 this untaxed allowance amounts to € 2.45 per day (2025: € 2.40 per day).</w:t>
      </w:r>
    </w:p>
    <w:p w14:paraId="66A0CB31" w14:textId="77777777" w:rsidR="00C64C39" w:rsidRDefault="00C64C39" w:rsidP="00C64C39">
      <w:pPr>
        <w:rPr>
          <w:rFonts w:ascii="Arial" w:hAnsi="Arial" w:cs="Arial"/>
          <w:sz w:val="22"/>
          <w:szCs w:val="22"/>
        </w:rPr>
      </w:pPr>
    </w:p>
    <w:p w14:paraId="057ECF93" w14:textId="03D21EDC" w:rsidR="00C64C39" w:rsidRDefault="00C64C39" w:rsidP="00C64C39">
      <w:pPr>
        <w:rPr>
          <w:rFonts w:ascii="Arial" w:hAnsi="Arial" w:cs="Arial"/>
          <w:sz w:val="22"/>
          <w:szCs w:val="22"/>
        </w:rPr>
      </w:pPr>
      <w:r>
        <w:rPr>
          <w:rFonts w:ascii="Arial" w:hAnsi="Arial"/>
          <w:sz w:val="22"/>
        </w:rPr>
        <w:t>The standard amount set for the value of meals in company canteens (or similar areas) or at staff parties in the workplace is also rising in 2026. In 2025 this was € 3.95 per meal and in 2026 amounts to € 4.05 per meal.</w:t>
      </w:r>
    </w:p>
    <w:p w14:paraId="742E26EA" w14:textId="77777777" w:rsidR="00B70F69" w:rsidRDefault="00B70F69" w:rsidP="00C64C39">
      <w:pPr>
        <w:rPr>
          <w:rFonts w:ascii="Arial" w:hAnsi="Arial" w:cs="Arial"/>
          <w:sz w:val="22"/>
          <w:szCs w:val="22"/>
        </w:rPr>
      </w:pPr>
    </w:p>
    <w:p w14:paraId="6DBEEBAA" w14:textId="675A017A" w:rsidR="000D0DCB" w:rsidRPr="00754442" w:rsidRDefault="000D0DCB" w:rsidP="000D0DCB">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r>
        <w:rPr>
          <w:rFonts w:ascii="Arial" w:hAnsi="Arial"/>
          <w:b/>
          <w:sz w:val="22"/>
        </w:rPr>
        <w:t>Tip:</w:t>
      </w:r>
      <w:r>
        <w:rPr>
          <w:rFonts w:ascii="Arial" w:hAnsi="Arial"/>
          <w:sz w:val="22"/>
        </w:rPr>
        <w:br/>
        <w:t>The standard amount less any contribution made by your employee is regarded as salary that your employee has received. However, you can also opt to designate it as salary for final levy purposes under the fixed budget.</w:t>
      </w:r>
    </w:p>
    <w:p w14:paraId="3F4A3426" w14:textId="77777777" w:rsidR="00C64C39" w:rsidRDefault="00C64C39" w:rsidP="00C64C39">
      <w:pPr>
        <w:rPr>
          <w:rFonts w:ascii="Arial" w:hAnsi="Arial" w:cs="Arial"/>
          <w:sz w:val="22"/>
          <w:szCs w:val="22"/>
        </w:rPr>
      </w:pPr>
    </w:p>
    <w:p w14:paraId="1297CC70" w14:textId="00E90AB9" w:rsidR="00E37AFB" w:rsidRDefault="00C64C39" w:rsidP="00A40168">
      <w:pPr>
        <w:rPr>
          <w:rFonts w:ascii="Arial" w:hAnsi="Arial" w:cs="Arial"/>
          <w:sz w:val="22"/>
          <w:szCs w:val="22"/>
        </w:rPr>
      </w:pPr>
      <w:r>
        <w:rPr>
          <w:rFonts w:ascii="Arial" w:hAnsi="Arial"/>
          <w:sz w:val="22"/>
        </w:rPr>
        <w:t>Under certain conditions, accommodation provided at the workplace may be zero rated. If this is the case, the provision of energy, water and cleaning is also zero rated. The zero rating is subject to the following conditions:</w:t>
      </w:r>
    </w:p>
    <w:p w14:paraId="4699E5F3" w14:textId="1676B974" w:rsidR="000B6926" w:rsidRDefault="000B6926" w:rsidP="002F233C">
      <w:pPr>
        <w:pStyle w:val="Lijstalinea"/>
        <w:numPr>
          <w:ilvl w:val="0"/>
          <w:numId w:val="19"/>
        </w:numPr>
        <w:rPr>
          <w:rFonts w:ascii="Arial" w:hAnsi="Arial" w:cs="Arial"/>
        </w:rPr>
      </w:pPr>
      <w:r>
        <w:rPr>
          <w:rFonts w:ascii="Arial" w:hAnsi="Arial"/>
        </w:rPr>
        <w:t>The employee does not live in the workplace and has his/her home elsewhere.</w:t>
      </w:r>
    </w:p>
    <w:p w14:paraId="1BF396ED" w14:textId="4F5BAB0F" w:rsidR="000B6926" w:rsidRPr="007D5898" w:rsidRDefault="000B6926" w:rsidP="002F233C">
      <w:pPr>
        <w:pStyle w:val="Lijstalinea"/>
        <w:numPr>
          <w:ilvl w:val="0"/>
          <w:numId w:val="19"/>
        </w:numPr>
        <w:rPr>
          <w:rFonts w:ascii="Arial" w:hAnsi="Arial" w:cs="Arial"/>
        </w:rPr>
      </w:pPr>
      <w:r>
        <w:rPr>
          <w:rFonts w:ascii="Arial" w:hAnsi="Arial"/>
        </w:rPr>
        <w:t>The employee reasonably requires the accommodation in the workplace to perform his/her job properly. Examples include a supervisor in a surrogate-family home who works sleepover shifts or a fireman who sleeps at the fire station.</w:t>
      </w:r>
    </w:p>
    <w:p w14:paraId="55626F35" w14:textId="77777777" w:rsidR="009F45C8" w:rsidRDefault="009F45C8" w:rsidP="00A40168">
      <w:pPr>
        <w:rPr>
          <w:rFonts w:ascii="Arial" w:hAnsi="Arial" w:cs="Arial"/>
          <w:sz w:val="22"/>
          <w:szCs w:val="22"/>
        </w:rPr>
      </w:pPr>
    </w:p>
    <w:p w14:paraId="32749BB5" w14:textId="2EF6A03C" w:rsidR="00C64C39" w:rsidRDefault="00C64C39" w:rsidP="00A40168">
      <w:pPr>
        <w:rPr>
          <w:rFonts w:ascii="Arial" w:hAnsi="Arial" w:cs="Arial"/>
          <w:sz w:val="22"/>
          <w:szCs w:val="22"/>
        </w:rPr>
      </w:pPr>
      <w:r>
        <w:rPr>
          <w:rFonts w:ascii="Arial" w:hAnsi="Arial"/>
          <w:sz w:val="22"/>
        </w:rPr>
        <w:t>If this zero rating does not apply and the accommodation in question is not a dwelling provided so that an employee can perform his/her work properly (</w:t>
      </w:r>
      <w:r>
        <w:rPr>
          <w:rFonts w:ascii="Arial" w:hAnsi="Arial"/>
          <w:i/>
          <w:iCs/>
          <w:sz w:val="22"/>
        </w:rPr>
        <w:t>dienstwoning</w:t>
      </w:r>
      <w:r>
        <w:rPr>
          <w:rFonts w:ascii="Arial" w:hAnsi="Arial"/>
          <w:sz w:val="22"/>
        </w:rPr>
        <w:t>), you can take a standard amount into account for the value of the accommodation in the workplace This standard amount for accommodation and lodging has increased from € 6.80 per day in 2025 to € 7.00 per day in 2026. Energy, water and cleaning are included in this standard amount.</w:t>
      </w:r>
    </w:p>
    <w:p w14:paraId="1337D1A9" w14:textId="77777777" w:rsidR="000B6926" w:rsidRDefault="000B6926" w:rsidP="00A40168">
      <w:pPr>
        <w:rPr>
          <w:rFonts w:ascii="Arial" w:hAnsi="Arial" w:cs="Arial"/>
          <w:sz w:val="22"/>
          <w:szCs w:val="22"/>
        </w:rPr>
      </w:pPr>
    </w:p>
    <w:p w14:paraId="5030E8AF" w14:textId="415CA95C" w:rsidR="000B6926" w:rsidRDefault="000B6926" w:rsidP="00A40168">
      <w:pPr>
        <w:rPr>
          <w:rFonts w:ascii="Arial" w:hAnsi="Arial" w:cs="Arial"/>
          <w:sz w:val="22"/>
          <w:szCs w:val="22"/>
        </w:rPr>
      </w:pPr>
      <w:r>
        <w:rPr>
          <w:rFonts w:ascii="Arial" w:hAnsi="Arial"/>
          <w:sz w:val="22"/>
        </w:rPr>
        <w:t xml:space="preserve">If the accommodation is a </w:t>
      </w:r>
      <w:r>
        <w:rPr>
          <w:rFonts w:ascii="Arial" w:hAnsi="Arial"/>
          <w:i/>
          <w:iCs/>
          <w:sz w:val="22"/>
        </w:rPr>
        <w:t>dienstwoning</w:t>
      </w:r>
      <w:r>
        <w:rPr>
          <w:rFonts w:ascii="Arial" w:hAnsi="Arial"/>
          <w:sz w:val="22"/>
        </w:rPr>
        <w:t xml:space="preserve"> (this is only the case if the dwelling is required to allow the employee to perform his/her job properly and the employee cannot reasonably waive use thereof), the market rental value is regarded as salary for the employee. However, this is capped at 18% of the employee’s annual salary (for a 36-hour working week). Bear in mind that if the employee works fewer than 36 hours per week, his/her salary will need to be recalculated. If he/she works more than 36 hours per week, however, the salary may not be recalculated on the basis of 36 hours.</w:t>
      </w:r>
    </w:p>
    <w:p w14:paraId="79052D7E" w14:textId="77777777" w:rsidR="00F753C2" w:rsidRDefault="00F753C2" w:rsidP="00A40168">
      <w:pPr>
        <w:rPr>
          <w:rFonts w:ascii="Arial" w:hAnsi="Arial" w:cs="Arial"/>
          <w:sz w:val="22"/>
          <w:szCs w:val="22"/>
        </w:rPr>
      </w:pPr>
    </w:p>
    <w:p w14:paraId="1E5EC869" w14:textId="56AF3581" w:rsidR="004C5E4E" w:rsidRPr="004C5E4E" w:rsidRDefault="004C5E4E" w:rsidP="00957F2F">
      <w:pPr>
        <w:pStyle w:val="Kop2"/>
        <w:ind w:hanging="283"/>
      </w:pPr>
      <w:r>
        <w:t>Untaxed allowances for temporary accommodation costs in 2026</w:t>
      </w:r>
    </w:p>
    <w:p w14:paraId="26321723" w14:textId="77777777" w:rsidR="004C5E4E" w:rsidRPr="004C5E4E" w:rsidRDefault="004C5E4E" w:rsidP="004C5E4E">
      <w:pPr>
        <w:rPr>
          <w:rFonts w:ascii="Arial" w:hAnsi="Arial" w:cs="Arial"/>
          <w:b/>
          <w:bCs/>
          <w:sz w:val="22"/>
          <w:szCs w:val="22"/>
        </w:rPr>
      </w:pPr>
    </w:p>
    <w:p w14:paraId="353B1AB1" w14:textId="77777777" w:rsidR="004C5E4E" w:rsidRDefault="004C5E4E" w:rsidP="004C5E4E">
      <w:pPr>
        <w:rPr>
          <w:rFonts w:ascii="Arial" w:hAnsi="Arial" w:cs="Arial"/>
          <w:sz w:val="22"/>
          <w:szCs w:val="22"/>
        </w:rPr>
      </w:pPr>
      <w:r>
        <w:rPr>
          <w:rFonts w:ascii="Arial" w:hAnsi="Arial"/>
          <w:sz w:val="22"/>
        </w:rPr>
        <w:t>Under certain conditions, costs that employees incur during business trips – temporary accommodation costs – may be reimbursed to employees free of tax. To determine the level of these amounts, you can possibly follow the amounts that civil servants receive free of tax for a business trip.</w:t>
      </w:r>
    </w:p>
    <w:p w14:paraId="3C561BAB" w14:textId="77777777" w:rsidR="00B24425" w:rsidRDefault="00B24425" w:rsidP="004C5E4E">
      <w:pPr>
        <w:rPr>
          <w:rFonts w:ascii="Arial" w:hAnsi="Arial" w:cs="Arial"/>
          <w:sz w:val="22"/>
          <w:szCs w:val="22"/>
        </w:rPr>
      </w:pPr>
    </w:p>
    <w:p w14:paraId="377BDB22" w14:textId="037DAAD4" w:rsidR="004C5E4E" w:rsidRPr="004C5E4E" w:rsidRDefault="004C5E4E" w:rsidP="004C5E4E">
      <w:pPr>
        <w:rPr>
          <w:rFonts w:ascii="Arial" w:hAnsi="Arial" w:cs="Arial"/>
          <w:sz w:val="22"/>
          <w:szCs w:val="22"/>
        </w:rPr>
      </w:pPr>
      <w:r>
        <w:rPr>
          <w:rFonts w:ascii="Arial" w:hAnsi="Arial"/>
          <w:sz w:val="22"/>
        </w:rPr>
        <w:t>The reimbursement of accommodation costs may only benefit from a specific exemption – and therefore be paid free of tax – in the case of a temporary stay. Your employee must be regarded as a so-called itinerant employee. This is the case if he/she constantly travels to different workplaces or generally travels to the same workplace once a week and does so on a maximum of 20 days.</w:t>
      </w:r>
    </w:p>
    <w:p w14:paraId="241C3FBB" w14:textId="77777777" w:rsidR="004C5E4E" w:rsidRDefault="004C5E4E" w:rsidP="004C5E4E">
      <w:pPr>
        <w:rPr>
          <w:rFonts w:ascii="Arial" w:hAnsi="Arial" w:cs="Arial"/>
          <w:sz w:val="22"/>
          <w:szCs w:val="22"/>
        </w:rPr>
      </w:pPr>
    </w:p>
    <w:p w14:paraId="52995ECE" w14:textId="77777777" w:rsidR="004C5E4E" w:rsidRPr="004C5E4E" w:rsidRDefault="004C5E4E" w:rsidP="004C5E4E">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b/>
          <w:bCs/>
          <w:sz w:val="22"/>
          <w:szCs w:val="22"/>
        </w:rPr>
      </w:pPr>
      <w:r>
        <w:rPr>
          <w:rFonts w:ascii="Arial" w:hAnsi="Arial"/>
          <w:b/>
          <w:sz w:val="22"/>
        </w:rPr>
        <w:t xml:space="preserve">Please note: </w:t>
      </w:r>
    </w:p>
    <w:p w14:paraId="6AC5A639" w14:textId="2FCA31C5" w:rsidR="004C5E4E" w:rsidRPr="00754442" w:rsidRDefault="004C5E4E" w:rsidP="004C5E4E">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r>
        <w:rPr>
          <w:rFonts w:ascii="Arial" w:hAnsi="Arial"/>
          <w:sz w:val="22"/>
        </w:rPr>
        <w:t>What if an employee travels to the same workplace on more than 20 days, but with interruptions, with the result that it is not a consecutive period? In the event of a one-off interruption, the reference period over which the 20 days are calculated continues to run as normal. A different situation applies if there are longer interruptions. In this case a new reference period is started for purposes of counting the 20-day maximum. You can contact us to assess whether a new reference period should begin following an interruption.</w:t>
      </w:r>
    </w:p>
    <w:p w14:paraId="7F6CD1A8" w14:textId="77777777" w:rsidR="004C5E4E" w:rsidRDefault="004C5E4E" w:rsidP="004C5E4E">
      <w:pPr>
        <w:rPr>
          <w:rFonts w:ascii="Arial" w:hAnsi="Arial" w:cs="Arial"/>
          <w:sz w:val="22"/>
          <w:szCs w:val="22"/>
        </w:rPr>
      </w:pPr>
    </w:p>
    <w:p w14:paraId="7E0EC204" w14:textId="10190A5E" w:rsidR="004C5E4E" w:rsidRPr="004C5E4E" w:rsidRDefault="004C5E4E" w:rsidP="004C5E4E">
      <w:pPr>
        <w:rPr>
          <w:rFonts w:ascii="Arial" w:hAnsi="Arial" w:cs="Arial"/>
          <w:sz w:val="22"/>
          <w:szCs w:val="22"/>
        </w:rPr>
      </w:pPr>
      <w:r>
        <w:rPr>
          <w:rFonts w:ascii="Arial" w:hAnsi="Arial"/>
          <w:sz w:val="22"/>
        </w:rPr>
        <w:t>Besides itinerant employees, you can also reimburse the temporary accommodation costs – while benefiting from the specific exemption – to an employee who does not (or not yet) live close to his/her place of work for business reasons. This may apply in the case of temporary projects or if the employee is still in his/her trial period, for example.</w:t>
      </w:r>
    </w:p>
    <w:p w14:paraId="1B3012DC" w14:textId="77777777" w:rsidR="004C5E4E" w:rsidRDefault="004C5E4E" w:rsidP="004C5E4E">
      <w:pPr>
        <w:rPr>
          <w:rFonts w:ascii="Arial" w:hAnsi="Arial" w:cs="Arial"/>
          <w:b/>
          <w:bCs/>
          <w:sz w:val="22"/>
          <w:szCs w:val="22"/>
        </w:rPr>
      </w:pPr>
    </w:p>
    <w:p w14:paraId="17360EA3" w14:textId="280099D8" w:rsidR="004C5E4E" w:rsidRDefault="004C5E4E" w:rsidP="004C5E4E">
      <w:pPr>
        <w:rPr>
          <w:rFonts w:ascii="Arial" w:hAnsi="Arial" w:cs="Arial"/>
          <w:sz w:val="22"/>
          <w:szCs w:val="22"/>
        </w:rPr>
      </w:pPr>
      <w:r>
        <w:rPr>
          <w:rFonts w:ascii="Arial" w:hAnsi="Arial"/>
          <w:sz w:val="22"/>
        </w:rPr>
        <w:t>For purposes of reimbursing the temporary accommodation costs it is permitted to follow the untaxed allowances for accommodation costs that civil servants can receive for a business trip. You may do so for employees who, from a cost perspective, are in similar circumstances to civil servants on a business trip. You are also required to allocate the same allowances as provided for under the collective labour agreement for central government (‘cao Rijk’) and also apply the same conditions. You must therefore bear in mind the minimum duration of the stay and the level of the allowances referred to in the ‘cao Rijk’, for example.</w:t>
      </w:r>
    </w:p>
    <w:p w14:paraId="1B272A62" w14:textId="77777777" w:rsidR="004C5E4E" w:rsidRPr="004C5E4E" w:rsidRDefault="004C5E4E" w:rsidP="004C5E4E">
      <w:pPr>
        <w:rPr>
          <w:rFonts w:ascii="Arial" w:hAnsi="Arial" w:cs="Arial"/>
          <w:sz w:val="22"/>
          <w:szCs w:val="22"/>
        </w:rPr>
      </w:pPr>
    </w:p>
    <w:p w14:paraId="69CBF076" w14:textId="77777777" w:rsidR="004C5E4E" w:rsidRPr="004C5E4E" w:rsidRDefault="004C5E4E" w:rsidP="004C5E4E">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b/>
          <w:bCs/>
          <w:sz w:val="22"/>
          <w:szCs w:val="22"/>
        </w:rPr>
      </w:pPr>
      <w:bookmarkStart w:id="49" w:name="_Hlk187255055"/>
      <w:r>
        <w:rPr>
          <w:rFonts w:ascii="Arial" w:hAnsi="Arial"/>
          <w:b/>
          <w:sz w:val="22"/>
        </w:rPr>
        <w:t xml:space="preserve">Please note: </w:t>
      </w:r>
    </w:p>
    <w:p w14:paraId="1B0500D7" w14:textId="7439D5CC" w:rsidR="004C5E4E" w:rsidRDefault="004C5E4E" w:rsidP="004C5E4E">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r>
        <w:rPr>
          <w:rFonts w:ascii="Arial" w:hAnsi="Arial"/>
          <w:sz w:val="22"/>
        </w:rPr>
        <w:t>The rules were tightened up in 2024. Previously, it was sufficient for the conditions to be similar. If you already had an allowance scheme in place before 2024, it was possible to continue applying it in 2024. Since 2025, however, you have had to comply with the new conditions.</w:t>
      </w:r>
    </w:p>
    <w:bookmarkEnd w:id="49"/>
    <w:p w14:paraId="60AD81E0" w14:textId="77777777" w:rsidR="004C5E4E" w:rsidRDefault="004C5E4E" w:rsidP="004C5E4E">
      <w:pPr>
        <w:rPr>
          <w:rFonts w:ascii="Arial" w:hAnsi="Arial" w:cs="Arial"/>
          <w:b/>
          <w:bCs/>
          <w:sz w:val="22"/>
          <w:szCs w:val="22"/>
        </w:rPr>
      </w:pPr>
    </w:p>
    <w:p w14:paraId="11B74D1C" w14:textId="1AA48416" w:rsidR="004C5E4E" w:rsidRDefault="004C5E4E" w:rsidP="004C5E4E">
      <w:pPr>
        <w:rPr>
          <w:rFonts w:ascii="Arial" w:hAnsi="Arial" w:cs="Arial"/>
          <w:sz w:val="22"/>
          <w:szCs w:val="22"/>
        </w:rPr>
      </w:pPr>
      <w:r>
        <w:rPr>
          <w:rFonts w:ascii="Arial" w:hAnsi="Arial"/>
          <w:sz w:val="22"/>
        </w:rPr>
        <w:t>The allowances and specific exemptions for civil servants on domestic business trips are currently as follows:</w:t>
      </w:r>
    </w:p>
    <w:p w14:paraId="6B50416E" w14:textId="77777777" w:rsidR="004C5E4E" w:rsidRPr="004C5E4E" w:rsidRDefault="004C5E4E" w:rsidP="004C5E4E">
      <w:pPr>
        <w:rPr>
          <w:rFonts w:ascii="Arial" w:hAnsi="Arial" w:cs="Arial"/>
          <w:sz w:val="22"/>
          <w:szCs w:val="22"/>
        </w:rPr>
      </w:pPr>
    </w:p>
    <w:tbl>
      <w:tblPr>
        <w:tblStyle w:val="Tabelraster"/>
        <w:tblW w:w="0" w:type="auto"/>
        <w:tblLook w:val="04A0" w:firstRow="1" w:lastRow="0" w:firstColumn="1" w:lastColumn="0" w:noHBand="0" w:noVBand="1"/>
      </w:tblPr>
      <w:tblGrid>
        <w:gridCol w:w="2830"/>
        <w:gridCol w:w="2835"/>
        <w:gridCol w:w="3273"/>
      </w:tblGrid>
      <w:tr w:rsidR="004C5E4E" w:rsidRPr="004C5E4E" w14:paraId="3FED294E" w14:textId="77777777" w:rsidTr="00931DD7">
        <w:trPr>
          <w:trHeight w:val="276"/>
        </w:trPr>
        <w:tc>
          <w:tcPr>
            <w:tcW w:w="2830" w:type="dxa"/>
          </w:tcPr>
          <w:p w14:paraId="4015E04C" w14:textId="77777777" w:rsidR="004C5E4E" w:rsidRPr="009C73A4" w:rsidRDefault="004C5E4E" w:rsidP="00022D1A">
            <w:pPr>
              <w:rPr>
                <w:rFonts w:ascii="Arial" w:hAnsi="Arial" w:cs="Arial"/>
                <w:b/>
                <w:bCs/>
                <w:sz w:val="22"/>
                <w:szCs w:val="22"/>
              </w:rPr>
            </w:pPr>
            <w:r>
              <w:rPr>
                <w:rFonts w:ascii="Arial" w:hAnsi="Arial"/>
                <w:b/>
                <w:sz w:val="22"/>
              </w:rPr>
              <w:t>Accommodation costs</w:t>
            </w:r>
          </w:p>
        </w:tc>
        <w:tc>
          <w:tcPr>
            <w:tcW w:w="2835" w:type="dxa"/>
          </w:tcPr>
          <w:p w14:paraId="224A9522" w14:textId="77777777" w:rsidR="004C5E4E" w:rsidRPr="009C73A4" w:rsidRDefault="004C5E4E" w:rsidP="00022D1A">
            <w:pPr>
              <w:rPr>
                <w:rFonts w:ascii="Arial" w:hAnsi="Arial" w:cs="Arial"/>
                <w:b/>
                <w:bCs/>
                <w:sz w:val="22"/>
                <w:szCs w:val="22"/>
              </w:rPr>
            </w:pPr>
            <w:r>
              <w:rPr>
                <w:rFonts w:ascii="Arial" w:hAnsi="Arial"/>
                <w:b/>
                <w:sz w:val="22"/>
              </w:rPr>
              <w:t>Allowance under 10.2 ‘cao Rijk’</w:t>
            </w:r>
          </w:p>
        </w:tc>
        <w:tc>
          <w:tcPr>
            <w:tcW w:w="3273" w:type="dxa"/>
          </w:tcPr>
          <w:p w14:paraId="224804CE" w14:textId="77777777" w:rsidR="004C5E4E" w:rsidRPr="009C73A4" w:rsidRDefault="004C5E4E" w:rsidP="00022D1A">
            <w:pPr>
              <w:rPr>
                <w:rFonts w:ascii="Arial" w:hAnsi="Arial" w:cs="Arial"/>
                <w:b/>
                <w:bCs/>
                <w:sz w:val="22"/>
                <w:szCs w:val="22"/>
              </w:rPr>
            </w:pPr>
            <w:r>
              <w:rPr>
                <w:rFonts w:ascii="Arial" w:hAnsi="Arial"/>
                <w:b/>
                <w:sz w:val="22"/>
              </w:rPr>
              <w:t>Specific exemption</w:t>
            </w:r>
          </w:p>
        </w:tc>
      </w:tr>
      <w:tr w:rsidR="004C5E4E" w:rsidRPr="004C5E4E" w14:paraId="37C98768" w14:textId="77777777" w:rsidTr="00931DD7">
        <w:trPr>
          <w:trHeight w:val="276"/>
        </w:trPr>
        <w:tc>
          <w:tcPr>
            <w:tcW w:w="2830" w:type="dxa"/>
          </w:tcPr>
          <w:p w14:paraId="08566058" w14:textId="77777777" w:rsidR="004C5E4E" w:rsidRPr="004C5E4E" w:rsidRDefault="004C5E4E" w:rsidP="00022D1A">
            <w:pPr>
              <w:rPr>
                <w:rFonts w:ascii="Arial" w:hAnsi="Arial" w:cs="Arial"/>
                <w:sz w:val="22"/>
                <w:szCs w:val="22"/>
              </w:rPr>
            </w:pPr>
            <w:r>
              <w:rPr>
                <w:rFonts w:ascii="Arial" w:hAnsi="Arial"/>
                <w:sz w:val="22"/>
              </w:rPr>
              <w:t>Petty expenses (daytime)</w:t>
            </w:r>
          </w:p>
        </w:tc>
        <w:tc>
          <w:tcPr>
            <w:tcW w:w="2835" w:type="dxa"/>
          </w:tcPr>
          <w:p w14:paraId="74BABCA0" w14:textId="0C7AA2DD" w:rsidR="004C5E4E" w:rsidRPr="004C5E4E" w:rsidRDefault="004C5E4E" w:rsidP="00022D1A">
            <w:pPr>
              <w:rPr>
                <w:rFonts w:ascii="Arial" w:hAnsi="Arial" w:cs="Arial"/>
                <w:sz w:val="22"/>
                <w:szCs w:val="22"/>
              </w:rPr>
            </w:pPr>
            <w:r>
              <w:rPr>
                <w:rFonts w:ascii="Arial" w:hAnsi="Arial"/>
                <w:sz w:val="22"/>
              </w:rPr>
              <w:t>€ 7.35</w:t>
            </w:r>
          </w:p>
        </w:tc>
        <w:tc>
          <w:tcPr>
            <w:tcW w:w="3273" w:type="dxa"/>
          </w:tcPr>
          <w:p w14:paraId="3AE329DB" w14:textId="77777777" w:rsidR="004C5E4E" w:rsidRPr="004C5E4E" w:rsidRDefault="004C5E4E" w:rsidP="00022D1A">
            <w:pPr>
              <w:rPr>
                <w:rFonts w:ascii="Arial" w:hAnsi="Arial" w:cs="Arial"/>
                <w:sz w:val="22"/>
                <w:szCs w:val="22"/>
              </w:rPr>
            </w:pPr>
            <w:r>
              <w:rPr>
                <w:rFonts w:ascii="Arial" w:hAnsi="Arial"/>
                <w:sz w:val="22"/>
              </w:rPr>
              <w:t>€ 6.27</w:t>
            </w:r>
          </w:p>
        </w:tc>
      </w:tr>
      <w:tr w:rsidR="004C5E4E" w:rsidRPr="004C5E4E" w14:paraId="795747B0" w14:textId="77777777" w:rsidTr="0017379E">
        <w:trPr>
          <w:trHeight w:val="174"/>
        </w:trPr>
        <w:tc>
          <w:tcPr>
            <w:tcW w:w="2830" w:type="dxa"/>
          </w:tcPr>
          <w:p w14:paraId="495C7A3F" w14:textId="1031455A" w:rsidR="004C5E4E" w:rsidRPr="004C5E4E" w:rsidRDefault="004C5E4E" w:rsidP="00022D1A">
            <w:pPr>
              <w:rPr>
                <w:rFonts w:ascii="Arial" w:hAnsi="Arial" w:cs="Arial"/>
                <w:sz w:val="22"/>
                <w:szCs w:val="22"/>
              </w:rPr>
            </w:pPr>
            <w:r>
              <w:rPr>
                <w:rFonts w:ascii="Arial" w:hAnsi="Arial"/>
                <w:sz w:val="22"/>
              </w:rPr>
              <w:t>Petty expenses (evening)</w:t>
            </w:r>
          </w:p>
        </w:tc>
        <w:tc>
          <w:tcPr>
            <w:tcW w:w="2835" w:type="dxa"/>
          </w:tcPr>
          <w:p w14:paraId="7BCA9814" w14:textId="4F992FC7" w:rsidR="004C5E4E" w:rsidRPr="004C5E4E" w:rsidRDefault="004C5E4E" w:rsidP="00022D1A">
            <w:pPr>
              <w:rPr>
                <w:rFonts w:ascii="Arial" w:hAnsi="Arial" w:cs="Arial"/>
                <w:sz w:val="22"/>
                <w:szCs w:val="22"/>
              </w:rPr>
            </w:pPr>
            <w:r>
              <w:rPr>
                <w:rFonts w:ascii="Arial" w:hAnsi="Arial"/>
                <w:sz w:val="22"/>
              </w:rPr>
              <w:t>€ 21.92</w:t>
            </w:r>
          </w:p>
        </w:tc>
        <w:tc>
          <w:tcPr>
            <w:tcW w:w="3273" w:type="dxa"/>
          </w:tcPr>
          <w:p w14:paraId="26392543" w14:textId="77777777" w:rsidR="004C5E4E" w:rsidRPr="004C5E4E" w:rsidRDefault="004C5E4E" w:rsidP="00022D1A">
            <w:pPr>
              <w:rPr>
                <w:rFonts w:ascii="Arial" w:hAnsi="Arial" w:cs="Arial"/>
                <w:sz w:val="22"/>
                <w:szCs w:val="22"/>
              </w:rPr>
            </w:pPr>
            <w:r>
              <w:rPr>
                <w:rFonts w:ascii="Arial" w:hAnsi="Arial"/>
                <w:sz w:val="22"/>
              </w:rPr>
              <w:t>€ 12.54</w:t>
            </w:r>
          </w:p>
        </w:tc>
      </w:tr>
      <w:tr w:rsidR="004C5E4E" w:rsidRPr="004C5E4E" w14:paraId="141BC0C4" w14:textId="77777777" w:rsidTr="00931DD7">
        <w:trPr>
          <w:trHeight w:val="276"/>
        </w:trPr>
        <w:tc>
          <w:tcPr>
            <w:tcW w:w="2830" w:type="dxa"/>
          </w:tcPr>
          <w:p w14:paraId="24662EAA" w14:textId="77777777" w:rsidR="004C5E4E" w:rsidRPr="004C5E4E" w:rsidRDefault="004C5E4E" w:rsidP="00022D1A">
            <w:pPr>
              <w:rPr>
                <w:rFonts w:ascii="Arial" w:hAnsi="Arial" w:cs="Arial"/>
                <w:sz w:val="22"/>
                <w:szCs w:val="22"/>
              </w:rPr>
            </w:pPr>
            <w:r>
              <w:rPr>
                <w:rFonts w:ascii="Arial" w:hAnsi="Arial"/>
                <w:sz w:val="22"/>
              </w:rPr>
              <w:t>Accommodation</w:t>
            </w:r>
          </w:p>
        </w:tc>
        <w:tc>
          <w:tcPr>
            <w:tcW w:w="2835" w:type="dxa"/>
          </w:tcPr>
          <w:p w14:paraId="7F18EFD1" w14:textId="2F31B21C" w:rsidR="004C5E4E" w:rsidRPr="004C5E4E" w:rsidRDefault="004C5E4E" w:rsidP="00022D1A">
            <w:pPr>
              <w:rPr>
                <w:rFonts w:ascii="Arial" w:hAnsi="Arial" w:cs="Arial"/>
                <w:sz w:val="22"/>
                <w:szCs w:val="22"/>
              </w:rPr>
            </w:pPr>
            <w:r>
              <w:rPr>
                <w:rFonts w:ascii="Arial" w:hAnsi="Arial"/>
                <w:sz w:val="22"/>
              </w:rPr>
              <w:t>€ 164.52</w:t>
            </w:r>
          </w:p>
        </w:tc>
        <w:tc>
          <w:tcPr>
            <w:tcW w:w="3273" w:type="dxa"/>
          </w:tcPr>
          <w:p w14:paraId="7AB530BD" w14:textId="77777777" w:rsidR="004C5E4E" w:rsidRPr="004C5E4E" w:rsidRDefault="004C5E4E" w:rsidP="00022D1A">
            <w:pPr>
              <w:rPr>
                <w:rFonts w:ascii="Arial" w:hAnsi="Arial" w:cs="Arial"/>
                <w:sz w:val="22"/>
                <w:szCs w:val="22"/>
              </w:rPr>
            </w:pPr>
            <w:r>
              <w:rPr>
                <w:rFonts w:ascii="Arial" w:hAnsi="Arial"/>
                <w:sz w:val="22"/>
              </w:rPr>
              <w:t>€ 150.55</w:t>
            </w:r>
          </w:p>
        </w:tc>
      </w:tr>
      <w:tr w:rsidR="004C5E4E" w:rsidRPr="004C5E4E" w14:paraId="023A1200" w14:textId="77777777" w:rsidTr="00931DD7">
        <w:trPr>
          <w:trHeight w:val="276"/>
        </w:trPr>
        <w:tc>
          <w:tcPr>
            <w:tcW w:w="2830" w:type="dxa"/>
          </w:tcPr>
          <w:p w14:paraId="07BEEDA8" w14:textId="77777777" w:rsidR="004C5E4E" w:rsidRPr="004C5E4E" w:rsidRDefault="004C5E4E" w:rsidP="00022D1A">
            <w:pPr>
              <w:rPr>
                <w:rFonts w:ascii="Arial" w:hAnsi="Arial" w:cs="Arial"/>
                <w:sz w:val="22"/>
                <w:szCs w:val="22"/>
              </w:rPr>
            </w:pPr>
            <w:r>
              <w:rPr>
                <w:rFonts w:ascii="Arial" w:hAnsi="Arial"/>
                <w:sz w:val="22"/>
              </w:rPr>
              <w:t>Breakfast</w:t>
            </w:r>
          </w:p>
        </w:tc>
        <w:tc>
          <w:tcPr>
            <w:tcW w:w="2835" w:type="dxa"/>
          </w:tcPr>
          <w:p w14:paraId="42B00053" w14:textId="17EA1D26" w:rsidR="004C5E4E" w:rsidRPr="004C5E4E" w:rsidRDefault="004C5E4E" w:rsidP="00022D1A">
            <w:pPr>
              <w:rPr>
                <w:rFonts w:ascii="Arial" w:hAnsi="Arial" w:cs="Arial"/>
                <w:sz w:val="22"/>
                <w:szCs w:val="22"/>
              </w:rPr>
            </w:pPr>
            <w:r>
              <w:rPr>
                <w:rFonts w:ascii="Arial" w:hAnsi="Arial"/>
                <w:sz w:val="22"/>
              </w:rPr>
              <w:t>€ 16.07</w:t>
            </w:r>
          </w:p>
        </w:tc>
        <w:tc>
          <w:tcPr>
            <w:tcW w:w="3273" w:type="dxa"/>
          </w:tcPr>
          <w:p w14:paraId="75095620" w14:textId="77777777" w:rsidR="004C5E4E" w:rsidRPr="004C5E4E" w:rsidRDefault="004C5E4E" w:rsidP="00022D1A">
            <w:pPr>
              <w:rPr>
                <w:rFonts w:ascii="Arial" w:hAnsi="Arial" w:cs="Arial"/>
                <w:sz w:val="22"/>
                <w:szCs w:val="22"/>
              </w:rPr>
            </w:pPr>
            <w:r>
              <w:rPr>
                <w:rFonts w:ascii="Arial" w:hAnsi="Arial"/>
                <w:sz w:val="22"/>
              </w:rPr>
              <w:t>€ 14.87</w:t>
            </w:r>
          </w:p>
        </w:tc>
      </w:tr>
      <w:tr w:rsidR="004C5E4E" w:rsidRPr="004C5E4E" w14:paraId="26187049" w14:textId="77777777" w:rsidTr="00931DD7">
        <w:trPr>
          <w:trHeight w:val="276"/>
        </w:trPr>
        <w:tc>
          <w:tcPr>
            <w:tcW w:w="2830" w:type="dxa"/>
          </w:tcPr>
          <w:p w14:paraId="08D12D98" w14:textId="77777777" w:rsidR="004C5E4E" w:rsidRPr="004C5E4E" w:rsidRDefault="004C5E4E" w:rsidP="00022D1A">
            <w:pPr>
              <w:rPr>
                <w:rFonts w:ascii="Arial" w:hAnsi="Arial" w:cs="Arial"/>
                <w:sz w:val="22"/>
                <w:szCs w:val="22"/>
              </w:rPr>
            </w:pPr>
            <w:r>
              <w:rPr>
                <w:rFonts w:ascii="Arial" w:hAnsi="Arial"/>
                <w:sz w:val="22"/>
              </w:rPr>
              <w:t>Lunch</w:t>
            </w:r>
          </w:p>
        </w:tc>
        <w:tc>
          <w:tcPr>
            <w:tcW w:w="2835" w:type="dxa"/>
          </w:tcPr>
          <w:p w14:paraId="5BCEDE69" w14:textId="2A945D92" w:rsidR="004C5E4E" w:rsidRPr="004C5E4E" w:rsidRDefault="004C5E4E" w:rsidP="00022D1A">
            <w:pPr>
              <w:rPr>
                <w:rFonts w:ascii="Arial" w:hAnsi="Arial" w:cs="Arial"/>
                <w:sz w:val="22"/>
                <w:szCs w:val="22"/>
              </w:rPr>
            </w:pPr>
            <w:r>
              <w:rPr>
                <w:rFonts w:ascii="Arial" w:hAnsi="Arial"/>
                <w:sz w:val="22"/>
              </w:rPr>
              <w:t>€ 22.19</w:t>
            </w:r>
          </w:p>
        </w:tc>
        <w:tc>
          <w:tcPr>
            <w:tcW w:w="3273" w:type="dxa"/>
          </w:tcPr>
          <w:p w14:paraId="2A3749D6" w14:textId="77777777" w:rsidR="004C5E4E" w:rsidRPr="004C5E4E" w:rsidRDefault="004C5E4E" w:rsidP="00022D1A">
            <w:pPr>
              <w:rPr>
                <w:rFonts w:ascii="Arial" w:hAnsi="Arial" w:cs="Arial"/>
                <w:sz w:val="22"/>
                <w:szCs w:val="22"/>
              </w:rPr>
            </w:pPr>
            <w:r>
              <w:rPr>
                <w:rFonts w:ascii="Arial" w:hAnsi="Arial"/>
                <w:sz w:val="22"/>
              </w:rPr>
              <w:t>€ 12.51</w:t>
            </w:r>
          </w:p>
        </w:tc>
      </w:tr>
      <w:tr w:rsidR="004C5E4E" w:rsidRPr="004C5E4E" w14:paraId="4A30CDDE" w14:textId="77777777" w:rsidTr="00931DD7">
        <w:trPr>
          <w:trHeight w:val="263"/>
        </w:trPr>
        <w:tc>
          <w:tcPr>
            <w:tcW w:w="2830" w:type="dxa"/>
          </w:tcPr>
          <w:p w14:paraId="12985652" w14:textId="77777777" w:rsidR="004C5E4E" w:rsidRPr="004C5E4E" w:rsidRDefault="004C5E4E" w:rsidP="00022D1A">
            <w:pPr>
              <w:rPr>
                <w:rFonts w:ascii="Arial" w:hAnsi="Arial" w:cs="Arial"/>
                <w:sz w:val="22"/>
                <w:szCs w:val="22"/>
              </w:rPr>
            </w:pPr>
            <w:r>
              <w:rPr>
                <w:rFonts w:ascii="Arial" w:hAnsi="Arial"/>
                <w:sz w:val="22"/>
              </w:rPr>
              <w:t>Evening meal</w:t>
            </w:r>
          </w:p>
        </w:tc>
        <w:tc>
          <w:tcPr>
            <w:tcW w:w="2835" w:type="dxa"/>
          </w:tcPr>
          <w:p w14:paraId="79344B4C" w14:textId="2AB1D57E" w:rsidR="004C5E4E" w:rsidRPr="004C5E4E" w:rsidRDefault="004C5E4E" w:rsidP="00022D1A">
            <w:pPr>
              <w:rPr>
                <w:rFonts w:ascii="Arial" w:hAnsi="Arial" w:cs="Arial"/>
                <w:sz w:val="22"/>
                <w:szCs w:val="22"/>
              </w:rPr>
            </w:pPr>
            <w:r>
              <w:rPr>
                <w:rFonts w:ascii="Arial" w:hAnsi="Arial"/>
                <w:sz w:val="22"/>
              </w:rPr>
              <w:t>€ 33.57</w:t>
            </w:r>
          </w:p>
        </w:tc>
        <w:tc>
          <w:tcPr>
            <w:tcW w:w="3273" w:type="dxa"/>
          </w:tcPr>
          <w:p w14:paraId="663995B2" w14:textId="77777777" w:rsidR="004C5E4E" w:rsidRPr="004C5E4E" w:rsidRDefault="004C5E4E" w:rsidP="00022D1A">
            <w:pPr>
              <w:rPr>
                <w:rFonts w:ascii="Arial" w:hAnsi="Arial" w:cs="Arial"/>
                <w:sz w:val="22"/>
                <w:szCs w:val="22"/>
              </w:rPr>
            </w:pPr>
            <w:r>
              <w:rPr>
                <w:rFonts w:ascii="Arial" w:hAnsi="Arial"/>
                <w:sz w:val="22"/>
              </w:rPr>
              <w:t>€ 31.40</w:t>
            </w:r>
          </w:p>
        </w:tc>
      </w:tr>
    </w:tbl>
    <w:p w14:paraId="4D568F52" w14:textId="77777777" w:rsidR="004C5E4E" w:rsidRDefault="004C5E4E" w:rsidP="004C5E4E">
      <w:pPr>
        <w:rPr>
          <w:rFonts w:ascii="Arial" w:hAnsi="Arial" w:cs="Arial"/>
          <w:sz w:val="22"/>
          <w:szCs w:val="22"/>
        </w:rPr>
      </w:pPr>
    </w:p>
    <w:p w14:paraId="64855635" w14:textId="3A9DE4BF" w:rsidR="00BD1686" w:rsidRPr="00BD1686" w:rsidRDefault="00BD1686" w:rsidP="004C5E4E">
      <w:pPr>
        <w:rPr>
          <w:rFonts w:ascii="Arial" w:hAnsi="Arial" w:cs="Arial"/>
          <w:i/>
          <w:iCs/>
          <w:sz w:val="22"/>
          <w:szCs w:val="22"/>
        </w:rPr>
      </w:pPr>
      <w:r>
        <w:rPr>
          <w:rFonts w:ascii="Arial" w:hAnsi="Arial"/>
          <w:i/>
          <w:sz w:val="22"/>
        </w:rPr>
        <w:t>The allowance under 10.2 ‘cao Rijk’ relates to the allowances from 1 January 2026. The portion benefiting from a specific exemption is published by the Tax and Customs Administration in the Payroll Taxes Handbook. The amounts included in the table above to which a specific exemption applies have been derived from the 2025 Payroll Taxes Handbook. At the time of releasing this Payroll Special the 2026 Payroll Taxes Handbook had not yet been published.</w:t>
      </w:r>
    </w:p>
    <w:p w14:paraId="63214FA9" w14:textId="77777777" w:rsidR="00BD1686" w:rsidRPr="004C5E4E" w:rsidRDefault="00BD1686" w:rsidP="004C5E4E">
      <w:pPr>
        <w:rPr>
          <w:rFonts w:ascii="Arial" w:hAnsi="Arial" w:cs="Arial"/>
          <w:sz w:val="22"/>
          <w:szCs w:val="22"/>
        </w:rPr>
      </w:pPr>
    </w:p>
    <w:p w14:paraId="0DADDF25" w14:textId="77777777" w:rsidR="004C5E4E" w:rsidRPr="004C5E4E" w:rsidRDefault="004C5E4E" w:rsidP="004C5E4E">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b/>
          <w:bCs/>
          <w:sz w:val="22"/>
          <w:szCs w:val="22"/>
        </w:rPr>
      </w:pPr>
      <w:r>
        <w:rPr>
          <w:rFonts w:ascii="Arial" w:hAnsi="Arial"/>
          <w:b/>
          <w:sz w:val="22"/>
        </w:rPr>
        <w:t xml:space="preserve">Please note: </w:t>
      </w:r>
    </w:p>
    <w:p w14:paraId="43E8FB08" w14:textId="77777777" w:rsidR="004C5E4E" w:rsidRPr="004C5E4E" w:rsidRDefault="004C5E4E" w:rsidP="004C5E4E">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r>
        <w:rPr>
          <w:rFonts w:ascii="Arial" w:hAnsi="Arial"/>
          <w:sz w:val="22"/>
        </w:rPr>
        <w:t xml:space="preserve">Besides following these allowances, you also have to apply the same conditions. These conditions can be found in section 10.2 of the ‘cao Rijk’. </w:t>
      </w:r>
    </w:p>
    <w:p w14:paraId="0FE8352D" w14:textId="5BF32F28" w:rsidR="004C5E4E" w:rsidRDefault="004C5E4E" w:rsidP="004C5E4E">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r>
        <w:rPr>
          <w:rFonts w:ascii="Arial" w:hAnsi="Arial"/>
          <w:sz w:val="22"/>
        </w:rPr>
        <w:lastRenderedPageBreak/>
        <w:t>They state, amongst other things, that a civil servant who claims the costs of a business trip does not have to enclose proof of payment for the above expenses. You can therefore reimburse these costs to your employee without an invoice or proof of payment having to be presented. It must, of course, be demonstrated that the employee actually travelled and stayed overnight for work purposes.</w:t>
      </w:r>
    </w:p>
    <w:p w14:paraId="7C627FAB" w14:textId="77777777" w:rsidR="004C5E4E" w:rsidRPr="004C5E4E" w:rsidRDefault="004C5E4E" w:rsidP="004C5E4E">
      <w:pPr>
        <w:rPr>
          <w:rFonts w:ascii="Arial" w:hAnsi="Arial" w:cs="Arial"/>
          <w:sz w:val="22"/>
          <w:szCs w:val="22"/>
        </w:rPr>
      </w:pPr>
    </w:p>
    <w:p w14:paraId="3FB300CA" w14:textId="77777777" w:rsidR="004C5E4E" w:rsidRPr="004C5E4E" w:rsidRDefault="004C5E4E" w:rsidP="004C5E4E">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b/>
          <w:bCs/>
          <w:sz w:val="22"/>
          <w:szCs w:val="22"/>
        </w:rPr>
      </w:pPr>
      <w:r>
        <w:rPr>
          <w:rFonts w:ascii="Arial" w:hAnsi="Arial"/>
          <w:b/>
          <w:sz w:val="22"/>
        </w:rPr>
        <w:t xml:space="preserve">Please note: </w:t>
      </w:r>
    </w:p>
    <w:p w14:paraId="584681D2" w14:textId="5B575330" w:rsidR="004C5E4E" w:rsidRDefault="004C5E4E" w:rsidP="004C5E4E">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r>
        <w:rPr>
          <w:rFonts w:ascii="Arial" w:hAnsi="Arial"/>
          <w:sz w:val="22"/>
        </w:rPr>
        <w:t>You therefore need to follow the amounts set out in the ‘cao Rijk’. If the allowance under this collective labour agreement is higher than the specific exemption, the surplus is regarded as individual salary of the employee. You can also opt to allocate it to the fixed budget. If the fixed budget is exceeded in a particular year, you owe a final levy of 80% on the surplus amount.</w:t>
      </w:r>
    </w:p>
    <w:p w14:paraId="728260C4" w14:textId="77777777" w:rsidR="004C5E4E" w:rsidRPr="004C5E4E" w:rsidRDefault="004C5E4E" w:rsidP="004C5E4E">
      <w:pPr>
        <w:rPr>
          <w:rFonts w:ascii="Arial" w:hAnsi="Arial" w:cs="Arial"/>
          <w:sz w:val="22"/>
          <w:szCs w:val="22"/>
        </w:rPr>
      </w:pPr>
    </w:p>
    <w:p w14:paraId="67C398D3" w14:textId="426A5E16" w:rsidR="004B2F9D" w:rsidRPr="004C5E4E" w:rsidRDefault="004C5E4E" w:rsidP="004C5E4E">
      <w:pPr>
        <w:rPr>
          <w:rFonts w:ascii="Arial" w:hAnsi="Arial" w:cs="Arial"/>
          <w:sz w:val="22"/>
          <w:szCs w:val="22"/>
        </w:rPr>
      </w:pPr>
      <w:r>
        <w:rPr>
          <w:rFonts w:ascii="Arial" w:hAnsi="Arial"/>
          <w:sz w:val="22"/>
        </w:rPr>
        <w:t xml:space="preserve">The conditions and amounts included in the ‘cao Rijk’ must also be followed for foreign business trips (see </w:t>
      </w:r>
      <w:hyperlink r:id="rId22" w:history="1">
        <w:r>
          <w:rPr>
            <w:rStyle w:val="Hyperlink"/>
            <w:rFonts w:ascii="Arial" w:hAnsi="Arial"/>
            <w:sz w:val="22"/>
          </w:rPr>
          <w:t>section 10.3 of the ‘cao Rijk’</w:t>
        </w:r>
      </w:hyperlink>
      <w:r>
        <w:rPr>
          <w:rFonts w:ascii="Arial" w:hAnsi="Arial"/>
          <w:sz w:val="22"/>
        </w:rPr>
        <w:t xml:space="preserve">). The calculation of the amounts for foreign business trips depends on the temporary accommodation. An overview can be found in </w:t>
      </w:r>
      <w:hyperlink r:id="rId23" w:history="1">
        <w:r>
          <w:rPr>
            <w:rStyle w:val="Hyperlink"/>
            <w:rFonts w:ascii="Arial" w:hAnsi="Arial"/>
            <w:sz w:val="22"/>
          </w:rPr>
          <w:t>appendix 6 to the ‘cao Rijk’</w:t>
        </w:r>
      </w:hyperlink>
      <w:r>
        <w:rPr>
          <w:rFonts w:ascii="Arial" w:hAnsi="Arial"/>
          <w:sz w:val="22"/>
        </w:rPr>
        <w:t xml:space="preserve">. </w:t>
      </w:r>
    </w:p>
    <w:bookmarkEnd w:id="48"/>
    <w:p w14:paraId="71183DFA" w14:textId="3D551D00" w:rsidR="00212246" w:rsidRDefault="00212246" w:rsidP="006D5CAB">
      <w:pPr>
        <w:rPr>
          <w:rFonts w:ascii="Arial" w:hAnsi="Arial" w:cs="Arial"/>
          <w:color w:val="000000"/>
          <w:sz w:val="22"/>
          <w:szCs w:val="22"/>
        </w:rPr>
      </w:pPr>
    </w:p>
    <w:p w14:paraId="00B4BFED" w14:textId="77777777" w:rsidR="00B24425" w:rsidRPr="00B24425" w:rsidRDefault="00B24425" w:rsidP="00957F2F">
      <w:pPr>
        <w:pStyle w:val="Kop2"/>
        <w:ind w:hanging="283"/>
        <w:rPr>
          <w:szCs w:val="24"/>
        </w:rPr>
      </w:pPr>
      <w:r>
        <w:t xml:space="preserve">Payroll tax owed in the case of </w:t>
      </w:r>
      <w:proofErr w:type="gramStart"/>
      <w:r>
        <w:t>outplacement?</w:t>
      </w:r>
      <w:proofErr w:type="gramEnd"/>
    </w:p>
    <w:p w14:paraId="6C374EE0" w14:textId="77777777" w:rsidR="00B24425" w:rsidRDefault="00B24425" w:rsidP="00B24425">
      <w:pPr>
        <w:rPr>
          <w:rFonts w:ascii="Arial" w:hAnsi="Arial" w:cs="Arial"/>
          <w:sz w:val="22"/>
          <w:szCs w:val="22"/>
        </w:rPr>
      </w:pPr>
    </w:p>
    <w:p w14:paraId="31338E96" w14:textId="2CD7C1EC" w:rsidR="00B24425" w:rsidRPr="00B24425" w:rsidRDefault="00B24425" w:rsidP="00B24425">
      <w:pPr>
        <w:rPr>
          <w:rFonts w:ascii="Arial" w:hAnsi="Arial" w:cs="Arial"/>
          <w:sz w:val="22"/>
          <w:szCs w:val="22"/>
        </w:rPr>
      </w:pPr>
      <w:r>
        <w:rPr>
          <w:rFonts w:ascii="Arial" w:hAnsi="Arial"/>
          <w:sz w:val="22"/>
        </w:rPr>
        <w:t>An outplacement process supports an employee with the transition from his/her current job to a different job. You can agree with your employee that you will cover the costs of the outplacement process. Whether payroll tax is owed and, if so, when depends on the facts and circumstances.</w:t>
      </w:r>
    </w:p>
    <w:p w14:paraId="028898F0" w14:textId="77777777" w:rsidR="00B24425" w:rsidRDefault="00B24425" w:rsidP="00B24425">
      <w:pPr>
        <w:rPr>
          <w:rFonts w:ascii="Arial" w:hAnsi="Arial" w:cs="Arial"/>
          <w:b/>
          <w:bCs/>
          <w:sz w:val="22"/>
          <w:szCs w:val="22"/>
        </w:rPr>
      </w:pPr>
    </w:p>
    <w:p w14:paraId="064A67CF" w14:textId="77777777" w:rsidR="00B24425" w:rsidRDefault="00B24425" w:rsidP="00B24425">
      <w:pPr>
        <w:rPr>
          <w:rFonts w:ascii="Arial" w:hAnsi="Arial" w:cs="Arial"/>
          <w:b/>
          <w:bCs/>
          <w:sz w:val="22"/>
          <w:szCs w:val="22"/>
        </w:rPr>
      </w:pPr>
      <w:r>
        <w:rPr>
          <w:rFonts w:ascii="Arial" w:hAnsi="Arial"/>
          <w:b/>
          <w:sz w:val="22"/>
        </w:rPr>
        <w:t>Outplacement during employment</w:t>
      </w:r>
    </w:p>
    <w:p w14:paraId="21F1DFC5" w14:textId="163AD10A" w:rsidR="00B24425" w:rsidRPr="00B24425" w:rsidRDefault="00B24425" w:rsidP="00B24425">
      <w:pPr>
        <w:rPr>
          <w:rFonts w:ascii="Arial" w:hAnsi="Arial" w:cs="Arial"/>
          <w:sz w:val="22"/>
          <w:szCs w:val="22"/>
        </w:rPr>
      </w:pPr>
      <w:r>
        <w:rPr>
          <w:rFonts w:ascii="Arial" w:hAnsi="Arial"/>
          <w:sz w:val="22"/>
        </w:rPr>
        <w:t>If the employee undertakes the outplacement process while still in employment with you, you can take advantage of a specific exemption. You will then not have to pay any payroll tax on it and will also not need to use any of your fixed budget.</w:t>
      </w:r>
    </w:p>
    <w:p w14:paraId="02357C6B" w14:textId="77777777" w:rsidR="00B24425" w:rsidRDefault="00B24425" w:rsidP="00B24425">
      <w:pPr>
        <w:rPr>
          <w:rFonts w:ascii="Arial" w:hAnsi="Arial" w:cs="Arial"/>
          <w:b/>
          <w:bCs/>
          <w:sz w:val="22"/>
          <w:szCs w:val="22"/>
        </w:rPr>
      </w:pPr>
    </w:p>
    <w:p w14:paraId="57224E49" w14:textId="278A5D99" w:rsidR="00B24425" w:rsidRPr="00B24425" w:rsidRDefault="00B24425" w:rsidP="00B24425">
      <w:pPr>
        <w:shd w:val="clear" w:color="auto" w:fill="D9D9D9" w:themeFill="background1" w:themeFillShade="D9"/>
        <w:rPr>
          <w:rFonts w:ascii="Arial" w:hAnsi="Arial" w:cs="Arial"/>
          <w:sz w:val="22"/>
          <w:szCs w:val="22"/>
        </w:rPr>
      </w:pPr>
      <w:r>
        <w:rPr>
          <w:rFonts w:ascii="Arial" w:hAnsi="Arial"/>
          <w:b/>
          <w:sz w:val="22"/>
        </w:rPr>
        <w:t>Please note:</w:t>
      </w:r>
      <w:r>
        <w:rPr>
          <w:rFonts w:ascii="Arial" w:hAnsi="Arial"/>
          <w:b/>
          <w:sz w:val="22"/>
        </w:rPr>
        <w:br/>
      </w:r>
      <w:r>
        <w:rPr>
          <w:rFonts w:ascii="Arial" w:hAnsi="Arial"/>
          <w:sz w:val="22"/>
        </w:rPr>
        <w:t>The above only applies if the costs of outplacement satisfy the standard-practice test applicable under the work-related expenses scheme.</w:t>
      </w:r>
    </w:p>
    <w:p w14:paraId="1749BBD2" w14:textId="77777777" w:rsidR="00B24425" w:rsidRDefault="00B24425" w:rsidP="00B24425">
      <w:pPr>
        <w:rPr>
          <w:rFonts w:ascii="Arial" w:hAnsi="Arial" w:cs="Arial"/>
          <w:b/>
          <w:bCs/>
          <w:sz w:val="22"/>
          <w:szCs w:val="22"/>
        </w:rPr>
      </w:pPr>
    </w:p>
    <w:p w14:paraId="2DC96CFE" w14:textId="77777777" w:rsidR="00B24425" w:rsidRDefault="00B24425" w:rsidP="00B24425">
      <w:pPr>
        <w:rPr>
          <w:rFonts w:ascii="Arial" w:hAnsi="Arial" w:cs="Arial"/>
          <w:b/>
          <w:bCs/>
          <w:sz w:val="22"/>
          <w:szCs w:val="22"/>
        </w:rPr>
      </w:pPr>
      <w:r>
        <w:rPr>
          <w:rFonts w:ascii="Arial" w:hAnsi="Arial"/>
          <w:b/>
          <w:sz w:val="22"/>
        </w:rPr>
        <w:t>Outplacement after employment</w:t>
      </w:r>
    </w:p>
    <w:p w14:paraId="5A22342D" w14:textId="0A4B670D" w:rsidR="00B24425" w:rsidRDefault="00B24425" w:rsidP="00B24425">
      <w:pPr>
        <w:rPr>
          <w:rFonts w:ascii="Arial" w:hAnsi="Arial" w:cs="Arial"/>
          <w:sz w:val="22"/>
          <w:szCs w:val="22"/>
        </w:rPr>
      </w:pPr>
      <w:r>
        <w:rPr>
          <w:rFonts w:ascii="Arial" w:hAnsi="Arial"/>
          <w:sz w:val="22"/>
        </w:rPr>
        <w:t>If you pay for the outplacement process for your employee after he/she has left your employment, the Tax and Customs Administration says that you cannot apply the specific exemption. In this case the outplacement process constitutes salary from previous employment, which is not covered by the specific exemption.</w:t>
      </w:r>
    </w:p>
    <w:p w14:paraId="0EA650EE" w14:textId="77777777" w:rsidR="00B24425" w:rsidRPr="00B24425" w:rsidRDefault="00B24425" w:rsidP="00B24425">
      <w:pPr>
        <w:rPr>
          <w:rFonts w:ascii="Arial" w:hAnsi="Arial" w:cs="Arial"/>
          <w:sz w:val="22"/>
          <w:szCs w:val="22"/>
        </w:rPr>
      </w:pPr>
    </w:p>
    <w:p w14:paraId="3DAA54F0" w14:textId="77777777" w:rsidR="00B24425" w:rsidRDefault="00B24425" w:rsidP="00B24425">
      <w:pPr>
        <w:rPr>
          <w:rFonts w:ascii="Arial" w:hAnsi="Arial" w:cs="Arial"/>
          <w:b/>
          <w:bCs/>
          <w:sz w:val="22"/>
          <w:szCs w:val="22"/>
        </w:rPr>
      </w:pPr>
      <w:r>
        <w:rPr>
          <w:rFonts w:ascii="Arial" w:hAnsi="Arial"/>
          <w:b/>
          <w:sz w:val="22"/>
        </w:rPr>
        <w:t>Outplacement in the case of a settlement agreement</w:t>
      </w:r>
    </w:p>
    <w:p w14:paraId="6D3888D9" w14:textId="015F9114" w:rsidR="00B24425" w:rsidRPr="00B24425" w:rsidRDefault="00B24425" w:rsidP="00B24425">
      <w:pPr>
        <w:rPr>
          <w:rFonts w:ascii="Arial" w:hAnsi="Arial" w:cs="Arial"/>
          <w:sz w:val="22"/>
          <w:szCs w:val="22"/>
        </w:rPr>
      </w:pPr>
      <w:hyperlink r:id="rId24" w:history="1">
        <w:r>
          <w:rPr>
            <w:rStyle w:val="Hyperlink"/>
            <w:rFonts w:ascii="Arial" w:hAnsi="Arial"/>
            <w:sz w:val="22"/>
          </w:rPr>
          <w:t>Questions</w:t>
        </w:r>
      </w:hyperlink>
      <w:r>
        <w:rPr>
          <w:rFonts w:ascii="Arial" w:hAnsi="Arial"/>
          <w:sz w:val="22"/>
        </w:rPr>
        <w:t xml:space="preserve"> have been put to the Tax and Customs Administration regarding two situations in which an employer and employee reached a settlement agreement to terminate the employment relationship:</w:t>
      </w:r>
    </w:p>
    <w:p w14:paraId="2CE6D941" w14:textId="77777777" w:rsidR="00B24425" w:rsidRPr="00B24425" w:rsidRDefault="00B24425" w:rsidP="00B24425">
      <w:pPr>
        <w:numPr>
          <w:ilvl w:val="0"/>
          <w:numId w:val="41"/>
        </w:numPr>
        <w:rPr>
          <w:rFonts w:ascii="Arial" w:hAnsi="Arial" w:cs="Arial"/>
          <w:sz w:val="22"/>
          <w:szCs w:val="22"/>
        </w:rPr>
      </w:pPr>
      <w:r>
        <w:rPr>
          <w:rFonts w:ascii="Arial" w:hAnsi="Arial"/>
          <w:sz w:val="22"/>
        </w:rPr>
        <w:t>In one situation it was agreed that the employee was entitled to an outplacement process after leaving the company, this outplacement process also did not begin until after he had left and the invoices were not settled until after the end of employment.</w:t>
      </w:r>
    </w:p>
    <w:p w14:paraId="2F296629" w14:textId="77777777" w:rsidR="00B24425" w:rsidRPr="00B24425" w:rsidRDefault="00B24425" w:rsidP="00B24425">
      <w:pPr>
        <w:numPr>
          <w:ilvl w:val="0"/>
          <w:numId w:val="41"/>
        </w:numPr>
        <w:rPr>
          <w:rFonts w:ascii="Arial" w:hAnsi="Arial" w:cs="Arial"/>
          <w:sz w:val="22"/>
          <w:szCs w:val="22"/>
        </w:rPr>
      </w:pPr>
      <w:r>
        <w:rPr>
          <w:rFonts w:ascii="Arial" w:hAnsi="Arial"/>
          <w:sz w:val="22"/>
        </w:rPr>
        <w:t>In the other situation the agreement was that the employee was entitled to an outplacement process if he had not found new work within three months of the employment relationship ending.</w:t>
      </w:r>
    </w:p>
    <w:p w14:paraId="5104317A" w14:textId="77777777" w:rsidR="00B24425" w:rsidRDefault="00B24425" w:rsidP="00B24425">
      <w:pPr>
        <w:rPr>
          <w:rFonts w:ascii="Arial" w:hAnsi="Arial" w:cs="Arial"/>
          <w:sz w:val="22"/>
          <w:szCs w:val="22"/>
        </w:rPr>
      </w:pPr>
    </w:p>
    <w:p w14:paraId="6240FAAD" w14:textId="01C72C89" w:rsidR="00B24425" w:rsidRPr="00B24425" w:rsidRDefault="00B24425" w:rsidP="00B24425">
      <w:pPr>
        <w:rPr>
          <w:rFonts w:ascii="Arial" w:hAnsi="Arial" w:cs="Arial"/>
          <w:sz w:val="22"/>
          <w:szCs w:val="22"/>
        </w:rPr>
      </w:pPr>
      <w:r>
        <w:rPr>
          <w:rFonts w:ascii="Arial" w:hAnsi="Arial"/>
          <w:sz w:val="22"/>
        </w:rPr>
        <w:lastRenderedPageBreak/>
        <w:t>The Tax and Customs Administration responded that in both situations the moment when the employee could benefit from the outplacement process was after the end of employment, as the employee was only entitled to the outplacement process after leaving the company. In such a situation the outplacement process constitutes salary from previous employment and the specific exemption cannot be applied.</w:t>
      </w:r>
    </w:p>
    <w:p w14:paraId="5B2C8F23" w14:textId="77777777" w:rsidR="00B24425" w:rsidRDefault="00B24425" w:rsidP="00B24425">
      <w:pPr>
        <w:rPr>
          <w:rFonts w:ascii="Arial" w:hAnsi="Arial" w:cs="Arial"/>
          <w:b/>
          <w:bCs/>
          <w:sz w:val="22"/>
          <w:szCs w:val="22"/>
        </w:rPr>
      </w:pPr>
    </w:p>
    <w:p w14:paraId="00C2C640" w14:textId="77777777" w:rsidR="00B24425" w:rsidRDefault="00B24425" w:rsidP="00B24425">
      <w:pPr>
        <w:rPr>
          <w:rFonts w:ascii="Arial" w:hAnsi="Arial" w:cs="Arial"/>
          <w:b/>
          <w:bCs/>
          <w:sz w:val="22"/>
          <w:szCs w:val="22"/>
        </w:rPr>
      </w:pPr>
      <w:r>
        <w:rPr>
          <w:rFonts w:ascii="Arial" w:hAnsi="Arial"/>
          <w:b/>
          <w:sz w:val="22"/>
        </w:rPr>
        <w:t>Can other agreements be made?</w:t>
      </w:r>
    </w:p>
    <w:p w14:paraId="71DD9922" w14:textId="662E0D16" w:rsidR="00B24425" w:rsidRDefault="00B24425" w:rsidP="00B24425">
      <w:pPr>
        <w:rPr>
          <w:rFonts w:ascii="Arial" w:hAnsi="Arial" w:cs="Arial"/>
          <w:sz w:val="22"/>
          <w:szCs w:val="22"/>
        </w:rPr>
      </w:pPr>
      <w:r>
        <w:rPr>
          <w:rFonts w:ascii="Arial" w:hAnsi="Arial"/>
          <w:sz w:val="22"/>
        </w:rPr>
        <w:t>In the situations described above the employers not only have to cover the cost of the outplacement, but also the payroll tax due on it. If they had known this in advance, they would possibly have made different agreements with the employee.</w:t>
      </w:r>
    </w:p>
    <w:p w14:paraId="6006774B" w14:textId="77777777" w:rsidR="00B24425" w:rsidRPr="00B24425" w:rsidRDefault="00B24425" w:rsidP="00B24425">
      <w:pPr>
        <w:rPr>
          <w:rFonts w:ascii="Arial" w:hAnsi="Arial" w:cs="Arial"/>
          <w:sz w:val="22"/>
          <w:szCs w:val="22"/>
        </w:rPr>
      </w:pPr>
    </w:p>
    <w:p w14:paraId="5D48A8D5" w14:textId="77777777" w:rsidR="00B24425" w:rsidRDefault="00B24425" w:rsidP="00B24425">
      <w:pPr>
        <w:rPr>
          <w:rFonts w:ascii="Arial" w:hAnsi="Arial" w:cs="Arial"/>
          <w:sz w:val="22"/>
          <w:szCs w:val="22"/>
        </w:rPr>
      </w:pPr>
      <w:r>
        <w:rPr>
          <w:rFonts w:ascii="Arial" w:hAnsi="Arial"/>
          <w:sz w:val="22"/>
        </w:rPr>
        <w:t>For example, they may have started the outplacement process during employment (in this case all invoices must also have been paid during employment) or they may have agreed that the employer would reimburse an amount for outplacement, with any payroll tax being payable by the employee.</w:t>
      </w:r>
    </w:p>
    <w:p w14:paraId="68E717BE" w14:textId="77777777" w:rsidR="00667DA2" w:rsidRPr="00B24425" w:rsidRDefault="00667DA2" w:rsidP="00B24425">
      <w:pPr>
        <w:rPr>
          <w:rFonts w:ascii="Arial" w:hAnsi="Arial" w:cs="Arial"/>
          <w:sz w:val="22"/>
          <w:szCs w:val="22"/>
        </w:rPr>
      </w:pPr>
    </w:p>
    <w:p w14:paraId="3D0EAB26" w14:textId="088E56B2" w:rsidR="00661935" w:rsidRDefault="00183C84" w:rsidP="00957F2F">
      <w:pPr>
        <w:pStyle w:val="Kop2"/>
        <w:ind w:hanging="283"/>
      </w:pPr>
      <w:r>
        <w:t>‘Cafeteria scheme’ can be cost-neutral</w:t>
      </w:r>
    </w:p>
    <w:p w14:paraId="429F24A4" w14:textId="54F02A41" w:rsidR="00D62EA0" w:rsidRDefault="00D62EA0" w:rsidP="00D62EA0">
      <w:pPr>
        <w:rPr>
          <w:rFonts w:ascii="Arial" w:hAnsi="Arial" w:cs="Arial"/>
        </w:rPr>
      </w:pPr>
    </w:p>
    <w:p w14:paraId="4D843D71" w14:textId="5C6F467C" w:rsidR="00D62EA0" w:rsidRDefault="00183C84" w:rsidP="006D5CAB">
      <w:pPr>
        <w:rPr>
          <w:rFonts w:ascii="Arial" w:hAnsi="Arial" w:cs="Arial"/>
          <w:color w:val="000000"/>
          <w:sz w:val="22"/>
          <w:szCs w:val="22"/>
        </w:rPr>
      </w:pPr>
      <w:r>
        <w:rPr>
          <w:rFonts w:ascii="Arial" w:hAnsi="Arial"/>
          <w:color w:val="000000"/>
          <w:sz w:val="22"/>
        </w:rPr>
        <w:t>By means of a ‘cafeteria scheme’ you can allow employees to exchange gross salary for an allowance for specific purposes set out in the scheme. If a specific exemption from payroll tax applies to such a purpose, the gross salary can be paid out net, as the allowance benefiting from a specific exemption has taken its place. Your employee may use the whole of the exchanged amount for the purpose in question.</w:t>
      </w:r>
    </w:p>
    <w:p w14:paraId="6BD76031" w14:textId="33EFF11E" w:rsidR="00183C84" w:rsidRDefault="00183C84" w:rsidP="006D5CAB">
      <w:pPr>
        <w:rPr>
          <w:rFonts w:ascii="Arial" w:hAnsi="Arial" w:cs="Arial"/>
          <w:color w:val="000000"/>
          <w:sz w:val="22"/>
          <w:szCs w:val="22"/>
        </w:rPr>
      </w:pPr>
    </w:p>
    <w:p w14:paraId="452853B7" w14:textId="113A6234" w:rsidR="00183C84" w:rsidRDefault="00183C84" w:rsidP="006D5CAB">
      <w:pPr>
        <w:rPr>
          <w:rFonts w:ascii="Arial" w:hAnsi="Arial" w:cs="Arial"/>
          <w:color w:val="000000"/>
          <w:sz w:val="22"/>
          <w:szCs w:val="22"/>
        </w:rPr>
      </w:pPr>
      <w:r>
        <w:rPr>
          <w:rFonts w:ascii="Arial" w:hAnsi="Arial"/>
          <w:color w:val="000000"/>
          <w:sz w:val="22"/>
        </w:rPr>
        <w:t>If there is no specific exemption, you can designate the allowance as salary for final levy purposes under the fixed budget, provided that this satisfies the standard-practice criterion. In this case too the gross salary can be paid out net. As an employer, however, you may then come up against a tax liability. This is the case if the total allowances and benefits in kind that you allocate to the fixed budget in a particular year exceed the amount of your fixed budget. You are then required to pay a final levy of 80% on the surplus amount.</w:t>
      </w:r>
    </w:p>
    <w:p w14:paraId="268BC62B" w14:textId="07D624A9" w:rsidR="00183C84" w:rsidRDefault="00183C84" w:rsidP="006D5CAB">
      <w:pPr>
        <w:rPr>
          <w:rFonts w:ascii="Arial" w:hAnsi="Arial" w:cs="Arial"/>
          <w:color w:val="000000"/>
          <w:sz w:val="22"/>
          <w:szCs w:val="22"/>
        </w:rPr>
      </w:pPr>
    </w:p>
    <w:p w14:paraId="1FC31D78" w14:textId="45B58B79" w:rsidR="00183C84" w:rsidRPr="00F537A3" w:rsidRDefault="002000B6" w:rsidP="006D5CAB">
      <w:pPr>
        <w:rPr>
          <w:rFonts w:ascii="Arial" w:hAnsi="Arial" w:cs="Arial"/>
          <w:sz w:val="22"/>
          <w:szCs w:val="22"/>
        </w:rPr>
      </w:pPr>
      <w:r>
        <w:rPr>
          <w:rFonts w:ascii="Arial" w:hAnsi="Arial"/>
          <w:sz w:val="22"/>
        </w:rPr>
        <w:t xml:space="preserve">In principle, the Tax and Customs Administration will not approve an exchange under a cafeteria scheme if the exchange results in a transaction with foreseeable adverse consequences for the employee. In April 2024, however, the Tax and Customs Administration confirmed that, when exchanging gross salary under a cafeteria scheme, it is permitted to </w:t>
      </w:r>
      <w:proofErr w:type="gramStart"/>
      <w:r>
        <w:rPr>
          <w:rFonts w:ascii="Arial" w:hAnsi="Arial"/>
          <w:sz w:val="22"/>
        </w:rPr>
        <w:t>take into account</w:t>
      </w:r>
      <w:proofErr w:type="gramEnd"/>
      <w:r>
        <w:rPr>
          <w:rFonts w:ascii="Arial" w:hAnsi="Arial"/>
          <w:sz w:val="22"/>
        </w:rPr>
        <w:t xml:space="preserve"> any final levy that the employer would have to pay </w:t>
      </w:r>
      <w:proofErr w:type="gramStart"/>
      <w:r>
        <w:rPr>
          <w:rFonts w:ascii="Arial" w:hAnsi="Arial"/>
          <w:sz w:val="22"/>
        </w:rPr>
        <w:t>as a consequence of</w:t>
      </w:r>
      <w:proofErr w:type="gramEnd"/>
      <w:r>
        <w:rPr>
          <w:rFonts w:ascii="Arial" w:hAnsi="Arial"/>
          <w:sz w:val="22"/>
        </w:rPr>
        <w:t xml:space="preserve"> exceeding the fixed budget. You can therefore agree with your employee that you will exchange a lower amount so that the exchange is also cost-neutral for you as an employer.</w:t>
      </w:r>
    </w:p>
    <w:p w14:paraId="0113E757" w14:textId="60B47BC5" w:rsidR="00B454EC" w:rsidRDefault="00B454EC" w:rsidP="006D5CAB">
      <w:pPr>
        <w:rPr>
          <w:rFonts w:ascii="Arial" w:hAnsi="Arial" w:cs="Arial"/>
          <w:color w:val="444444"/>
          <w:sz w:val="22"/>
          <w:szCs w:val="22"/>
        </w:rPr>
      </w:pPr>
    </w:p>
    <w:p w14:paraId="002583E4" w14:textId="6C673454" w:rsidR="00B454EC" w:rsidRPr="00B454EC" w:rsidRDefault="00B454EC" w:rsidP="00B454EC">
      <w:pPr>
        <w:rPr>
          <w:rFonts w:ascii="Arial" w:hAnsi="Arial" w:cs="Arial"/>
          <w:color w:val="000000"/>
          <w:sz w:val="22"/>
          <w:szCs w:val="22"/>
        </w:rPr>
      </w:pPr>
      <w:r>
        <w:rPr>
          <w:rFonts w:ascii="Arial" w:hAnsi="Arial"/>
          <w:i/>
          <w:color w:val="000000"/>
          <w:sz w:val="22"/>
        </w:rPr>
        <w:t>Example</w:t>
      </w:r>
      <w:r>
        <w:rPr>
          <w:rFonts w:ascii="Arial" w:hAnsi="Arial"/>
          <w:color w:val="000000"/>
          <w:sz w:val="22"/>
        </w:rPr>
        <w:br/>
      </w:r>
      <w:r>
        <w:rPr>
          <w:rFonts w:ascii="Arial" w:hAnsi="Arial"/>
          <w:i/>
          <w:color w:val="000000"/>
          <w:sz w:val="22"/>
        </w:rPr>
        <w:t>In a case presented to the Tax and Customs Administration an employee with a gross monthly salary of € 3,000 wanted to spend € 600 under the cafeteria scheme on leasing solar panels. The employer had calculated that the employee would have to surrender an amount of € 740 of gross salary for this to be cost-neutral for the employer. By surrendering € 740 of gross salary and receiving a net allowance of € 600 in exchange for this, the employee ended up with € 171 more net than would have been the case without the exchange.</w:t>
      </w:r>
    </w:p>
    <w:p w14:paraId="0EB26736" w14:textId="4E4F7878" w:rsidR="00B454EC" w:rsidRPr="00B454EC" w:rsidRDefault="00B454EC" w:rsidP="00B454EC">
      <w:pPr>
        <w:rPr>
          <w:rFonts w:ascii="Arial" w:hAnsi="Arial" w:cs="Arial"/>
          <w:color w:val="000000"/>
          <w:sz w:val="22"/>
          <w:szCs w:val="22"/>
        </w:rPr>
      </w:pPr>
    </w:p>
    <w:p w14:paraId="3A4168F1" w14:textId="390A9A0D" w:rsidR="00B454EC" w:rsidRDefault="00B454EC" w:rsidP="00B454EC">
      <w:pPr>
        <w:rPr>
          <w:rFonts w:ascii="Arial" w:hAnsi="Arial" w:cs="Arial"/>
          <w:color w:val="000000"/>
          <w:sz w:val="22"/>
          <w:szCs w:val="22"/>
        </w:rPr>
      </w:pPr>
      <w:r>
        <w:rPr>
          <w:rFonts w:ascii="Arial" w:hAnsi="Arial"/>
          <w:color w:val="000000"/>
          <w:sz w:val="22"/>
        </w:rPr>
        <w:t>The Tax and Customs Administration had no problem with this exchange, in which the employer was actually compensated to ensure the process remained cost-neutral for it.</w:t>
      </w:r>
    </w:p>
    <w:p w14:paraId="213015C9" w14:textId="77777777" w:rsidR="00957F2F" w:rsidRPr="00B454EC" w:rsidRDefault="00957F2F" w:rsidP="00B454EC">
      <w:pPr>
        <w:rPr>
          <w:rFonts w:ascii="Arial" w:hAnsi="Arial" w:cs="Arial"/>
          <w:color w:val="000000"/>
          <w:sz w:val="22"/>
          <w:szCs w:val="22"/>
        </w:rPr>
      </w:pPr>
    </w:p>
    <w:p w14:paraId="5EA40B8B" w14:textId="35080DE6" w:rsidR="00B454EC" w:rsidRPr="00994FAE" w:rsidRDefault="00B454EC" w:rsidP="00994FAE">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r>
        <w:rPr>
          <w:rFonts w:ascii="Arial" w:hAnsi="Arial"/>
          <w:b/>
          <w:sz w:val="22"/>
        </w:rPr>
        <w:t>Please note:</w:t>
      </w:r>
      <w:r>
        <w:rPr>
          <w:rFonts w:ascii="Arial" w:hAnsi="Arial"/>
          <w:b/>
          <w:sz w:val="22"/>
        </w:rPr>
        <w:br/>
      </w:r>
      <w:r>
        <w:rPr>
          <w:rFonts w:ascii="Arial" w:hAnsi="Arial"/>
          <w:sz w:val="22"/>
        </w:rPr>
        <w:t>The question put to the Tax and Customs Administration related mainly to whether, in this situation, there would be a transaction with foreseeable adverse consequences for the employee. Within the context of an exchange, the question can also always arise as to whether the ‘standard-practice criterion’, which an allocation to the fixed budget must meet, has been satisfied. In the example above there was no dispute about this, as in total the employer designated no more than € 2,400 per employee as salary for final levy purposes under the fixed budget.</w:t>
      </w:r>
    </w:p>
    <w:p w14:paraId="1B780BBE" w14:textId="664D6A68" w:rsidR="00B70F69" w:rsidRPr="002F71B0" w:rsidRDefault="00B70F69" w:rsidP="00B70F69">
      <w:pPr>
        <w:rPr>
          <w:rFonts w:ascii="Arial" w:hAnsi="Arial" w:cs="Arial"/>
          <w:sz w:val="22"/>
          <w:szCs w:val="22"/>
        </w:rPr>
      </w:pPr>
      <w:r>
        <w:br w:type="page"/>
      </w:r>
    </w:p>
    <w:p w14:paraId="7A0B68FB" w14:textId="3E9C6A97" w:rsidR="00EF0D3D" w:rsidRDefault="00EF0D3D" w:rsidP="006009D4">
      <w:pPr>
        <w:pStyle w:val="Kop1"/>
      </w:pPr>
      <w:bookmarkStart w:id="50" w:name="_Toc152927308"/>
      <w:bookmarkStart w:id="51" w:name="_Toc155866628"/>
      <w:bookmarkStart w:id="52" w:name="_Toc43201918"/>
      <w:bookmarkStart w:id="53" w:name="_Toc61425003"/>
      <w:bookmarkStart w:id="54" w:name="_Toc106639615"/>
      <w:r>
        <w:lastRenderedPageBreak/>
        <w:t>Subsidies and allowances</w:t>
      </w:r>
      <w:bookmarkEnd w:id="50"/>
      <w:bookmarkEnd w:id="51"/>
    </w:p>
    <w:bookmarkEnd w:id="52"/>
    <w:bookmarkEnd w:id="53"/>
    <w:bookmarkEnd w:id="54"/>
    <w:p w14:paraId="6FE2103D" w14:textId="77777777" w:rsidR="00EF0D3D" w:rsidRDefault="00EF0D3D" w:rsidP="00EF0D3D"/>
    <w:p w14:paraId="0971E7F1" w14:textId="77777777" w:rsidR="00B15B01" w:rsidRDefault="00B15B01" w:rsidP="00EF0D3D"/>
    <w:p w14:paraId="4F2F7D1C" w14:textId="2F4DF863" w:rsidR="00EF0D3D" w:rsidRDefault="00EF0D3D" w:rsidP="00957F2F">
      <w:pPr>
        <w:pStyle w:val="Kop2"/>
        <w:tabs>
          <w:tab w:val="clear" w:pos="539"/>
          <w:tab w:val="left" w:pos="567"/>
        </w:tabs>
        <w:ind w:hanging="283"/>
        <w:rPr>
          <w:rFonts w:cs="Arial"/>
          <w:szCs w:val="24"/>
        </w:rPr>
      </w:pPr>
      <w:bookmarkStart w:id="55" w:name="_Toc106639598"/>
      <w:bookmarkStart w:id="56" w:name="_Toc152927309"/>
      <w:bookmarkStart w:id="57" w:name="_Toc155866629"/>
      <w:r>
        <w:t>Practical learning subsidy scheme</w:t>
      </w:r>
      <w:bookmarkEnd w:id="55"/>
      <w:bookmarkEnd w:id="56"/>
      <w:bookmarkEnd w:id="57"/>
    </w:p>
    <w:p w14:paraId="75E3806B" w14:textId="77777777" w:rsidR="00C9418C" w:rsidRPr="00C9418C" w:rsidRDefault="00C9418C" w:rsidP="00C9418C"/>
    <w:p w14:paraId="6BDF6F50" w14:textId="138DB610" w:rsidR="00EF0D3D" w:rsidRPr="001C0176" w:rsidRDefault="00EF0D3D" w:rsidP="00EF0D3D">
      <w:pPr>
        <w:tabs>
          <w:tab w:val="left" w:pos="283"/>
          <w:tab w:val="left" w:pos="567"/>
          <w:tab w:val="left" w:pos="5102"/>
          <w:tab w:val="right" w:pos="6236"/>
          <w:tab w:val="left" w:pos="6520"/>
          <w:tab w:val="right" w:pos="7654"/>
          <w:tab w:val="left" w:pos="7937"/>
          <w:tab w:val="right" w:pos="9071"/>
        </w:tabs>
        <w:rPr>
          <w:rFonts w:ascii="Arial" w:hAnsi="Arial" w:cs="Arial"/>
          <w:sz w:val="22"/>
          <w:szCs w:val="22"/>
        </w:rPr>
      </w:pPr>
      <w:r>
        <w:rPr>
          <w:rFonts w:ascii="Arial" w:hAnsi="Arial"/>
          <w:sz w:val="22"/>
        </w:rPr>
        <w:t>The practical learning subsidy scheme is an allowance for the costs that employers incur for paying the salary of or supporting an apprentice, student, PhD candidate or technological designer in training (TOIO). This scheme aims to develop well-trained personnel who are better prepared for the labour market.</w:t>
      </w:r>
    </w:p>
    <w:p w14:paraId="75BE4F96" w14:textId="77777777" w:rsidR="00EF0D3D" w:rsidRDefault="00EF0D3D" w:rsidP="00EF0D3D">
      <w:pPr>
        <w:tabs>
          <w:tab w:val="left" w:pos="283"/>
          <w:tab w:val="left" w:pos="567"/>
          <w:tab w:val="left" w:pos="5102"/>
          <w:tab w:val="right" w:pos="6236"/>
          <w:tab w:val="left" w:pos="6520"/>
          <w:tab w:val="right" w:pos="7654"/>
          <w:tab w:val="left" w:pos="7937"/>
          <w:tab w:val="right" w:pos="9071"/>
        </w:tabs>
        <w:rPr>
          <w:rFonts w:ascii="Arial" w:hAnsi="Arial" w:cs="Arial"/>
          <w:sz w:val="22"/>
          <w:szCs w:val="22"/>
        </w:rPr>
      </w:pPr>
    </w:p>
    <w:p w14:paraId="12A86947" w14:textId="7A00C356" w:rsidR="00735C5C" w:rsidRDefault="00735C5C" w:rsidP="00EF0D3D">
      <w:pPr>
        <w:tabs>
          <w:tab w:val="left" w:pos="283"/>
          <w:tab w:val="left" w:pos="567"/>
          <w:tab w:val="left" w:pos="5102"/>
          <w:tab w:val="right" w:pos="6236"/>
          <w:tab w:val="left" w:pos="6520"/>
          <w:tab w:val="right" w:pos="7654"/>
          <w:tab w:val="left" w:pos="7937"/>
          <w:tab w:val="right" w:pos="9071"/>
        </w:tabs>
        <w:rPr>
          <w:rFonts w:ascii="Arial" w:hAnsi="Arial" w:cs="Arial"/>
          <w:sz w:val="22"/>
          <w:szCs w:val="22"/>
        </w:rPr>
      </w:pPr>
      <w:r>
        <w:rPr>
          <w:rFonts w:ascii="Arial" w:hAnsi="Arial"/>
          <w:sz w:val="22"/>
        </w:rPr>
        <w:t>The practical learning subsidy scheme is available for pre-vocational secondary education (VMBO), senior secondary vocational education (MBO), higher professional education (HBO), PhD candidates and TOIOs, practical training and special secondary education (VSO). Different conditions apply to each educational category. It is important that you comply with these conditions and the relevant administrative requirements. The conditions that apply to the various educational categories can be found </w:t>
      </w:r>
      <w:hyperlink r:id="rId25" w:anchor="conditions" w:tgtFrame="_blank" w:tooltip="here" w:history="1">
        <w:r>
          <w:rPr>
            <w:rStyle w:val="Hyperlink"/>
            <w:rFonts w:ascii="Arial" w:hAnsi="Arial"/>
            <w:sz w:val="22"/>
          </w:rPr>
          <w:t>here</w:t>
        </w:r>
      </w:hyperlink>
      <w:r>
        <w:rPr>
          <w:rFonts w:ascii="Arial" w:hAnsi="Arial"/>
          <w:sz w:val="22"/>
        </w:rPr>
        <w:t>.</w:t>
      </w:r>
    </w:p>
    <w:p w14:paraId="49990C86" w14:textId="77777777" w:rsidR="00735C5C" w:rsidRPr="001C0176" w:rsidRDefault="00735C5C" w:rsidP="00EF0D3D">
      <w:pPr>
        <w:tabs>
          <w:tab w:val="left" w:pos="283"/>
          <w:tab w:val="left" w:pos="567"/>
          <w:tab w:val="left" w:pos="5102"/>
          <w:tab w:val="right" w:pos="6236"/>
          <w:tab w:val="left" w:pos="6520"/>
          <w:tab w:val="right" w:pos="7654"/>
          <w:tab w:val="left" w:pos="7937"/>
          <w:tab w:val="right" w:pos="9071"/>
        </w:tabs>
        <w:rPr>
          <w:rFonts w:ascii="Arial" w:hAnsi="Arial" w:cs="Arial"/>
          <w:sz w:val="22"/>
          <w:szCs w:val="22"/>
        </w:rPr>
      </w:pPr>
    </w:p>
    <w:p w14:paraId="210033B1" w14:textId="72EB8C88" w:rsidR="00EF0D3D" w:rsidRPr="00BA3EB0" w:rsidRDefault="00EF0D3D" w:rsidP="00EF0D3D">
      <w:pPr>
        <w:rPr>
          <w:rFonts w:ascii="Arial" w:hAnsi="Arial" w:cs="Arial"/>
          <w:sz w:val="22"/>
          <w:szCs w:val="22"/>
        </w:rPr>
      </w:pPr>
      <w:r>
        <w:rPr>
          <w:rFonts w:ascii="Arial" w:hAnsi="Arial"/>
          <w:sz w:val="22"/>
        </w:rPr>
        <w:t>The practical learning subsidy scheme mainly targets:</w:t>
      </w:r>
    </w:p>
    <w:p w14:paraId="1FCBCD11" w14:textId="77777777" w:rsidR="00EF0D3D" w:rsidRPr="00BA3EB0" w:rsidRDefault="00EF0D3D" w:rsidP="002F233C">
      <w:pPr>
        <w:pStyle w:val="Lijstalinea"/>
        <w:numPr>
          <w:ilvl w:val="0"/>
          <w:numId w:val="4"/>
        </w:numPr>
        <w:ind w:left="426" w:hanging="426"/>
        <w:rPr>
          <w:rFonts w:ascii="Arial" w:hAnsi="Arial" w:cs="Arial"/>
        </w:rPr>
      </w:pPr>
      <w:r>
        <w:rPr>
          <w:rFonts w:ascii="Arial" w:hAnsi="Arial"/>
        </w:rPr>
        <w:t>vulnerable groups on the labour market who have difficulty accessing employment;</w:t>
      </w:r>
    </w:p>
    <w:p w14:paraId="6886CEC1" w14:textId="77777777" w:rsidR="00EF0D3D" w:rsidRPr="00BA3EB0" w:rsidRDefault="00EF0D3D" w:rsidP="002F233C">
      <w:pPr>
        <w:pStyle w:val="Lijstalinea"/>
        <w:numPr>
          <w:ilvl w:val="0"/>
          <w:numId w:val="4"/>
        </w:numPr>
        <w:ind w:left="426" w:hanging="426"/>
        <w:rPr>
          <w:rFonts w:ascii="Arial" w:hAnsi="Arial" w:cs="Arial"/>
        </w:rPr>
      </w:pPr>
      <w:r>
        <w:rPr>
          <w:rFonts w:ascii="Arial" w:hAnsi="Arial"/>
        </w:rPr>
        <w:t>students following a course of study in sectors with a shortage of qualified staff;</w:t>
      </w:r>
    </w:p>
    <w:p w14:paraId="16B6AA31" w14:textId="00E554DD" w:rsidR="00EF0D3D" w:rsidRPr="00BA3EB0" w:rsidRDefault="00EF0D3D" w:rsidP="002F233C">
      <w:pPr>
        <w:pStyle w:val="Lijstalinea"/>
        <w:numPr>
          <w:ilvl w:val="0"/>
          <w:numId w:val="4"/>
        </w:numPr>
        <w:ind w:left="426" w:hanging="426"/>
        <w:rPr>
          <w:rFonts w:ascii="Arial" w:hAnsi="Arial" w:cs="Arial"/>
        </w:rPr>
      </w:pPr>
      <w:r>
        <w:rPr>
          <w:rFonts w:ascii="Arial" w:hAnsi="Arial"/>
        </w:rPr>
        <w:t>scientific personnel who are vital to the Dutch knowledge economy.</w:t>
      </w:r>
    </w:p>
    <w:p w14:paraId="73A6BAAD" w14:textId="77777777" w:rsidR="00EF0D3D" w:rsidRDefault="00EF0D3D" w:rsidP="00244C22">
      <w:pPr>
        <w:tabs>
          <w:tab w:val="left" w:pos="283"/>
          <w:tab w:val="left" w:pos="567"/>
          <w:tab w:val="left" w:pos="5102"/>
          <w:tab w:val="right" w:pos="6236"/>
          <w:tab w:val="left" w:pos="6520"/>
          <w:tab w:val="right" w:pos="7654"/>
          <w:tab w:val="left" w:pos="7937"/>
          <w:tab w:val="right" w:pos="9071"/>
        </w:tabs>
        <w:rPr>
          <w:rFonts w:ascii="Arial" w:hAnsi="Arial" w:cs="Arial"/>
          <w:sz w:val="22"/>
          <w:szCs w:val="22"/>
        </w:rPr>
      </w:pPr>
    </w:p>
    <w:p w14:paraId="32D503DF" w14:textId="517B3883" w:rsidR="00244C22" w:rsidRDefault="00244C22" w:rsidP="00244C22">
      <w:pPr>
        <w:tabs>
          <w:tab w:val="left" w:pos="283"/>
          <w:tab w:val="left" w:pos="567"/>
          <w:tab w:val="left" w:pos="5102"/>
          <w:tab w:val="right" w:pos="6236"/>
          <w:tab w:val="left" w:pos="6520"/>
          <w:tab w:val="right" w:pos="7654"/>
          <w:tab w:val="left" w:pos="7937"/>
          <w:tab w:val="right" w:pos="9071"/>
        </w:tabs>
        <w:rPr>
          <w:rFonts w:ascii="Arial" w:hAnsi="Arial" w:cs="Arial"/>
          <w:sz w:val="22"/>
          <w:szCs w:val="22"/>
        </w:rPr>
      </w:pPr>
      <w:r>
        <w:rPr>
          <w:rFonts w:ascii="Arial" w:hAnsi="Arial"/>
          <w:sz w:val="22"/>
        </w:rPr>
        <w:t>If you qualify for the practical learning subsidy scheme, the amount of the subsidy is a maximum of € 2,700 for each apprenticeship or work placement provided. Bear in mind that the amount may be lower. That is because the definitive subsidy depends on the number of applications approved.</w:t>
      </w:r>
    </w:p>
    <w:p w14:paraId="680B84F4" w14:textId="77777777" w:rsidR="00EF0D3D" w:rsidRDefault="00EF0D3D" w:rsidP="00EF0D3D">
      <w:pPr>
        <w:tabs>
          <w:tab w:val="left" w:pos="283"/>
          <w:tab w:val="left" w:pos="567"/>
          <w:tab w:val="left" w:pos="5102"/>
          <w:tab w:val="right" w:pos="6236"/>
          <w:tab w:val="left" w:pos="6520"/>
          <w:tab w:val="right" w:pos="7654"/>
          <w:tab w:val="left" w:pos="7937"/>
          <w:tab w:val="right" w:pos="9071"/>
        </w:tabs>
        <w:rPr>
          <w:rFonts w:ascii="Arial" w:hAnsi="Arial" w:cs="Arial"/>
          <w:sz w:val="22"/>
          <w:szCs w:val="22"/>
        </w:rPr>
      </w:pPr>
    </w:p>
    <w:p w14:paraId="5BE89DFF" w14:textId="4C820108" w:rsidR="00F60A77" w:rsidRDefault="00244C22" w:rsidP="00022057">
      <w:pPr>
        <w:tabs>
          <w:tab w:val="left" w:pos="283"/>
          <w:tab w:val="left" w:pos="567"/>
          <w:tab w:val="left" w:pos="5102"/>
          <w:tab w:val="right" w:pos="6236"/>
          <w:tab w:val="left" w:pos="6520"/>
          <w:tab w:val="right" w:pos="7654"/>
          <w:tab w:val="left" w:pos="7937"/>
          <w:tab w:val="right" w:pos="9071"/>
        </w:tabs>
        <w:rPr>
          <w:rFonts w:ascii="Arial" w:eastAsia="Arial" w:hAnsi="Arial" w:cs="Arial"/>
          <w:sz w:val="22"/>
          <w:szCs w:val="22"/>
        </w:rPr>
      </w:pPr>
      <w:r>
        <w:rPr>
          <w:rFonts w:ascii="Arial" w:hAnsi="Arial"/>
          <w:sz w:val="22"/>
        </w:rPr>
        <w:t xml:space="preserve">In 2023 the practical learning subsidy scheme was extended until the end of the 2027/2028 academic year. In 2026 it is possible to submit </w:t>
      </w:r>
      <w:hyperlink r:id="rId26" w:history="1">
        <w:r>
          <w:rPr>
            <w:rStyle w:val="Hyperlink"/>
            <w:rFonts w:ascii="Arial" w:hAnsi="Arial"/>
            <w:sz w:val="22"/>
          </w:rPr>
          <w:t>applications</w:t>
        </w:r>
      </w:hyperlink>
      <w:r>
        <w:rPr>
          <w:rFonts w:ascii="Arial" w:hAnsi="Arial"/>
          <w:sz w:val="22"/>
        </w:rPr>
        <w:t xml:space="preserve"> for the 2025/2026 academic year from Tuesday 2 June 2026 to 5 p.m. on Thursday 17 September 2026.</w:t>
      </w:r>
    </w:p>
    <w:p w14:paraId="490CD572" w14:textId="77777777" w:rsidR="00DA5249" w:rsidRDefault="00DA5249" w:rsidP="00022057">
      <w:pPr>
        <w:tabs>
          <w:tab w:val="left" w:pos="283"/>
          <w:tab w:val="left" w:pos="567"/>
          <w:tab w:val="left" w:pos="5102"/>
          <w:tab w:val="right" w:pos="6236"/>
          <w:tab w:val="left" w:pos="6520"/>
          <w:tab w:val="right" w:pos="7654"/>
          <w:tab w:val="left" w:pos="7937"/>
          <w:tab w:val="right" w:pos="9071"/>
        </w:tabs>
        <w:rPr>
          <w:rFonts w:ascii="Arial" w:eastAsia="Arial" w:hAnsi="Arial" w:cs="Arial"/>
          <w:b/>
          <w:bCs/>
          <w:sz w:val="22"/>
          <w:szCs w:val="22"/>
        </w:rPr>
      </w:pPr>
    </w:p>
    <w:p w14:paraId="5E54B961" w14:textId="47BB38B7" w:rsidR="009C1129" w:rsidRPr="00244C22" w:rsidRDefault="009C1129" w:rsidP="009C1129">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r>
        <w:rPr>
          <w:rFonts w:ascii="Arial" w:hAnsi="Arial"/>
          <w:b/>
          <w:sz w:val="22"/>
        </w:rPr>
        <w:t>Tip:</w:t>
      </w:r>
      <w:r>
        <w:rPr>
          <w:rFonts w:ascii="Arial" w:hAnsi="Arial"/>
          <w:sz w:val="22"/>
        </w:rPr>
        <w:br/>
        <w:t xml:space="preserve">For </w:t>
      </w:r>
      <w:r>
        <w:rPr>
          <w:rFonts w:ascii="Arial" w:hAnsi="Arial"/>
          <w:sz w:val="22"/>
          <w:highlight w:val="lightGray"/>
        </w:rPr>
        <w:t xml:space="preserve">practical training placements of MBO students following a course that contributes to the climate and energy transition, an additional subsidy of up to € 500 per placement is available for the 2025/2026 academic year. The courses eligible for this subsidy are set out in </w:t>
      </w:r>
      <w:hyperlink r:id="rId27" w:anchor="d17e480" w:history="1">
        <w:r>
          <w:rPr>
            <w:rStyle w:val="Hyperlink"/>
            <w:rFonts w:ascii="Arial" w:hAnsi="Arial"/>
            <w:sz w:val="22"/>
            <w:highlight w:val="lightGray"/>
          </w:rPr>
          <w:t>Annex 4</w:t>
        </w:r>
      </w:hyperlink>
      <w:r>
        <w:rPr>
          <w:rFonts w:ascii="Arial" w:hAnsi="Arial"/>
          <w:sz w:val="22"/>
          <w:highlight w:val="lightGray"/>
        </w:rPr>
        <w:t xml:space="preserve"> to the practical learning subsidy scheme. This subsidy can be applied for as part of the regular application process</w:t>
      </w:r>
      <w:r>
        <w:rPr>
          <w:rFonts w:ascii="Arial" w:hAnsi="Arial"/>
          <w:sz w:val="22"/>
        </w:rPr>
        <w:t xml:space="preserve"> under the practical learning subsidy scheme.</w:t>
      </w:r>
    </w:p>
    <w:p w14:paraId="18F08616" w14:textId="77777777" w:rsidR="009C1129" w:rsidRDefault="009C1129" w:rsidP="00022057">
      <w:pPr>
        <w:tabs>
          <w:tab w:val="left" w:pos="283"/>
          <w:tab w:val="left" w:pos="567"/>
          <w:tab w:val="left" w:pos="5102"/>
          <w:tab w:val="right" w:pos="6236"/>
          <w:tab w:val="left" w:pos="6520"/>
          <w:tab w:val="right" w:pos="7654"/>
          <w:tab w:val="left" w:pos="7937"/>
          <w:tab w:val="right" w:pos="9071"/>
        </w:tabs>
        <w:rPr>
          <w:rFonts w:ascii="Arial" w:eastAsia="Arial" w:hAnsi="Arial" w:cs="Arial"/>
          <w:sz w:val="22"/>
          <w:szCs w:val="22"/>
        </w:rPr>
      </w:pPr>
    </w:p>
    <w:p w14:paraId="48D6ADC0" w14:textId="028E1B4E" w:rsidR="00F60A77" w:rsidRDefault="00F60A77" w:rsidP="00957F2F">
      <w:pPr>
        <w:pStyle w:val="Kop2"/>
        <w:ind w:hanging="283"/>
        <w:rPr>
          <w:rFonts w:eastAsia="Arial"/>
        </w:rPr>
      </w:pPr>
      <w:bookmarkStart w:id="58" w:name="_Toc155866630"/>
      <w:r>
        <w:t>Practical learning subsidy scheme for third learning pathway</w:t>
      </w:r>
      <w:bookmarkEnd w:id="58"/>
    </w:p>
    <w:p w14:paraId="496D6B83" w14:textId="77777777" w:rsidR="00C9418C" w:rsidRPr="00C9418C" w:rsidRDefault="00C9418C" w:rsidP="00C9418C">
      <w:pPr>
        <w:rPr>
          <w:rFonts w:eastAsia="Arial"/>
        </w:rPr>
      </w:pPr>
    </w:p>
    <w:p w14:paraId="407277C8" w14:textId="7D6D6AA6" w:rsidR="009F595D" w:rsidRPr="00E46538" w:rsidRDefault="002E2850" w:rsidP="006674E8">
      <w:pPr>
        <w:rPr>
          <w:rFonts w:ascii="Arial" w:hAnsi="Arial" w:cs="Arial"/>
          <w:sz w:val="22"/>
          <w:szCs w:val="22"/>
        </w:rPr>
      </w:pPr>
      <w:r>
        <w:rPr>
          <w:rFonts w:ascii="Arial" w:hAnsi="Arial"/>
          <w:sz w:val="22"/>
        </w:rPr>
        <w:t>In 2026 it will probably again be possible to submit applications under the practical learning subsidy scheme for the third learning pathway. The application period for 2026 is not yet known. In 2025 applications were open from 9 a.m. on Monday 3 November 2025 to 5 p.m. on Friday 28 November 2025.</w:t>
      </w:r>
    </w:p>
    <w:p w14:paraId="65074A70" w14:textId="77777777" w:rsidR="009F595D" w:rsidRDefault="009F595D" w:rsidP="006674E8">
      <w:pPr>
        <w:rPr>
          <w:rFonts w:ascii="Arial" w:eastAsia="Arial" w:hAnsi="Arial" w:cs="Arial"/>
          <w:sz w:val="22"/>
          <w:szCs w:val="22"/>
        </w:rPr>
      </w:pPr>
    </w:p>
    <w:p w14:paraId="7368CB5B" w14:textId="77777777" w:rsidR="006674E8" w:rsidRDefault="006674E8" w:rsidP="006674E8">
      <w:pPr>
        <w:rPr>
          <w:rFonts w:ascii="Arial" w:eastAsia="Arial" w:hAnsi="Arial" w:cs="Arial"/>
          <w:b/>
          <w:bCs/>
          <w:sz w:val="22"/>
          <w:szCs w:val="22"/>
        </w:rPr>
      </w:pPr>
      <w:r>
        <w:rPr>
          <w:rFonts w:ascii="Arial" w:hAnsi="Arial"/>
          <w:b/>
          <w:sz w:val="22"/>
        </w:rPr>
        <w:t>Subsidy conditions</w:t>
      </w:r>
    </w:p>
    <w:p w14:paraId="370BCB9A" w14:textId="1A741BDA" w:rsidR="006674E8" w:rsidRDefault="002E2850" w:rsidP="00AB1C2F">
      <w:pPr>
        <w:rPr>
          <w:rFonts w:ascii="Arial" w:eastAsia="Arial" w:hAnsi="Arial" w:cs="Arial"/>
          <w:sz w:val="22"/>
          <w:szCs w:val="22"/>
        </w:rPr>
      </w:pPr>
      <w:r>
        <w:rPr>
          <w:rFonts w:ascii="Arial" w:hAnsi="Arial"/>
          <w:sz w:val="22"/>
        </w:rPr>
        <w:t xml:space="preserve">To qualify for the subsidy, an approved work placement company must provide a placement for an MBO student in the third learning pathway (‘other education’ (OVO) or ‘other part-time training’ (ODT)). The student must be a jobseeker or be carrying out paid work and must be </w:t>
      </w:r>
      <w:r>
        <w:rPr>
          <w:rFonts w:ascii="Arial" w:hAnsi="Arial"/>
          <w:sz w:val="22"/>
        </w:rPr>
        <w:lastRenderedPageBreak/>
        <w:t>entered in the Register of Participants in Education (ROD) of the Education Executive Agency (DUO) during the application period.</w:t>
      </w:r>
    </w:p>
    <w:p w14:paraId="02F4965B" w14:textId="77777777" w:rsidR="0025369B" w:rsidRDefault="0025369B" w:rsidP="00AB1C2F">
      <w:pPr>
        <w:rPr>
          <w:rFonts w:ascii="Arial" w:eastAsia="Arial" w:hAnsi="Arial" w:cs="Arial"/>
          <w:sz w:val="22"/>
          <w:szCs w:val="22"/>
        </w:rPr>
      </w:pPr>
    </w:p>
    <w:p w14:paraId="5C9D5B7D" w14:textId="0A734396" w:rsidR="00EB4436" w:rsidRPr="0025369B" w:rsidRDefault="00EB4436" w:rsidP="0025369B">
      <w:pPr>
        <w:shd w:val="clear" w:color="auto" w:fill="D9D9D9" w:themeFill="background1" w:themeFillShade="D9"/>
        <w:rPr>
          <w:rFonts w:ascii="Arial" w:eastAsia="Arial" w:hAnsi="Arial" w:cs="Arial"/>
          <w:b/>
          <w:bCs/>
          <w:sz w:val="22"/>
          <w:szCs w:val="22"/>
        </w:rPr>
      </w:pPr>
      <w:r>
        <w:rPr>
          <w:rFonts w:ascii="Arial" w:hAnsi="Arial"/>
          <w:b/>
          <w:sz w:val="22"/>
        </w:rPr>
        <w:t>Please note:</w:t>
      </w:r>
    </w:p>
    <w:p w14:paraId="28EAA466" w14:textId="2CE1837C" w:rsidR="00EB4436" w:rsidRDefault="008B7E82" w:rsidP="0025369B">
      <w:pPr>
        <w:shd w:val="clear" w:color="auto" w:fill="D9D9D9" w:themeFill="background1" w:themeFillShade="D9"/>
        <w:rPr>
          <w:rFonts w:ascii="Arial" w:eastAsia="Arial" w:hAnsi="Arial" w:cs="Arial"/>
          <w:sz w:val="22"/>
          <w:szCs w:val="22"/>
        </w:rPr>
      </w:pPr>
      <w:r>
        <w:rPr>
          <w:rFonts w:ascii="Arial" w:hAnsi="Arial"/>
          <w:sz w:val="22"/>
        </w:rPr>
        <w:t>Students who are eligible for support with finding work on the basis of the Participation Act (</w:t>
      </w:r>
      <w:r>
        <w:rPr>
          <w:rFonts w:ascii="Arial" w:hAnsi="Arial"/>
          <w:i/>
          <w:iCs/>
          <w:sz w:val="22"/>
        </w:rPr>
        <w:t>Participatiewet</w:t>
      </w:r>
      <w:r>
        <w:rPr>
          <w:rFonts w:ascii="Arial" w:hAnsi="Arial"/>
          <w:sz w:val="22"/>
        </w:rPr>
        <w:t>) are also regarded as jobseekers.</w:t>
      </w:r>
    </w:p>
    <w:p w14:paraId="6216F599" w14:textId="77777777" w:rsidR="002E2850" w:rsidRDefault="002E2850" w:rsidP="00AB1C2F">
      <w:pPr>
        <w:rPr>
          <w:rFonts w:ascii="Arial" w:eastAsia="Arial" w:hAnsi="Arial" w:cs="Arial"/>
          <w:sz w:val="22"/>
          <w:szCs w:val="22"/>
        </w:rPr>
      </w:pPr>
    </w:p>
    <w:p w14:paraId="33D83DA6" w14:textId="42E2D9BE" w:rsidR="002E2850" w:rsidRPr="002E2850" w:rsidRDefault="002E2850" w:rsidP="00AB1C2F">
      <w:pPr>
        <w:rPr>
          <w:rFonts w:ascii="Arial" w:eastAsia="Arial" w:hAnsi="Arial" w:cs="Arial"/>
          <w:sz w:val="22"/>
          <w:szCs w:val="22"/>
        </w:rPr>
      </w:pPr>
      <w:r>
        <w:rPr>
          <w:rFonts w:ascii="Arial" w:hAnsi="Arial"/>
          <w:b/>
          <w:sz w:val="22"/>
        </w:rPr>
        <w:t>Training</w:t>
      </w:r>
      <w:r>
        <w:rPr>
          <w:rFonts w:ascii="Arial" w:hAnsi="Arial"/>
          <w:b/>
          <w:sz w:val="22"/>
        </w:rPr>
        <w:br/>
      </w:r>
      <w:r>
        <w:rPr>
          <w:rFonts w:ascii="Arial" w:hAnsi="Arial"/>
          <w:sz w:val="22"/>
        </w:rPr>
        <w:t>The training that the student follows must be geared towards achieving a full diploma, a certificate or practical training certification. The training course must be included in the Central Register of Vocational Training Courses (Crebo). In addition, the student must have started the training on or after 1 August 2023.</w:t>
      </w:r>
    </w:p>
    <w:p w14:paraId="669497FD" w14:textId="77777777" w:rsidR="00AB1C2F" w:rsidRPr="00D82958" w:rsidRDefault="00AB1C2F" w:rsidP="00AB1C2F">
      <w:pPr>
        <w:rPr>
          <w:rFonts w:ascii="Arial" w:eastAsia="Arial" w:hAnsi="Arial" w:cs="Arial"/>
          <w:sz w:val="22"/>
          <w:szCs w:val="22"/>
        </w:rPr>
      </w:pPr>
    </w:p>
    <w:p w14:paraId="5A8EA777" w14:textId="77777777" w:rsidR="006674E8" w:rsidRPr="00D82958" w:rsidRDefault="006674E8" w:rsidP="006674E8">
      <w:pPr>
        <w:rPr>
          <w:rFonts w:ascii="Arial" w:eastAsia="Arial" w:hAnsi="Arial" w:cs="Arial"/>
          <w:b/>
          <w:bCs/>
          <w:sz w:val="22"/>
          <w:szCs w:val="22"/>
        </w:rPr>
      </w:pPr>
      <w:r>
        <w:rPr>
          <w:rFonts w:ascii="Arial" w:hAnsi="Arial"/>
          <w:b/>
          <w:sz w:val="22"/>
        </w:rPr>
        <w:t>Level of subsidy</w:t>
      </w:r>
    </w:p>
    <w:p w14:paraId="2210B5EB" w14:textId="717F38BF" w:rsidR="00EB4436" w:rsidRDefault="00AB1C2F" w:rsidP="0080169D">
      <w:pPr>
        <w:ind w:right="-142"/>
        <w:rPr>
          <w:rFonts w:ascii="Arial" w:eastAsia="Arial" w:hAnsi="Arial" w:cs="Arial"/>
          <w:sz w:val="22"/>
          <w:szCs w:val="22"/>
        </w:rPr>
      </w:pPr>
      <w:r>
        <w:rPr>
          <w:rFonts w:ascii="Arial" w:hAnsi="Arial"/>
          <w:sz w:val="22"/>
        </w:rPr>
        <w:t>The subsidy amounts to a maximum of € 2,700 per placement. If the applications exceed the available budget, the budget will be divided amongst the applications. As a result, the subsidy may be lower than € 2,700 per placement. The available budget for 2026 is not yet known.</w:t>
      </w:r>
    </w:p>
    <w:p w14:paraId="4195C8F3" w14:textId="77777777" w:rsidR="00AB1C2F" w:rsidRDefault="00AB1C2F" w:rsidP="00AB1C2F">
      <w:pPr>
        <w:rPr>
          <w:rFonts w:ascii="Arial" w:eastAsia="Arial" w:hAnsi="Arial" w:cs="Arial"/>
          <w:sz w:val="22"/>
          <w:szCs w:val="22"/>
        </w:rPr>
      </w:pPr>
    </w:p>
    <w:p w14:paraId="5EEF852A" w14:textId="100292B5" w:rsidR="00AB1C2F" w:rsidRPr="00AB1C2F" w:rsidRDefault="00AB1C2F" w:rsidP="00AB1C2F">
      <w:pPr>
        <w:rPr>
          <w:rFonts w:ascii="Arial" w:eastAsia="Arial" w:hAnsi="Arial" w:cs="Arial"/>
          <w:sz w:val="22"/>
          <w:szCs w:val="22"/>
        </w:rPr>
      </w:pPr>
      <w:r>
        <w:rPr>
          <w:rFonts w:ascii="Arial" w:hAnsi="Arial"/>
          <w:sz w:val="22"/>
        </w:rPr>
        <w:t>The approved work placement company must apply for the subsidy within a year of the placement ending. The subsidy will be provided over a maximum period of 52 consecutive weeks, of which a maximum of 40 will qualify for the subsidy.</w:t>
      </w:r>
    </w:p>
    <w:p w14:paraId="0D7E3429" w14:textId="77777777" w:rsidR="000D0DCB" w:rsidRDefault="000D0DCB" w:rsidP="000D0DCB">
      <w:pPr>
        <w:rPr>
          <w:rFonts w:ascii="Arial" w:hAnsi="Arial" w:cs="Arial"/>
          <w:color w:val="000000"/>
          <w:sz w:val="22"/>
          <w:szCs w:val="22"/>
        </w:rPr>
      </w:pPr>
    </w:p>
    <w:p w14:paraId="3DA3BEB2" w14:textId="4DC2DA4F" w:rsidR="000D0DCB" w:rsidRPr="00754442" w:rsidRDefault="000D0DCB" w:rsidP="000D0DCB">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r>
        <w:rPr>
          <w:rFonts w:ascii="Arial" w:hAnsi="Arial"/>
          <w:b/>
          <w:sz w:val="22"/>
        </w:rPr>
        <w:t>Please note:</w:t>
      </w:r>
      <w:r>
        <w:rPr>
          <w:rFonts w:ascii="Arial" w:hAnsi="Arial"/>
          <w:sz w:val="22"/>
        </w:rPr>
        <w:br/>
        <w:t>This subsidy is not intended for MBO students following the school-based learning pathway (BOL) and work-based learning pathway (BBL). For such students the employer may, however, qualify for the practical learning subsidy scheme for senior secondary vocational education (MBO).</w:t>
      </w:r>
    </w:p>
    <w:p w14:paraId="5F96F8BA" w14:textId="77777777" w:rsidR="006674E8" w:rsidRDefault="006674E8" w:rsidP="006674E8">
      <w:pPr>
        <w:rPr>
          <w:rFonts w:ascii="Arial" w:eastAsia="Arial" w:hAnsi="Arial" w:cs="Arial"/>
          <w:sz w:val="22"/>
          <w:szCs w:val="22"/>
        </w:rPr>
      </w:pPr>
    </w:p>
    <w:p w14:paraId="6037AE58" w14:textId="24964050" w:rsidR="00C61A3F" w:rsidRDefault="00C61A3F" w:rsidP="006674E8">
      <w:pPr>
        <w:rPr>
          <w:rFonts w:ascii="Arial" w:eastAsia="Arial" w:hAnsi="Arial" w:cs="Arial"/>
          <w:sz w:val="22"/>
          <w:szCs w:val="22"/>
        </w:rPr>
      </w:pPr>
      <w:r>
        <w:rPr>
          <w:rFonts w:ascii="Arial" w:hAnsi="Arial"/>
          <w:sz w:val="22"/>
        </w:rPr>
        <w:t xml:space="preserve">More information about the subsidy and the conditions can be found on the website </w:t>
      </w:r>
      <w:hyperlink r:id="rId28" w:history="1">
        <w:r>
          <w:rPr>
            <w:rStyle w:val="Hyperlink"/>
            <w:rFonts w:ascii="Arial" w:hAnsi="Arial"/>
            <w:sz w:val="22"/>
          </w:rPr>
          <w:t>RVO.nl</w:t>
        </w:r>
      </w:hyperlink>
      <w:r>
        <w:rPr>
          <w:rFonts w:ascii="Arial" w:hAnsi="Arial"/>
          <w:sz w:val="22"/>
        </w:rPr>
        <w:t>.</w:t>
      </w:r>
    </w:p>
    <w:p w14:paraId="6318A3AD" w14:textId="77777777" w:rsidR="00C61A3F" w:rsidRPr="00D82958" w:rsidRDefault="00C61A3F" w:rsidP="006674E8">
      <w:pPr>
        <w:rPr>
          <w:rFonts w:ascii="Arial" w:eastAsia="Arial" w:hAnsi="Arial" w:cs="Arial"/>
          <w:sz w:val="22"/>
          <w:szCs w:val="22"/>
        </w:rPr>
      </w:pPr>
    </w:p>
    <w:p w14:paraId="528E7FE2" w14:textId="3F29A019" w:rsidR="0074226A" w:rsidRDefault="0074226A" w:rsidP="00957F2F">
      <w:pPr>
        <w:pStyle w:val="Kop2"/>
        <w:tabs>
          <w:tab w:val="clear" w:pos="539"/>
          <w:tab w:val="left" w:pos="567"/>
        </w:tabs>
        <w:ind w:hanging="283"/>
        <w:rPr>
          <w:rFonts w:cs="Arial"/>
          <w:szCs w:val="24"/>
        </w:rPr>
      </w:pPr>
      <w:bookmarkStart w:id="59" w:name="_Toc106639599"/>
      <w:bookmarkStart w:id="60" w:name="_Toc152927310"/>
      <w:bookmarkStart w:id="61" w:name="_Toc155866631"/>
      <w:r>
        <w:t>Subsidy for group assistants in childcare organisations</w:t>
      </w:r>
    </w:p>
    <w:p w14:paraId="00B30F54" w14:textId="77777777" w:rsidR="00B70F69" w:rsidRDefault="00B70F69" w:rsidP="001322BC">
      <w:pPr>
        <w:rPr>
          <w:rFonts w:ascii="Arial" w:hAnsi="Arial" w:cs="Arial"/>
          <w:sz w:val="22"/>
          <w:szCs w:val="22"/>
        </w:rPr>
      </w:pPr>
    </w:p>
    <w:p w14:paraId="16C6EB19" w14:textId="72F0A39D" w:rsidR="001322BC" w:rsidRPr="001322BC" w:rsidRDefault="001322BC" w:rsidP="001322BC">
      <w:pPr>
        <w:rPr>
          <w:rFonts w:ascii="Arial" w:hAnsi="Arial" w:cs="Arial"/>
          <w:sz w:val="22"/>
          <w:szCs w:val="22"/>
        </w:rPr>
      </w:pPr>
      <w:r>
        <w:rPr>
          <w:rFonts w:ascii="Arial" w:hAnsi="Arial"/>
          <w:sz w:val="22"/>
        </w:rPr>
        <w:t xml:space="preserve">In 2026 childcare organisations can again apply for a subsidy for a practical training placement to support the development of group assistants. The application period will run from 9 a.m. on 2 November 2026 to 5 p.m. on 27 November 2026. In 2026 the available budget amounts to € 1,775,000. This subsidy is a contribution towards the payroll costs for group assistants and can be applied for at </w:t>
      </w:r>
      <w:hyperlink r:id="rId29" w:history="1">
        <w:r>
          <w:rPr>
            <w:rStyle w:val="Hyperlink"/>
            <w:rFonts w:ascii="Arial" w:hAnsi="Arial"/>
            <w:sz w:val="22"/>
          </w:rPr>
          <w:t>RVO.nl</w:t>
        </w:r>
      </w:hyperlink>
      <w:r>
        <w:rPr>
          <w:rFonts w:ascii="Arial" w:hAnsi="Arial"/>
          <w:sz w:val="22"/>
        </w:rPr>
        <w:t>. The aim is for the subsidy to allow more group assistants to be hired and to enable them to progress within the childcare sector.</w:t>
      </w:r>
    </w:p>
    <w:p w14:paraId="6835CD23" w14:textId="77777777" w:rsidR="001322BC" w:rsidRDefault="001322BC" w:rsidP="001322BC">
      <w:pPr>
        <w:rPr>
          <w:rFonts w:ascii="Arial" w:hAnsi="Arial" w:cs="Arial"/>
          <w:sz w:val="22"/>
          <w:szCs w:val="22"/>
        </w:rPr>
      </w:pPr>
    </w:p>
    <w:p w14:paraId="59191A79" w14:textId="4BEDE281" w:rsidR="008B7E82" w:rsidRPr="00C72151" w:rsidRDefault="008B7E82" w:rsidP="00C72151">
      <w:pPr>
        <w:shd w:val="clear" w:color="auto" w:fill="D9D9D9" w:themeFill="background1" w:themeFillShade="D9"/>
        <w:rPr>
          <w:rFonts w:ascii="Arial" w:hAnsi="Arial" w:cs="Arial"/>
          <w:b/>
          <w:bCs/>
          <w:sz w:val="22"/>
          <w:szCs w:val="22"/>
        </w:rPr>
      </w:pPr>
      <w:r>
        <w:rPr>
          <w:rFonts w:ascii="Arial" w:hAnsi="Arial"/>
          <w:b/>
          <w:sz w:val="22"/>
        </w:rPr>
        <w:t>Please note:</w:t>
      </w:r>
    </w:p>
    <w:p w14:paraId="37851B78" w14:textId="09806186" w:rsidR="008B7E82" w:rsidRDefault="008B7E82" w:rsidP="00C72151">
      <w:pPr>
        <w:shd w:val="clear" w:color="auto" w:fill="D9D9D9" w:themeFill="background1" w:themeFillShade="D9"/>
        <w:rPr>
          <w:rFonts w:ascii="Arial" w:hAnsi="Arial" w:cs="Arial"/>
          <w:sz w:val="22"/>
          <w:szCs w:val="22"/>
        </w:rPr>
      </w:pPr>
      <w:r>
        <w:rPr>
          <w:rFonts w:ascii="Arial" w:hAnsi="Arial"/>
          <w:sz w:val="22"/>
        </w:rPr>
        <w:t>In the new 2025 Childcare Collective Labour Agreement (</w:t>
      </w:r>
      <w:r>
        <w:rPr>
          <w:rFonts w:ascii="Arial" w:hAnsi="Arial"/>
          <w:i/>
          <w:iCs/>
          <w:sz w:val="22"/>
        </w:rPr>
        <w:t>cao Kinderopvang 2025</w:t>
      </w:r>
      <w:r>
        <w:rPr>
          <w:rFonts w:ascii="Arial" w:hAnsi="Arial"/>
          <w:sz w:val="22"/>
        </w:rPr>
        <w:t>) a group assistant (</w:t>
      </w:r>
      <w:r>
        <w:rPr>
          <w:rFonts w:ascii="Arial" w:hAnsi="Arial"/>
          <w:i/>
          <w:iCs/>
          <w:sz w:val="22"/>
        </w:rPr>
        <w:t>groepshulp</w:t>
      </w:r>
      <w:r>
        <w:rPr>
          <w:rFonts w:ascii="Arial" w:hAnsi="Arial"/>
          <w:sz w:val="22"/>
        </w:rPr>
        <w:t>) is now referred to as a group support worker (</w:t>
      </w:r>
      <w:r>
        <w:rPr>
          <w:rFonts w:ascii="Arial" w:hAnsi="Arial"/>
          <w:i/>
          <w:iCs/>
          <w:sz w:val="22"/>
        </w:rPr>
        <w:t>groepsondersteuner</w:t>
      </w:r>
      <w:r>
        <w:rPr>
          <w:rFonts w:ascii="Arial" w:hAnsi="Arial"/>
          <w:sz w:val="22"/>
        </w:rPr>
        <w:t>). The change of name does not affect the subsidy that you can apply for. You can therefore claim the subsidy for a group support worker.</w:t>
      </w:r>
    </w:p>
    <w:p w14:paraId="4A4B96C0" w14:textId="77777777" w:rsidR="008B7E82" w:rsidRPr="001322BC" w:rsidRDefault="008B7E82" w:rsidP="001322BC">
      <w:pPr>
        <w:rPr>
          <w:rFonts w:ascii="Arial" w:hAnsi="Arial" w:cs="Arial"/>
          <w:sz w:val="22"/>
          <w:szCs w:val="22"/>
        </w:rPr>
      </w:pPr>
    </w:p>
    <w:p w14:paraId="484162B1" w14:textId="527D5B61" w:rsidR="001322BC" w:rsidRDefault="001322BC" w:rsidP="001322BC">
      <w:pPr>
        <w:rPr>
          <w:rFonts w:ascii="Arial" w:hAnsi="Arial" w:cs="Arial"/>
          <w:sz w:val="22"/>
          <w:szCs w:val="22"/>
        </w:rPr>
      </w:pPr>
      <w:r>
        <w:rPr>
          <w:rFonts w:ascii="Arial" w:hAnsi="Arial"/>
          <w:sz w:val="22"/>
        </w:rPr>
        <w:t>The maximum subsidy is € 10,056 per year per group assistant and depends on the number of contracted hours that the group assistant works per week. In the 2025 application period it was possible for an organisation to apply for a subsidy for up to ten group assistants, and this is also the case in 2026. In the 2024 application period the limit was a maximum of two group assistants.</w:t>
      </w:r>
    </w:p>
    <w:p w14:paraId="41004A91" w14:textId="77777777" w:rsidR="008B7E82" w:rsidRPr="001322BC" w:rsidRDefault="008B7E82" w:rsidP="001322BC">
      <w:pPr>
        <w:rPr>
          <w:rFonts w:ascii="Arial" w:hAnsi="Arial" w:cs="Arial"/>
          <w:sz w:val="22"/>
          <w:szCs w:val="22"/>
        </w:rPr>
      </w:pPr>
    </w:p>
    <w:p w14:paraId="065DCB8D" w14:textId="42A8940A" w:rsidR="001322BC" w:rsidRDefault="001322BC" w:rsidP="001322BC">
      <w:pPr>
        <w:rPr>
          <w:rFonts w:ascii="Arial" w:hAnsi="Arial" w:cs="Arial"/>
          <w:sz w:val="22"/>
          <w:szCs w:val="22"/>
        </w:rPr>
      </w:pPr>
      <w:r>
        <w:rPr>
          <w:rFonts w:ascii="Arial" w:hAnsi="Arial"/>
          <w:sz w:val="22"/>
        </w:rPr>
        <w:lastRenderedPageBreak/>
        <w:t>The subsidy is subject to a number of conditions. For example, a group assistant must have an employment contract with a term of at least twelve months and a start date of 1 August 2023 or later. The group assistant must also participate in training comprising a combination of work and a senior secondary vocational education course (MBO work-based learning pathway (BBL) or MBO third learning pathway (OVO/ODT) level 1 or 2). This training must have started between 1 August 2023 and 31 October 2026. A further requirement is that the childcare organisation has previously received a subsidy for the group assistant via the practical learning subsidy scheme or the practical learning subsidy scheme for the third learning pathway.</w:t>
      </w:r>
    </w:p>
    <w:p w14:paraId="5B0AFE1F" w14:textId="77777777" w:rsidR="00C61A3F" w:rsidRDefault="00C61A3F" w:rsidP="001322BC">
      <w:pPr>
        <w:rPr>
          <w:rFonts w:ascii="Arial" w:hAnsi="Arial" w:cs="Arial"/>
          <w:sz w:val="22"/>
          <w:szCs w:val="22"/>
        </w:rPr>
      </w:pPr>
    </w:p>
    <w:p w14:paraId="2EAA7CEB" w14:textId="77777777" w:rsidR="0022267A" w:rsidRPr="0022267A" w:rsidRDefault="00C61A3F" w:rsidP="009C1129">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b/>
          <w:bCs/>
          <w:sz w:val="22"/>
          <w:szCs w:val="22"/>
          <w:highlight w:val="lightGray"/>
        </w:rPr>
      </w:pPr>
      <w:r>
        <w:rPr>
          <w:rFonts w:ascii="Arial" w:hAnsi="Arial"/>
          <w:b/>
          <w:sz w:val="22"/>
          <w:highlight w:val="lightGray"/>
        </w:rPr>
        <w:t>Please note:</w:t>
      </w:r>
    </w:p>
    <w:p w14:paraId="201C8D8E" w14:textId="6A6B3A5A" w:rsidR="00C61A3F" w:rsidRPr="009C1129" w:rsidRDefault="00C61A3F" w:rsidP="009C1129">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r>
        <w:rPr>
          <w:rFonts w:ascii="Arial" w:hAnsi="Arial"/>
          <w:sz w:val="22"/>
        </w:rPr>
        <w:t>If you have applied for a subsidy for a group assistant under the practical learning subsidy scheme or the practical learning subsidy scheme for the third learning pathway, always also apply for the subsidy for group assistants in the childcare sector. If you wait until a decision has been made on your application under one of these practical learning subsidy schemes, it will probably be too late to apply for the subsidy for group assistants in the childcare sector as well.</w:t>
      </w:r>
    </w:p>
    <w:p w14:paraId="1DEFBD93" w14:textId="77777777" w:rsidR="001322BC" w:rsidRDefault="001322BC" w:rsidP="001322BC">
      <w:pPr>
        <w:rPr>
          <w:rFonts w:ascii="Arial" w:hAnsi="Arial" w:cs="Arial"/>
          <w:sz w:val="22"/>
          <w:szCs w:val="22"/>
        </w:rPr>
      </w:pPr>
    </w:p>
    <w:p w14:paraId="14375825" w14:textId="77777777" w:rsidR="00451832" w:rsidRDefault="00451832" w:rsidP="00957F2F">
      <w:pPr>
        <w:pStyle w:val="Kop2"/>
        <w:ind w:hanging="283"/>
        <w:rPr>
          <w:rFonts w:cs="Arial"/>
          <w:sz w:val="22"/>
        </w:rPr>
      </w:pPr>
      <w:r>
        <w:rPr>
          <w:sz w:val="22"/>
        </w:rPr>
        <w:t>Tax scheme for share options at start-ups and scale-ups</w:t>
      </w:r>
    </w:p>
    <w:p w14:paraId="48244210" w14:textId="77777777" w:rsidR="00F4113B" w:rsidRPr="00F4113B" w:rsidRDefault="00F4113B" w:rsidP="00F4113B">
      <w:pPr>
        <w:rPr>
          <w:rFonts w:ascii="Arial" w:hAnsi="Arial" w:cs="Arial"/>
          <w:sz w:val="22"/>
          <w:szCs w:val="22"/>
        </w:rPr>
      </w:pPr>
    </w:p>
    <w:p w14:paraId="51292700" w14:textId="608950B9" w:rsidR="00451832" w:rsidRPr="00451832" w:rsidRDefault="00451832" w:rsidP="00451832">
      <w:pPr>
        <w:rPr>
          <w:rFonts w:ascii="Arial" w:hAnsi="Arial" w:cs="Arial"/>
          <w:sz w:val="22"/>
          <w:szCs w:val="22"/>
        </w:rPr>
      </w:pPr>
      <w:r>
        <w:rPr>
          <w:rFonts w:ascii="Arial" w:hAnsi="Arial"/>
          <w:sz w:val="22"/>
        </w:rPr>
        <w:t>There are plans to introduce a tax scheme to improve access to talented workers for start-ups and scale-ups. The intention is that this new share option scheme will promote employee participation, helping start-ups develop more successfully into scale-ups.</w:t>
      </w:r>
    </w:p>
    <w:p w14:paraId="32CA0F08" w14:textId="77777777" w:rsidR="00451832" w:rsidRPr="00451832" w:rsidRDefault="00451832" w:rsidP="00451832">
      <w:pPr>
        <w:rPr>
          <w:rFonts w:ascii="Arial" w:hAnsi="Arial" w:cs="Arial"/>
          <w:sz w:val="22"/>
          <w:szCs w:val="22"/>
        </w:rPr>
      </w:pPr>
    </w:p>
    <w:p w14:paraId="0CAF6C31" w14:textId="77777777" w:rsidR="00451832" w:rsidRPr="006E4D34" w:rsidRDefault="00451832" w:rsidP="00451832">
      <w:pPr>
        <w:rPr>
          <w:rFonts w:ascii="Arial" w:hAnsi="Arial" w:cs="Arial"/>
          <w:b/>
          <w:bCs/>
          <w:sz w:val="22"/>
          <w:szCs w:val="22"/>
        </w:rPr>
      </w:pPr>
      <w:r>
        <w:rPr>
          <w:rFonts w:ascii="Arial" w:hAnsi="Arial"/>
          <w:b/>
          <w:sz w:val="22"/>
        </w:rPr>
        <w:t>Tax reduction for share options</w:t>
      </w:r>
    </w:p>
    <w:p w14:paraId="79A6E75F" w14:textId="387DB333" w:rsidR="00451832" w:rsidRDefault="00451832" w:rsidP="00451832">
      <w:pPr>
        <w:rPr>
          <w:rFonts w:ascii="Arial" w:hAnsi="Arial" w:cs="Arial"/>
          <w:sz w:val="22"/>
          <w:szCs w:val="22"/>
        </w:rPr>
      </w:pPr>
      <w:r>
        <w:rPr>
          <w:rFonts w:ascii="Arial" w:hAnsi="Arial"/>
          <w:sz w:val="22"/>
        </w:rPr>
        <w:t>The proposal is to introduce a reduction in payroll tax on income from share options for employees of start-ups and scale-ups. This will be achieved by limiting the taxable basis for income from share options to 65%, meaning that tax is levied on a lower level of income. The aim is to bring the effective rate broadly into line with that at which share options are taxed in box 2.</w:t>
      </w:r>
    </w:p>
    <w:p w14:paraId="699AF443" w14:textId="77777777" w:rsidR="00C72151" w:rsidRPr="00451832" w:rsidRDefault="00C72151" w:rsidP="00451832">
      <w:pPr>
        <w:rPr>
          <w:rFonts w:ascii="Arial" w:hAnsi="Arial" w:cs="Arial"/>
          <w:sz w:val="22"/>
          <w:szCs w:val="22"/>
        </w:rPr>
      </w:pPr>
    </w:p>
    <w:p w14:paraId="13072D69" w14:textId="77777777" w:rsidR="00451832" w:rsidRPr="006E4D34" w:rsidRDefault="00451832" w:rsidP="00451832">
      <w:pPr>
        <w:rPr>
          <w:rFonts w:ascii="Arial" w:hAnsi="Arial" w:cs="Arial"/>
          <w:b/>
          <w:bCs/>
          <w:sz w:val="22"/>
          <w:szCs w:val="22"/>
        </w:rPr>
      </w:pPr>
      <w:r>
        <w:rPr>
          <w:rFonts w:ascii="Arial" w:hAnsi="Arial"/>
          <w:b/>
          <w:sz w:val="22"/>
        </w:rPr>
        <w:t>Moment when share options taxed to be pushed back</w:t>
      </w:r>
    </w:p>
    <w:p w14:paraId="1565DF67" w14:textId="78999690" w:rsidR="00451832" w:rsidRDefault="00451832" w:rsidP="00451832">
      <w:pPr>
        <w:rPr>
          <w:rFonts w:ascii="Arial" w:hAnsi="Arial" w:cs="Arial"/>
          <w:sz w:val="22"/>
          <w:szCs w:val="22"/>
        </w:rPr>
      </w:pPr>
      <w:r>
        <w:rPr>
          <w:rFonts w:ascii="Arial" w:hAnsi="Arial"/>
          <w:sz w:val="22"/>
        </w:rPr>
        <w:t>It is also being proposed that the moment when tax is levied should be pushed back to the point when the shares – acquired after exercising the share options – are sold. This will ensure that no tax has to be paid before funds become available.</w:t>
      </w:r>
    </w:p>
    <w:p w14:paraId="1E8D4895" w14:textId="77777777" w:rsidR="00EC6DF8" w:rsidRDefault="00EC6DF8" w:rsidP="00451832">
      <w:pPr>
        <w:rPr>
          <w:rFonts w:ascii="Arial" w:hAnsi="Arial" w:cs="Arial"/>
          <w:sz w:val="22"/>
          <w:szCs w:val="22"/>
        </w:rPr>
      </w:pPr>
    </w:p>
    <w:p w14:paraId="380DC677" w14:textId="77777777" w:rsidR="00C72151" w:rsidRPr="00C72151" w:rsidRDefault="00EC6DF8" w:rsidP="00C72151">
      <w:pPr>
        <w:shd w:val="clear" w:color="auto" w:fill="D9D9D9" w:themeFill="background1" w:themeFillShade="D9"/>
        <w:rPr>
          <w:rFonts w:ascii="Arial" w:hAnsi="Arial" w:cs="Arial"/>
          <w:b/>
          <w:bCs/>
          <w:sz w:val="22"/>
          <w:szCs w:val="22"/>
        </w:rPr>
      </w:pPr>
      <w:r>
        <w:rPr>
          <w:rFonts w:ascii="Arial" w:hAnsi="Arial"/>
          <w:b/>
          <w:sz w:val="22"/>
        </w:rPr>
        <w:t>Please note:</w:t>
      </w:r>
    </w:p>
    <w:p w14:paraId="346BFCD8" w14:textId="763DB320" w:rsidR="00EC6DF8" w:rsidRDefault="00EC6DF8" w:rsidP="00C72151">
      <w:pPr>
        <w:shd w:val="clear" w:color="auto" w:fill="D9D9D9" w:themeFill="background1" w:themeFillShade="D9"/>
        <w:rPr>
          <w:rFonts w:ascii="Arial" w:hAnsi="Arial" w:cs="Arial"/>
          <w:sz w:val="22"/>
          <w:szCs w:val="22"/>
        </w:rPr>
      </w:pPr>
      <w:r>
        <w:rPr>
          <w:rFonts w:ascii="Arial" w:hAnsi="Arial"/>
          <w:sz w:val="22"/>
        </w:rPr>
        <w:t>If an employee leaves the company, this will not have any adverse consequences for him/her. In this case too tax will only be levied when the shares are sold.</w:t>
      </w:r>
    </w:p>
    <w:p w14:paraId="48658675" w14:textId="77777777" w:rsidR="005142C8" w:rsidRDefault="005142C8" w:rsidP="00451832">
      <w:pPr>
        <w:rPr>
          <w:rFonts w:ascii="Arial" w:hAnsi="Arial" w:cs="Arial"/>
          <w:sz w:val="22"/>
          <w:szCs w:val="22"/>
        </w:rPr>
      </w:pPr>
    </w:p>
    <w:p w14:paraId="1365A554" w14:textId="2C411C11" w:rsidR="005142C8" w:rsidRDefault="005142C8" w:rsidP="00451832">
      <w:pPr>
        <w:rPr>
          <w:rFonts w:ascii="Arial" w:hAnsi="Arial" w:cs="Arial"/>
          <w:sz w:val="22"/>
          <w:szCs w:val="22"/>
        </w:rPr>
      </w:pPr>
      <w:r>
        <w:rPr>
          <w:rFonts w:ascii="Arial" w:hAnsi="Arial"/>
          <w:b/>
          <w:sz w:val="22"/>
        </w:rPr>
        <w:t>Definition of start-up and scale-up</w:t>
      </w:r>
      <w:r>
        <w:rPr>
          <w:rFonts w:ascii="Arial" w:hAnsi="Arial"/>
          <w:b/>
          <w:sz w:val="22"/>
        </w:rPr>
        <w:br/>
      </w:r>
      <w:r>
        <w:rPr>
          <w:rFonts w:ascii="Arial" w:hAnsi="Arial"/>
          <w:sz w:val="22"/>
        </w:rPr>
        <w:t>Partly with the new box 3 system in mind (introduction planned from 2028), a definition of a start-up or scale-up has been included in the law:</w:t>
      </w:r>
    </w:p>
    <w:p w14:paraId="11FB2EBC" w14:textId="2C961AA9" w:rsidR="006E4D34" w:rsidRPr="00371775" w:rsidRDefault="006E4D34" w:rsidP="00E67DC0">
      <w:pPr>
        <w:numPr>
          <w:ilvl w:val="0"/>
          <w:numId w:val="23"/>
        </w:numPr>
        <w:tabs>
          <w:tab w:val="num" w:pos="720"/>
        </w:tabs>
        <w:rPr>
          <w:rFonts w:ascii="Arial" w:hAnsi="Arial" w:cs="Arial"/>
          <w:sz w:val="22"/>
          <w:szCs w:val="22"/>
        </w:rPr>
      </w:pPr>
      <w:r>
        <w:rPr>
          <w:rFonts w:ascii="Arial" w:hAnsi="Arial"/>
          <w:sz w:val="22"/>
        </w:rPr>
        <w:t>The company is innovative and has scalable business activities;</w:t>
      </w:r>
    </w:p>
    <w:p w14:paraId="6CAF0E90" w14:textId="5FD185E3" w:rsidR="006E4D34" w:rsidRPr="00371775" w:rsidRDefault="00371775" w:rsidP="00E67DC0">
      <w:pPr>
        <w:numPr>
          <w:ilvl w:val="0"/>
          <w:numId w:val="23"/>
        </w:numPr>
        <w:tabs>
          <w:tab w:val="num" w:pos="720"/>
        </w:tabs>
        <w:rPr>
          <w:rFonts w:ascii="Arial" w:hAnsi="Arial" w:cs="Arial"/>
          <w:sz w:val="22"/>
          <w:szCs w:val="22"/>
        </w:rPr>
      </w:pPr>
      <w:r>
        <w:rPr>
          <w:rFonts w:ascii="Arial" w:hAnsi="Arial"/>
          <w:sz w:val="22"/>
        </w:rPr>
        <w:t>The company can demonstrate, by means of a growth plan, the steps that need to be taken to realise these scalable activities and achieve growth;</w:t>
      </w:r>
    </w:p>
    <w:p w14:paraId="1DC3722D" w14:textId="4199DDF5" w:rsidR="00371775" w:rsidRDefault="00371775" w:rsidP="00371775">
      <w:pPr>
        <w:numPr>
          <w:ilvl w:val="0"/>
          <w:numId w:val="23"/>
        </w:numPr>
        <w:tabs>
          <w:tab w:val="num" w:pos="720"/>
        </w:tabs>
        <w:rPr>
          <w:rFonts w:ascii="Arial" w:hAnsi="Arial" w:cs="Arial"/>
          <w:sz w:val="22"/>
          <w:szCs w:val="22"/>
        </w:rPr>
      </w:pPr>
      <w:r>
        <w:rPr>
          <w:rFonts w:ascii="Arial" w:hAnsi="Arial"/>
          <w:sz w:val="22"/>
        </w:rPr>
        <w:t>The company is run as a private limited company (BV), public limited company (NV) or a comparable European legal form;</w:t>
      </w:r>
    </w:p>
    <w:p w14:paraId="3F42565E" w14:textId="46E4D0B4" w:rsidR="005142C8" w:rsidRDefault="00371775" w:rsidP="00371775">
      <w:pPr>
        <w:numPr>
          <w:ilvl w:val="0"/>
          <w:numId w:val="23"/>
        </w:numPr>
        <w:tabs>
          <w:tab w:val="num" w:pos="720"/>
        </w:tabs>
        <w:rPr>
          <w:rFonts w:ascii="Arial" w:hAnsi="Arial" w:cs="Arial"/>
          <w:sz w:val="22"/>
          <w:szCs w:val="22"/>
        </w:rPr>
      </w:pPr>
      <w:r>
        <w:rPr>
          <w:rFonts w:ascii="Arial" w:hAnsi="Arial"/>
          <w:sz w:val="22"/>
        </w:rPr>
        <w:t>The company has not been granted a moratorium, is not bankrupt and has adequate solvency and liquidity (for an innovative company with scalable business activities).</w:t>
      </w:r>
    </w:p>
    <w:p w14:paraId="6AC57077" w14:textId="77777777" w:rsidR="00371775" w:rsidRPr="00371775" w:rsidRDefault="00371775" w:rsidP="00E67DC0">
      <w:pPr>
        <w:tabs>
          <w:tab w:val="num" w:pos="720"/>
        </w:tabs>
        <w:rPr>
          <w:rFonts w:ascii="Arial" w:hAnsi="Arial" w:cs="Arial"/>
          <w:sz w:val="22"/>
          <w:szCs w:val="22"/>
        </w:rPr>
      </w:pPr>
    </w:p>
    <w:p w14:paraId="333C1474" w14:textId="77777777" w:rsidR="0080169D" w:rsidRDefault="0080169D" w:rsidP="00451832">
      <w:pPr>
        <w:rPr>
          <w:rFonts w:ascii="Arial" w:hAnsi="Arial"/>
          <w:b/>
          <w:sz w:val="22"/>
        </w:rPr>
      </w:pPr>
    </w:p>
    <w:p w14:paraId="7418E3C2" w14:textId="77777777" w:rsidR="0080169D" w:rsidRDefault="0080169D" w:rsidP="00451832">
      <w:pPr>
        <w:rPr>
          <w:rFonts w:ascii="Arial" w:hAnsi="Arial"/>
          <w:b/>
          <w:sz w:val="22"/>
        </w:rPr>
      </w:pPr>
    </w:p>
    <w:p w14:paraId="2BA3CA27" w14:textId="22E98826" w:rsidR="00EC6DF8" w:rsidRPr="00571838" w:rsidRDefault="00EC6DF8" w:rsidP="00451832">
      <w:pPr>
        <w:rPr>
          <w:rFonts w:ascii="Arial" w:hAnsi="Arial" w:cs="Arial"/>
          <w:b/>
          <w:bCs/>
          <w:sz w:val="22"/>
          <w:szCs w:val="22"/>
        </w:rPr>
      </w:pPr>
      <w:r>
        <w:rPr>
          <w:rFonts w:ascii="Arial" w:hAnsi="Arial"/>
          <w:b/>
          <w:sz w:val="22"/>
        </w:rPr>
        <w:t>Decision</w:t>
      </w:r>
    </w:p>
    <w:p w14:paraId="41D312B7" w14:textId="5B03EB09" w:rsidR="005142C8" w:rsidRDefault="005142C8" w:rsidP="00451832">
      <w:pPr>
        <w:rPr>
          <w:rFonts w:ascii="Arial" w:hAnsi="Arial" w:cs="Arial"/>
          <w:sz w:val="22"/>
          <w:szCs w:val="22"/>
        </w:rPr>
      </w:pPr>
      <w:r>
        <w:rPr>
          <w:rFonts w:ascii="Arial" w:hAnsi="Arial"/>
          <w:sz w:val="22"/>
        </w:rPr>
        <w:t>The Netherlands Enterprise Agency (RVO) will be responsible for determining whether a company meets the definition of a start-up or scale-up and will issue a decision on this. The intention is that this decision will be valid for eight years. It will then be possible to extend it by five years at a time if the conditions are still met.</w:t>
      </w:r>
    </w:p>
    <w:p w14:paraId="2804D1C5" w14:textId="77777777" w:rsidR="00EC6DF8" w:rsidRDefault="00EC6DF8" w:rsidP="00451832">
      <w:pPr>
        <w:rPr>
          <w:rFonts w:ascii="Arial" w:hAnsi="Arial" w:cs="Arial"/>
          <w:sz w:val="22"/>
          <w:szCs w:val="22"/>
        </w:rPr>
      </w:pPr>
    </w:p>
    <w:p w14:paraId="15715233" w14:textId="77777777" w:rsidR="00C72151" w:rsidRPr="00C72151" w:rsidRDefault="00EC6DF8" w:rsidP="00C72151">
      <w:pPr>
        <w:shd w:val="clear" w:color="auto" w:fill="D9D9D9" w:themeFill="background1" w:themeFillShade="D9"/>
        <w:rPr>
          <w:rFonts w:ascii="Arial" w:hAnsi="Arial" w:cs="Arial"/>
          <w:b/>
          <w:bCs/>
          <w:sz w:val="22"/>
          <w:szCs w:val="22"/>
        </w:rPr>
      </w:pPr>
      <w:r>
        <w:rPr>
          <w:rFonts w:ascii="Arial" w:hAnsi="Arial"/>
          <w:b/>
          <w:sz w:val="22"/>
        </w:rPr>
        <w:t>Please note:</w:t>
      </w:r>
    </w:p>
    <w:p w14:paraId="4DED6C9E" w14:textId="0C5A5497" w:rsidR="00EC6DF8" w:rsidRPr="005142C8" w:rsidRDefault="00EC6DF8" w:rsidP="00C72151">
      <w:pPr>
        <w:shd w:val="clear" w:color="auto" w:fill="D9D9D9" w:themeFill="background1" w:themeFillShade="D9"/>
        <w:rPr>
          <w:rFonts w:ascii="Arial" w:hAnsi="Arial" w:cs="Arial"/>
          <w:sz w:val="22"/>
          <w:szCs w:val="22"/>
        </w:rPr>
      </w:pPr>
      <w:r>
        <w:rPr>
          <w:rFonts w:ascii="Arial" w:hAnsi="Arial"/>
          <w:sz w:val="22"/>
        </w:rPr>
        <w:t>If the decision expires and the share options have not yet been exercised or the shares have not yet been sold, the employee retains the benefit of the scheme for the period during which the decision was valid. If an employee sells the shares after ten years and the decision was valid for eight of them, the reduction in the taxable basis to 65% is applied to 80% (8/10) of the total taxable income.</w:t>
      </w:r>
    </w:p>
    <w:p w14:paraId="0038261F" w14:textId="77777777" w:rsidR="00451832" w:rsidRPr="00451832" w:rsidRDefault="00451832" w:rsidP="00451832">
      <w:pPr>
        <w:rPr>
          <w:rFonts w:ascii="Arial" w:hAnsi="Arial" w:cs="Arial"/>
          <w:sz w:val="22"/>
          <w:szCs w:val="22"/>
        </w:rPr>
      </w:pPr>
    </w:p>
    <w:p w14:paraId="051B337B" w14:textId="77777777" w:rsidR="00451832" w:rsidRPr="008A5B39" w:rsidRDefault="00451832" w:rsidP="00451832">
      <w:pPr>
        <w:rPr>
          <w:rFonts w:ascii="Arial" w:hAnsi="Arial" w:cs="Arial"/>
          <w:b/>
          <w:bCs/>
          <w:sz w:val="22"/>
          <w:szCs w:val="22"/>
        </w:rPr>
      </w:pPr>
      <w:r>
        <w:rPr>
          <w:rFonts w:ascii="Arial" w:hAnsi="Arial"/>
          <w:b/>
          <w:sz w:val="22"/>
        </w:rPr>
        <w:t>Effective from 2027?</w:t>
      </w:r>
    </w:p>
    <w:p w14:paraId="3B55BE95" w14:textId="6F643BF8" w:rsidR="00451832" w:rsidRDefault="00451832" w:rsidP="00451832">
      <w:pPr>
        <w:rPr>
          <w:rFonts w:ascii="Arial" w:hAnsi="Arial" w:cs="Arial"/>
          <w:sz w:val="22"/>
          <w:szCs w:val="22"/>
        </w:rPr>
      </w:pPr>
      <w:r>
        <w:rPr>
          <w:rFonts w:ascii="Arial" w:hAnsi="Arial"/>
          <w:sz w:val="22"/>
        </w:rPr>
        <w:t xml:space="preserve">The aim is to introduce the scheme with effect from 2027. A legislative proposal is being drafted. Following an online consultation, which will probably be held in January 2026, this will be brought before the Lower House in the first quarter of 2026. </w:t>
      </w:r>
    </w:p>
    <w:p w14:paraId="3D5152DB" w14:textId="77777777" w:rsidR="00AC38FB" w:rsidRDefault="00AC38FB" w:rsidP="00451832">
      <w:pPr>
        <w:rPr>
          <w:rFonts w:ascii="Arial" w:hAnsi="Arial" w:cs="Arial"/>
          <w:sz w:val="22"/>
          <w:szCs w:val="22"/>
        </w:rPr>
      </w:pPr>
    </w:p>
    <w:p w14:paraId="00572D91" w14:textId="77777777" w:rsidR="00C72151" w:rsidRPr="00C72151" w:rsidRDefault="00AC38FB" w:rsidP="00C72151">
      <w:pPr>
        <w:shd w:val="clear" w:color="auto" w:fill="D9D9D9" w:themeFill="background1" w:themeFillShade="D9"/>
        <w:rPr>
          <w:rFonts w:ascii="Arial" w:hAnsi="Arial" w:cs="Arial"/>
          <w:b/>
          <w:bCs/>
          <w:sz w:val="22"/>
          <w:szCs w:val="22"/>
        </w:rPr>
      </w:pPr>
      <w:r>
        <w:rPr>
          <w:rFonts w:ascii="Arial" w:hAnsi="Arial"/>
          <w:b/>
          <w:sz w:val="22"/>
        </w:rPr>
        <w:t>Please note:</w:t>
      </w:r>
    </w:p>
    <w:p w14:paraId="4955E320" w14:textId="14E714D3" w:rsidR="00AC38FB" w:rsidRDefault="00AC38FB" w:rsidP="00C72151">
      <w:pPr>
        <w:shd w:val="clear" w:color="auto" w:fill="D9D9D9" w:themeFill="background1" w:themeFillShade="D9"/>
        <w:rPr>
          <w:rFonts w:ascii="Arial" w:hAnsi="Arial" w:cs="Arial"/>
          <w:sz w:val="22"/>
          <w:szCs w:val="22"/>
        </w:rPr>
      </w:pPr>
      <w:r>
        <w:rPr>
          <w:rFonts w:ascii="Arial" w:hAnsi="Arial"/>
          <w:sz w:val="22"/>
        </w:rPr>
        <w:t>The scheme will apply with retroactive effect from 17 April 2025. This is the date on which the scheme was announced in the 2025 Spring Memorandum. Its retroactive application means that the new scheme will apply to all share options granted by start-ups and scale-ups since 17 April 2025. One condition is that these share options have not yet been subject to payroll tax.</w:t>
      </w:r>
    </w:p>
    <w:p w14:paraId="509425F8" w14:textId="7B9610CB" w:rsidR="00A35E4F" w:rsidRDefault="00A35E4F" w:rsidP="00054BF1">
      <w:pPr>
        <w:rPr>
          <w:rFonts w:ascii="Arial" w:hAnsi="Arial" w:cs="Arial"/>
          <w:sz w:val="22"/>
          <w:szCs w:val="22"/>
        </w:rPr>
      </w:pPr>
    </w:p>
    <w:p w14:paraId="26EB6283" w14:textId="77777777" w:rsidR="007A0B3D" w:rsidRDefault="007A0B3D" w:rsidP="00957F2F">
      <w:pPr>
        <w:pStyle w:val="Kop2"/>
        <w:tabs>
          <w:tab w:val="clear" w:pos="539"/>
          <w:tab w:val="left" w:pos="567"/>
        </w:tabs>
        <w:ind w:hanging="283"/>
        <w:rPr>
          <w:rFonts w:cs="Arial"/>
          <w:szCs w:val="24"/>
        </w:rPr>
      </w:pPr>
      <w:r>
        <w:t>Expansion of R&amp;D tax credit</w:t>
      </w:r>
    </w:p>
    <w:p w14:paraId="4023EB10" w14:textId="77777777" w:rsidR="00812737" w:rsidRPr="00812737" w:rsidRDefault="00812737" w:rsidP="00812737"/>
    <w:p w14:paraId="7C087D3F" w14:textId="781254BC" w:rsidR="00571838" w:rsidRDefault="007A0B3D" w:rsidP="007A0B3D">
      <w:pPr>
        <w:rPr>
          <w:rFonts w:ascii="Arial" w:hAnsi="Arial" w:cs="Arial"/>
          <w:sz w:val="22"/>
          <w:szCs w:val="22"/>
        </w:rPr>
      </w:pPr>
      <w:r>
        <w:rPr>
          <w:rFonts w:ascii="Arial" w:hAnsi="Arial"/>
          <w:sz w:val="22"/>
        </w:rPr>
        <w:t>The R&amp;D tax credit (WBSO) for employers was expanded with effect from 1 January 2025. It is being expanded again in 2026: the first band of the WBSO is being indexed by 2.9% on a one-off basis this year and now applies up to a figure of € 391,020.</w:t>
      </w:r>
    </w:p>
    <w:p w14:paraId="34FCB2EA" w14:textId="77777777" w:rsidR="00C72151" w:rsidRDefault="00C72151" w:rsidP="007A0B3D">
      <w:pPr>
        <w:rPr>
          <w:rFonts w:ascii="Arial" w:hAnsi="Arial" w:cs="Arial"/>
          <w:sz w:val="22"/>
          <w:szCs w:val="22"/>
        </w:rPr>
      </w:pPr>
    </w:p>
    <w:p w14:paraId="097D7CC7" w14:textId="73BED825" w:rsidR="00476286" w:rsidRDefault="00571838" w:rsidP="007A0B3D">
      <w:pPr>
        <w:rPr>
          <w:rFonts w:ascii="Arial" w:hAnsi="Arial" w:cs="Arial"/>
          <w:sz w:val="22"/>
          <w:szCs w:val="22"/>
        </w:rPr>
      </w:pPr>
      <w:r>
        <w:rPr>
          <w:rFonts w:ascii="Arial" w:hAnsi="Arial"/>
          <w:sz w:val="22"/>
        </w:rPr>
        <w:t>The WBSO allows employers to benefit from a tax concession for the payroll costs they incur in connection with research and development. If you are entitled to the WBSO, you offset the contribution allocated to you against the payroll tax you owe. The level of the contribution depends on your research and development costs. </w:t>
      </w:r>
    </w:p>
    <w:p w14:paraId="0D181D8E" w14:textId="77777777" w:rsidR="00C72151" w:rsidRDefault="00C72151" w:rsidP="007A0B3D">
      <w:pPr>
        <w:rPr>
          <w:rFonts w:ascii="Arial" w:hAnsi="Arial" w:cs="Arial"/>
          <w:sz w:val="22"/>
          <w:szCs w:val="22"/>
        </w:rPr>
      </w:pPr>
    </w:p>
    <w:p w14:paraId="4B2F8F80" w14:textId="5D68808A" w:rsidR="00476286" w:rsidRPr="00C72151" w:rsidRDefault="00476286" w:rsidP="00C72151">
      <w:pPr>
        <w:shd w:val="clear" w:color="auto" w:fill="D9D9D9" w:themeFill="background1" w:themeFillShade="D9"/>
        <w:rPr>
          <w:rFonts w:ascii="Arial" w:hAnsi="Arial" w:cs="Arial"/>
          <w:b/>
          <w:bCs/>
          <w:sz w:val="22"/>
          <w:szCs w:val="22"/>
        </w:rPr>
      </w:pPr>
      <w:r>
        <w:rPr>
          <w:rFonts w:ascii="Arial" w:hAnsi="Arial"/>
          <w:b/>
          <w:sz w:val="22"/>
        </w:rPr>
        <w:t>Please note:</w:t>
      </w:r>
    </w:p>
    <w:p w14:paraId="21B14C8D" w14:textId="4134CEC9" w:rsidR="00476286" w:rsidRPr="00220689" w:rsidRDefault="00476286" w:rsidP="00C72151">
      <w:pPr>
        <w:shd w:val="clear" w:color="auto" w:fill="D9D9D9" w:themeFill="background1" w:themeFillShade="D9"/>
        <w:rPr>
          <w:rFonts w:ascii="Arial" w:hAnsi="Arial" w:cs="Arial"/>
          <w:sz w:val="22"/>
          <w:szCs w:val="22"/>
        </w:rPr>
      </w:pPr>
      <w:r>
        <w:rPr>
          <w:rFonts w:ascii="Arial" w:hAnsi="Arial"/>
          <w:sz w:val="22"/>
        </w:rPr>
        <w:t>The Lower House has asked the government to come up with a solution to a problem with the WBSO: start-ups and scale-ups are often unable to take full advantage of the WBSO, as their wage bill is too low when they are starting out. A carry-forward option is being proposed by the Lower House to resolve this issue.</w:t>
      </w:r>
    </w:p>
    <w:p w14:paraId="3A93C4E4" w14:textId="77777777" w:rsidR="00C72151" w:rsidRDefault="00C72151" w:rsidP="007A0B3D">
      <w:pPr>
        <w:rPr>
          <w:rFonts w:ascii="Arial" w:hAnsi="Arial" w:cs="Arial"/>
          <w:b/>
          <w:bCs/>
          <w:sz w:val="22"/>
          <w:szCs w:val="22"/>
        </w:rPr>
      </w:pPr>
    </w:p>
    <w:p w14:paraId="0445469D" w14:textId="2805E179" w:rsidR="007A0B3D" w:rsidRPr="00B0414C" w:rsidRDefault="00571838" w:rsidP="007A0B3D">
      <w:pPr>
        <w:rPr>
          <w:rFonts w:ascii="Arial" w:hAnsi="Arial" w:cs="Arial"/>
          <w:sz w:val="22"/>
          <w:szCs w:val="22"/>
        </w:rPr>
      </w:pPr>
      <w:r>
        <w:rPr>
          <w:rFonts w:ascii="Arial" w:hAnsi="Arial"/>
          <w:sz w:val="22"/>
        </w:rPr>
        <w:t>The increase in the first band means the following now applies:</w:t>
      </w:r>
    </w:p>
    <w:tbl>
      <w:tblPr>
        <w:tblStyle w:val="Tabelraster"/>
        <w:tblW w:w="0" w:type="auto"/>
        <w:tblLook w:val="04A0" w:firstRow="1" w:lastRow="0" w:firstColumn="1" w:lastColumn="0" w:noHBand="0" w:noVBand="1"/>
      </w:tblPr>
      <w:tblGrid>
        <w:gridCol w:w="3256"/>
        <w:gridCol w:w="1984"/>
        <w:gridCol w:w="1985"/>
      </w:tblGrid>
      <w:tr w:rsidR="007A0B3D" w:rsidRPr="00B0414C" w14:paraId="4CE36055" w14:textId="77777777" w:rsidTr="004D3FDF">
        <w:tc>
          <w:tcPr>
            <w:tcW w:w="3256" w:type="dxa"/>
          </w:tcPr>
          <w:p w14:paraId="70B2A968" w14:textId="772566FD" w:rsidR="007A0B3D" w:rsidRPr="00B0414C" w:rsidRDefault="007A0B3D" w:rsidP="005D53D3">
            <w:pPr>
              <w:rPr>
                <w:rFonts w:ascii="Arial" w:hAnsi="Arial" w:cs="Arial"/>
                <w:b/>
                <w:bCs/>
                <w:sz w:val="22"/>
                <w:szCs w:val="22"/>
              </w:rPr>
            </w:pPr>
            <w:r>
              <w:rPr>
                <w:rFonts w:ascii="Arial" w:hAnsi="Arial"/>
                <w:b/>
                <w:sz w:val="22"/>
              </w:rPr>
              <w:t>Rate/threshold</w:t>
            </w:r>
          </w:p>
        </w:tc>
        <w:tc>
          <w:tcPr>
            <w:tcW w:w="1984" w:type="dxa"/>
          </w:tcPr>
          <w:p w14:paraId="1119F9B7" w14:textId="2FFF4AAD" w:rsidR="007A0B3D" w:rsidRPr="00B0414C" w:rsidRDefault="007A0B3D" w:rsidP="005D53D3">
            <w:pPr>
              <w:rPr>
                <w:rFonts w:ascii="Arial" w:hAnsi="Arial" w:cs="Arial"/>
                <w:b/>
                <w:bCs/>
                <w:sz w:val="22"/>
                <w:szCs w:val="22"/>
              </w:rPr>
            </w:pPr>
            <w:r>
              <w:rPr>
                <w:rFonts w:ascii="Arial" w:hAnsi="Arial"/>
                <w:b/>
                <w:sz w:val="22"/>
              </w:rPr>
              <w:t>2025</w:t>
            </w:r>
          </w:p>
        </w:tc>
        <w:tc>
          <w:tcPr>
            <w:tcW w:w="1985" w:type="dxa"/>
          </w:tcPr>
          <w:p w14:paraId="2C8D8992" w14:textId="6FE08ACA" w:rsidR="007A0B3D" w:rsidRPr="00B0414C" w:rsidRDefault="007A0B3D" w:rsidP="005D53D3">
            <w:pPr>
              <w:rPr>
                <w:rFonts w:ascii="Arial" w:hAnsi="Arial" w:cs="Arial"/>
                <w:b/>
                <w:bCs/>
                <w:sz w:val="22"/>
                <w:szCs w:val="22"/>
              </w:rPr>
            </w:pPr>
            <w:r>
              <w:rPr>
                <w:rFonts w:ascii="Arial" w:hAnsi="Arial"/>
                <w:b/>
                <w:sz w:val="22"/>
              </w:rPr>
              <w:t>2026</w:t>
            </w:r>
          </w:p>
        </w:tc>
      </w:tr>
      <w:tr w:rsidR="007A0B3D" w:rsidRPr="00B0414C" w14:paraId="0CA10E0C" w14:textId="77777777" w:rsidTr="004D3FDF">
        <w:tc>
          <w:tcPr>
            <w:tcW w:w="3256" w:type="dxa"/>
          </w:tcPr>
          <w:p w14:paraId="49F382DB" w14:textId="77777777" w:rsidR="007A0B3D" w:rsidRPr="00B0414C" w:rsidRDefault="007A0B3D" w:rsidP="005D53D3">
            <w:pPr>
              <w:rPr>
                <w:rFonts w:ascii="Arial" w:hAnsi="Arial" w:cs="Arial"/>
                <w:sz w:val="22"/>
                <w:szCs w:val="22"/>
              </w:rPr>
            </w:pPr>
            <w:r>
              <w:rPr>
                <w:rFonts w:ascii="Arial" w:hAnsi="Arial"/>
                <w:sz w:val="22"/>
              </w:rPr>
              <w:t>Rate in 1</w:t>
            </w:r>
            <w:r>
              <w:rPr>
                <w:rFonts w:ascii="Arial" w:hAnsi="Arial"/>
                <w:sz w:val="22"/>
                <w:vertAlign w:val="superscript"/>
              </w:rPr>
              <w:t>st</w:t>
            </w:r>
            <w:r>
              <w:rPr>
                <w:rFonts w:ascii="Arial" w:hAnsi="Arial"/>
                <w:sz w:val="22"/>
              </w:rPr>
              <w:t xml:space="preserve"> band</w:t>
            </w:r>
          </w:p>
        </w:tc>
        <w:tc>
          <w:tcPr>
            <w:tcW w:w="1984" w:type="dxa"/>
          </w:tcPr>
          <w:p w14:paraId="1DEFED91" w14:textId="14394D37" w:rsidR="007A0B3D" w:rsidRPr="00B0414C" w:rsidRDefault="007A0B3D" w:rsidP="005D53D3">
            <w:pPr>
              <w:rPr>
                <w:rFonts w:ascii="Arial" w:hAnsi="Arial" w:cs="Arial"/>
                <w:sz w:val="22"/>
                <w:szCs w:val="22"/>
              </w:rPr>
            </w:pPr>
            <w:r>
              <w:rPr>
                <w:rFonts w:ascii="Arial" w:hAnsi="Arial"/>
                <w:sz w:val="22"/>
              </w:rPr>
              <w:t>36%</w:t>
            </w:r>
          </w:p>
        </w:tc>
        <w:tc>
          <w:tcPr>
            <w:tcW w:w="1985" w:type="dxa"/>
          </w:tcPr>
          <w:p w14:paraId="18799DA2" w14:textId="77777777" w:rsidR="007A0B3D" w:rsidRPr="00B0414C" w:rsidRDefault="007A0B3D" w:rsidP="005D53D3">
            <w:pPr>
              <w:rPr>
                <w:rFonts w:ascii="Arial" w:hAnsi="Arial" w:cs="Arial"/>
                <w:sz w:val="22"/>
                <w:szCs w:val="22"/>
              </w:rPr>
            </w:pPr>
            <w:r>
              <w:rPr>
                <w:rFonts w:ascii="Arial" w:hAnsi="Arial"/>
                <w:sz w:val="22"/>
              </w:rPr>
              <w:t>36%</w:t>
            </w:r>
          </w:p>
        </w:tc>
      </w:tr>
      <w:tr w:rsidR="007A0B3D" w:rsidRPr="00B0414C" w14:paraId="6077200A" w14:textId="77777777" w:rsidTr="004D3FDF">
        <w:tc>
          <w:tcPr>
            <w:tcW w:w="3256" w:type="dxa"/>
          </w:tcPr>
          <w:p w14:paraId="19A48CB2" w14:textId="77777777" w:rsidR="007A0B3D" w:rsidRPr="00B0414C" w:rsidRDefault="007A0B3D" w:rsidP="005D53D3">
            <w:pPr>
              <w:rPr>
                <w:rFonts w:ascii="Arial" w:hAnsi="Arial" w:cs="Arial"/>
                <w:sz w:val="22"/>
                <w:szCs w:val="22"/>
              </w:rPr>
            </w:pPr>
            <w:r>
              <w:rPr>
                <w:rFonts w:ascii="Arial" w:hAnsi="Arial"/>
                <w:sz w:val="22"/>
              </w:rPr>
              <w:t>Rate in 1</w:t>
            </w:r>
            <w:r>
              <w:rPr>
                <w:rFonts w:ascii="Arial" w:hAnsi="Arial"/>
                <w:sz w:val="22"/>
                <w:vertAlign w:val="superscript"/>
              </w:rPr>
              <w:t>st</w:t>
            </w:r>
            <w:r>
              <w:rPr>
                <w:rFonts w:ascii="Arial" w:hAnsi="Arial"/>
                <w:sz w:val="22"/>
              </w:rPr>
              <w:t xml:space="preserve"> band for start-ups</w:t>
            </w:r>
          </w:p>
        </w:tc>
        <w:tc>
          <w:tcPr>
            <w:tcW w:w="1984" w:type="dxa"/>
          </w:tcPr>
          <w:p w14:paraId="58B65431" w14:textId="2E7BE602" w:rsidR="007A0B3D" w:rsidRPr="00B0414C" w:rsidRDefault="00476286" w:rsidP="005D53D3">
            <w:pPr>
              <w:rPr>
                <w:rFonts w:ascii="Arial" w:hAnsi="Arial" w:cs="Arial"/>
                <w:sz w:val="22"/>
                <w:szCs w:val="22"/>
              </w:rPr>
            </w:pPr>
            <w:r>
              <w:rPr>
                <w:rFonts w:ascii="Arial" w:hAnsi="Arial"/>
                <w:sz w:val="22"/>
              </w:rPr>
              <w:t>50%</w:t>
            </w:r>
          </w:p>
        </w:tc>
        <w:tc>
          <w:tcPr>
            <w:tcW w:w="1985" w:type="dxa"/>
          </w:tcPr>
          <w:p w14:paraId="65C8B93C" w14:textId="77777777" w:rsidR="007A0B3D" w:rsidRPr="00B0414C" w:rsidRDefault="007A0B3D" w:rsidP="005D53D3">
            <w:pPr>
              <w:rPr>
                <w:rFonts w:ascii="Arial" w:hAnsi="Arial" w:cs="Arial"/>
                <w:sz w:val="22"/>
                <w:szCs w:val="22"/>
              </w:rPr>
            </w:pPr>
            <w:r>
              <w:rPr>
                <w:rFonts w:ascii="Arial" w:hAnsi="Arial"/>
                <w:sz w:val="22"/>
              </w:rPr>
              <w:t>50%</w:t>
            </w:r>
          </w:p>
        </w:tc>
      </w:tr>
      <w:tr w:rsidR="007A0B3D" w:rsidRPr="00B0414C" w14:paraId="2A351958" w14:textId="77777777" w:rsidTr="004D3FDF">
        <w:tc>
          <w:tcPr>
            <w:tcW w:w="3256" w:type="dxa"/>
          </w:tcPr>
          <w:p w14:paraId="55151964" w14:textId="77777777" w:rsidR="007A0B3D" w:rsidRPr="00B0414C" w:rsidRDefault="007A0B3D" w:rsidP="005D53D3">
            <w:pPr>
              <w:rPr>
                <w:rFonts w:ascii="Arial" w:hAnsi="Arial" w:cs="Arial"/>
                <w:sz w:val="22"/>
                <w:szCs w:val="22"/>
              </w:rPr>
            </w:pPr>
            <w:r>
              <w:rPr>
                <w:rFonts w:ascii="Arial" w:hAnsi="Arial"/>
                <w:sz w:val="22"/>
              </w:rPr>
              <w:t>Threshold in 1</w:t>
            </w:r>
            <w:r>
              <w:rPr>
                <w:rFonts w:ascii="Arial" w:hAnsi="Arial"/>
                <w:sz w:val="22"/>
                <w:vertAlign w:val="superscript"/>
              </w:rPr>
              <w:t>st</w:t>
            </w:r>
            <w:r>
              <w:rPr>
                <w:rFonts w:ascii="Arial" w:hAnsi="Arial"/>
                <w:sz w:val="22"/>
              </w:rPr>
              <w:t xml:space="preserve"> band</w:t>
            </w:r>
          </w:p>
        </w:tc>
        <w:tc>
          <w:tcPr>
            <w:tcW w:w="1984" w:type="dxa"/>
          </w:tcPr>
          <w:p w14:paraId="257BF18A" w14:textId="62339432" w:rsidR="007A0B3D" w:rsidRPr="00B0414C" w:rsidRDefault="007A0B3D" w:rsidP="005D53D3">
            <w:pPr>
              <w:rPr>
                <w:rFonts w:ascii="Arial" w:hAnsi="Arial" w:cs="Arial"/>
                <w:sz w:val="22"/>
                <w:szCs w:val="22"/>
              </w:rPr>
            </w:pPr>
            <w:r>
              <w:rPr>
                <w:rFonts w:ascii="Arial" w:hAnsi="Arial"/>
                <w:sz w:val="22"/>
              </w:rPr>
              <w:t>€ 380,000</w:t>
            </w:r>
          </w:p>
        </w:tc>
        <w:tc>
          <w:tcPr>
            <w:tcW w:w="1985" w:type="dxa"/>
          </w:tcPr>
          <w:p w14:paraId="1EEDF74D" w14:textId="6FC92837" w:rsidR="007A0B3D" w:rsidRPr="00B0414C" w:rsidRDefault="007A0B3D" w:rsidP="005D53D3">
            <w:pPr>
              <w:rPr>
                <w:rFonts w:ascii="Arial" w:hAnsi="Arial" w:cs="Arial"/>
                <w:sz w:val="22"/>
                <w:szCs w:val="22"/>
              </w:rPr>
            </w:pPr>
            <w:r>
              <w:rPr>
                <w:rFonts w:ascii="Arial" w:hAnsi="Arial"/>
                <w:sz w:val="22"/>
              </w:rPr>
              <w:t>€ 391,200</w:t>
            </w:r>
          </w:p>
        </w:tc>
      </w:tr>
      <w:tr w:rsidR="007A0B3D" w14:paraId="533ABC93" w14:textId="77777777" w:rsidTr="004D3FDF">
        <w:tc>
          <w:tcPr>
            <w:tcW w:w="3256" w:type="dxa"/>
          </w:tcPr>
          <w:p w14:paraId="521A0CAD" w14:textId="77777777" w:rsidR="007A0B3D" w:rsidRPr="00B0414C" w:rsidRDefault="007A0B3D" w:rsidP="005D53D3">
            <w:pPr>
              <w:rPr>
                <w:rFonts w:ascii="Arial" w:hAnsi="Arial" w:cs="Arial"/>
                <w:sz w:val="22"/>
                <w:szCs w:val="22"/>
              </w:rPr>
            </w:pPr>
            <w:r>
              <w:rPr>
                <w:rFonts w:ascii="Arial" w:hAnsi="Arial"/>
                <w:sz w:val="22"/>
              </w:rPr>
              <w:t>Rate in 2</w:t>
            </w:r>
            <w:r>
              <w:rPr>
                <w:rFonts w:ascii="Arial" w:hAnsi="Arial"/>
                <w:sz w:val="22"/>
                <w:vertAlign w:val="superscript"/>
              </w:rPr>
              <w:t>nd</w:t>
            </w:r>
            <w:r>
              <w:rPr>
                <w:rFonts w:ascii="Arial" w:hAnsi="Arial"/>
                <w:sz w:val="22"/>
              </w:rPr>
              <w:t xml:space="preserve"> band</w:t>
            </w:r>
          </w:p>
        </w:tc>
        <w:tc>
          <w:tcPr>
            <w:tcW w:w="1984" w:type="dxa"/>
          </w:tcPr>
          <w:p w14:paraId="4C651C2B" w14:textId="77777777" w:rsidR="007A0B3D" w:rsidRPr="00B0414C" w:rsidRDefault="007A0B3D" w:rsidP="005D53D3">
            <w:pPr>
              <w:rPr>
                <w:rFonts w:ascii="Arial" w:hAnsi="Arial" w:cs="Arial"/>
                <w:sz w:val="22"/>
                <w:szCs w:val="22"/>
              </w:rPr>
            </w:pPr>
            <w:r>
              <w:rPr>
                <w:rFonts w:ascii="Arial" w:hAnsi="Arial"/>
                <w:sz w:val="22"/>
              </w:rPr>
              <w:t>16%</w:t>
            </w:r>
          </w:p>
        </w:tc>
        <w:tc>
          <w:tcPr>
            <w:tcW w:w="1985" w:type="dxa"/>
          </w:tcPr>
          <w:p w14:paraId="5DF676DC" w14:textId="77777777" w:rsidR="007A0B3D" w:rsidRPr="00B0414C" w:rsidRDefault="007A0B3D" w:rsidP="005D53D3">
            <w:pPr>
              <w:rPr>
                <w:rFonts w:ascii="Arial" w:hAnsi="Arial" w:cs="Arial"/>
                <w:sz w:val="22"/>
                <w:szCs w:val="22"/>
              </w:rPr>
            </w:pPr>
            <w:r>
              <w:rPr>
                <w:rFonts w:ascii="Arial" w:hAnsi="Arial"/>
                <w:sz w:val="22"/>
              </w:rPr>
              <w:t>16%</w:t>
            </w:r>
          </w:p>
        </w:tc>
      </w:tr>
    </w:tbl>
    <w:p w14:paraId="75786028" w14:textId="77777777" w:rsidR="00E67DC0" w:rsidRDefault="00E67DC0" w:rsidP="00E67DC0">
      <w:pPr>
        <w:rPr>
          <w:rFonts w:ascii="Arial" w:hAnsi="Arial" w:cs="Arial"/>
          <w:b/>
          <w:bCs/>
          <w:sz w:val="22"/>
          <w:szCs w:val="22"/>
        </w:rPr>
      </w:pPr>
    </w:p>
    <w:p w14:paraId="0F28C8CB" w14:textId="77777777" w:rsidR="007C4EBB" w:rsidRDefault="007C4EBB" w:rsidP="00E67DC0">
      <w:pPr>
        <w:rPr>
          <w:rFonts w:ascii="Arial" w:hAnsi="Arial" w:cs="Arial"/>
          <w:b/>
          <w:bCs/>
          <w:sz w:val="22"/>
          <w:szCs w:val="22"/>
        </w:rPr>
      </w:pPr>
    </w:p>
    <w:p w14:paraId="56D41314" w14:textId="0B23BF8E" w:rsidR="00571838" w:rsidRPr="00F03664" w:rsidRDefault="00571838" w:rsidP="00E67DC0">
      <w:pPr>
        <w:shd w:val="clear" w:color="auto" w:fill="D9D9D9" w:themeFill="background1" w:themeFillShade="D9"/>
        <w:rPr>
          <w:rFonts w:ascii="Arial" w:hAnsi="Arial" w:cs="Arial"/>
          <w:b/>
          <w:bCs/>
          <w:sz w:val="22"/>
          <w:szCs w:val="22"/>
        </w:rPr>
      </w:pPr>
      <w:r>
        <w:rPr>
          <w:rFonts w:ascii="Arial" w:hAnsi="Arial"/>
          <w:b/>
          <w:sz w:val="22"/>
        </w:rPr>
        <w:t>Please note:</w:t>
      </w:r>
    </w:p>
    <w:p w14:paraId="5536BE24" w14:textId="20ECC20E" w:rsidR="00571838" w:rsidRPr="00476286" w:rsidRDefault="00571838" w:rsidP="00E67DC0">
      <w:pPr>
        <w:shd w:val="clear" w:color="auto" w:fill="D9D9D9" w:themeFill="background1" w:themeFillShade="D9"/>
        <w:rPr>
          <w:rFonts w:ascii="Arial" w:hAnsi="Arial" w:cs="Arial"/>
          <w:sz w:val="22"/>
          <w:szCs w:val="22"/>
        </w:rPr>
      </w:pPr>
      <w:r>
        <w:rPr>
          <w:rFonts w:ascii="Arial" w:hAnsi="Arial"/>
          <w:sz w:val="22"/>
        </w:rPr>
        <w:t>The Lower House has also asked the Ministry of Economic Affairs and Climate Policy and the Ministry of Finance to present a proposal on the systematic indexation of the threshold in the 2027 Tax Plan.</w:t>
      </w:r>
    </w:p>
    <w:p w14:paraId="2214A8D5" w14:textId="77777777" w:rsidR="00571838" w:rsidRPr="00476286" w:rsidRDefault="00571838" w:rsidP="0074226A">
      <w:pPr>
        <w:rPr>
          <w:rFonts w:ascii="Arial" w:hAnsi="Arial" w:cs="Arial"/>
          <w:sz w:val="22"/>
          <w:szCs w:val="22"/>
        </w:rPr>
      </w:pPr>
    </w:p>
    <w:p w14:paraId="51805BB1" w14:textId="6EF556DE" w:rsidR="00EF0D3D" w:rsidRDefault="00EF0D3D" w:rsidP="00957F2F">
      <w:pPr>
        <w:pStyle w:val="Kop2"/>
        <w:tabs>
          <w:tab w:val="clear" w:pos="539"/>
          <w:tab w:val="left" w:pos="567"/>
        </w:tabs>
        <w:ind w:hanging="283"/>
        <w:rPr>
          <w:rFonts w:cs="Arial"/>
          <w:szCs w:val="24"/>
        </w:rPr>
      </w:pPr>
      <w:r>
        <w:t>SLIM subsidy scheme in 202</w:t>
      </w:r>
      <w:bookmarkEnd w:id="59"/>
      <w:bookmarkEnd w:id="60"/>
      <w:bookmarkEnd w:id="61"/>
      <w:r>
        <w:t>6</w:t>
      </w:r>
    </w:p>
    <w:p w14:paraId="0A8A315B" w14:textId="77777777" w:rsidR="00C9418C" w:rsidRDefault="00C9418C" w:rsidP="00C9418C"/>
    <w:p w14:paraId="2F5AE8EA" w14:textId="14543323" w:rsidR="000733B1" w:rsidRDefault="00245C9D" w:rsidP="0080169D">
      <w:pPr>
        <w:ind w:right="-142"/>
        <w:rPr>
          <w:rFonts w:ascii="Arial" w:hAnsi="Arial" w:cs="Arial"/>
          <w:color w:val="000000"/>
          <w:sz w:val="22"/>
          <w:szCs w:val="22"/>
        </w:rPr>
      </w:pPr>
      <w:r>
        <w:rPr>
          <w:rFonts w:ascii="Arial" w:hAnsi="Arial"/>
          <w:color w:val="000000"/>
          <w:sz w:val="22"/>
        </w:rPr>
        <w:t>The SLIM scheme (Learning and Development at SMEs Incentive Scheme) can help you keep your staff motivated and well qualified. A SLIM subsidy can be obtained for the following:</w:t>
      </w:r>
    </w:p>
    <w:p w14:paraId="6BF1CBB4" w14:textId="6DC66473" w:rsidR="000733B1" w:rsidRDefault="000733B1" w:rsidP="002F233C">
      <w:pPr>
        <w:pStyle w:val="Lijstalinea"/>
        <w:numPr>
          <w:ilvl w:val="0"/>
          <w:numId w:val="20"/>
        </w:numPr>
        <w:rPr>
          <w:rFonts w:ascii="Arial" w:hAnsi="Arial" w:cs="Arial"/>
          <w:color w:val="000000"/>
        </w:rPr>
      </w:pPr>
      <w:r>
        <w:rPr>
          <w:rFonts w:ascii="Arial" w:hAnsi="Arial"/>
          <w:color w:val="000000"/>
        </w:rPr>
        <w:t>performing a company scan, resulting in a training or development plan focused on identifying training requirements from the company’s perspective;</w:t>
      </w:r>
    </w:p>
    <w:p w14:paraId="3620978D" w14:textId="61D37F88" w:rsidR="000733B1" w:rsidRDefault="000733B1" w:rsidP="002F233C">
      <w:pPr>
        <w:pStyle w:val="Lijstalinea"/>
        <w:numPr>
          <w:ilvl w:val="0"/>
          <w:numId w:val="20"/>
        </w:numPr>
        <w:rPr>
          <w:rFonts w:ascii="Arial" w:hAnsi="Arial" w:cs="Arial"/>
          <w:color w:val="000000"/>
        </w:rPr>
      </w:pPr>
      <w:r>
        <w:rPr>
          <w:rFonts w:ascii="Arial" w:hAnsi="Arial"/>
          <w:color w:val="000000"/>
        </w:rPr>
        <w:t>obtaining career or development advice for the company’s employees or, in the case of an alliance, employees of other SMEs;</w:t>
      </w:r>
    </w:p>
    <w:p w14:paraId="1B62CA13" w14:textId="5D11948F" w:rsidR="000733B1" w:rsidRPr="000733B1" w:rsidRDefault="000733B1" w:rsidP="002F233C">
      <w:pPr>
        <w:pStyle w:val="Lijstalinea"/>
        <w:numPr>
          <w:ilvl w:val="0"/>
          <w:numId w:val="20"/>
        </w:numPr>
        <w:rPr>
          <w:rFonts w:ascii="Arial" w:hAnsi="Arial" w:cs="Arial"/>
          <w:color w:val="000000"/>
        </w:rPr>
      </w:pPr>
      <w:r>
        <w:rPr>
          <w:rFonts w:ascii="Arial" w:hAnsi="Arial"/>
          <w:color w:val="000000"/>
        </w:rPr>
        <w:t>supporting and guiding the development or introduction of a ‘learning and development’ method.</w:t>
      </w:r>
    </w:p>
    <w:p w14:paraId="6E059D57" w14:textId="77777777" w:rsidR="00733DD4" w:rsidRDefault="00733DD4" w:rsidP="00245C9D">
      <w:pPr>
        <w:rPr>
          <w:rFonts w:ascii="Arial" w:hAnsi="Arial" w:cs="Arial"/>
          <w:color w:val="000000"/>
          <w:sz w:val="22"/>
          <w:szCs w:val="22"/>
        </w:rPr>
      </w:pPr>
    </w:p>
    <w:p w14:paraId="0D2973EC" w14:textId="551262C8" w:rsidR="000733B1" w:rsidRDefault="000733B1" w:rsidP="00245C9D">
      <w:pPr>
        <w:rPr>
          <w:rFonts w:ascii="Arial" w:hAnsi="Arial" w:cs="Arial"/>
          <w:color w:val="000000"/>
          <w:sz w:val="22"/>
          <w:szCs w:val="22"/>
        </w:rPr>
      </w:pPr>
      <w:r>
        <w:rPr>
          <w:rFonts w:ascii="Arial" w:hAnsi="Arial"/>
          <w:color w:val="000000"/>
          <w:sz w:val="22"/>
        </w:rPr>
        <w:t>This subsidy has been extended up to and including 2029 and in 2026 there will be two separate schemes: one for individual SMEs and one for alliances of SMEs.</w:t>
      </w:r>
    </w:p>
    <w:p w14:paraId="6DE1E8EE" w14:textId="224242A9" w:rsidR="006E7C81" w:rsidRDefault="006E7C81">
      <w:pPr>
        <w:rPr>
          <w:rFonts w:ascii="Arial" w:hAnsi="Arial" w:cs="Arial"/>
          <w:color w:val="000000"/>
          <w:sz w:val="22"/>
          <w:szCs w:val="22"/>
        </w:rPr>
      </w:pPr>
    </w:p>
    <w:p w14:paraId="3D5E08FB" w14:textId="0707414D" w:rsidR="00733DD4" w:rsidRDefault="00733DD4" w:rsidP="00245C9D">
      <w:pPr>
        <w:rPr>
          <w:rFonts w:ascii="Arial" w:hAnsi="Arial" w:cs="Arial"/>
          <w:b/>
          <w:bCs/>
          <w:color w:val="000000"/>
          <w:sz w:val="22"/>
          <w:szCs w:val="22"/>
        </w:rPr>
      </w:pPr>
      <w:r>
        <w:rPr>
          <w:rFonts w:ascii="Arial" w:hAnsi="Arial"/>
          <w:b/>
          <w:color w:val="000000"/>
          <w:sz w:val="22"/>
        </w:rPr>
        <w:t>SLIM for individual SMEs</w:t>
      </w:r>
    </w:p>
    <w:p w14:paraId="06033B52" w14:textId="5DD10F81" w:rsidR="00E63BB8" w:rsidRDefault="00733DD4" w:rsidP="00733DD4">
      <w:pPr>
        <w:rPr>
          <w:rFonts w:ascii="Arial" w:hAnsi="Arial" w:cs="Arial"/>
          <w:sz w:val="22"/>
          <w:szCs w:val="22"/>
        </w:rPr>
      </w:pPr>
      <w:r>
        <w:rPr>
          <w:rFonts w:ascii="Arial" w:hAnsi="Arial"/>
          <w:color w:val="000000"/>
          <w:sz w:val="22"/>
        </w:rPr>
        <w:t xml:space="preserve">This scheme is open to both small and medium-sized companies. </w:t>
      </w:r>
      <w:r>
        <w:rPr>
          <w:rFonts w:ascii="Arial" w:hAnsi="Arial"/>
          <w:sz w:val="22"/>
        </w:rPr>
        <w:t>Since 2025 the subsidy percentage has been 60% for all companies. A maximum subsidy of € 25,000 can be applied for per application. In the case of agricultural businesses a maximum of € 20,000 applies.</w:t>
      </w:r>
    </w:p>
    <w:p w14:paraId="5D7699B8" w14:textId="77777777" w:rsidR="00E63BB8" w:rsidRDefault="00E63BB8" w:rsidP="00733DD4">
      <w:pPr>
        <w:rPr>
          <w:rFonts w:ascii="Arial" w:hAnsi="Arial" w:cs="Arial"/>
          <w:sz w:val="22"/>
          <w:szCs w:val="22"/>
        </w:rPr>
      </w:pPr>
    </w:p>
    <w:p w14:paraId="285C09A0" w14:textId="7B7B8280" w:rsidR="00F57A04" w:rsidRDefault="00E63BB8" w:rsidP="00E63BB8">
      <w:pPr>
        <w:rPr>
          <w:rFonts w:ascii="Arial" w:hAnsi="Arial" w:cs="Arial"/>
          <w:sz w:val="22"/>
          <w:szCs w:val="22"/>
        </w:rPr>
      </w:pPr>
      <w:r>
        <w:rPr>
          <w:rFonts w:ascii="Arial" w:hAnsi="Arial"/>
          <w:sz w:val="22"/>
        </w:rPr>
        <w:t xml:space="preserve">For SLIM subsidies up to € 25,000, a request for determination of the subsidy does not have to be submitted retrospectively. This subsidy will be determined automatically. There is also no obligation to draw up an evaluation report or keep records in such cases. </w:t>
      </w:r>
    </w:p>
    <w:p w14:paraId="4097C69F" w14:textId="77777777" w:rsidR="00F57A04" w:rsidRDefault="00F57A04" w:rsidP="00E63BB8">
      <w:pPr>
        <w:rPr>
          <w:rFonts w:ascii="Arial" w:hAnsi="Arial" w:cs="Arial"/>
          <w:sz w:val="22"/>
          <w:szCs w:val="22"/>
        </w:rPr>
      </w:pPr>
    </w:p>
    <w:p w14:paraId="24DC38BE" w14:textId="142067E5" w:rsidR="00E63BB8" w:rsidRDefault="00F57A04" w:rsidP="00E63BB8">
      <w:pPr>
        <w:rPr>
          <w:rFonts w:ascii="Arial" w:hAnsi="Arial" w:cs="Arial"/>
          <w:sz w:val="22"/>
          <w:szCs w:val="22"/>
        </w:rPr>
      </w:pPr>
      <w:r>
        <w:rPr>
          <w:rFonts w:ascii="Arial" w:hAnsi="Arial"/>
          <w:sz w:val="22"/>
        </w:rPr>
        <w:t>A payment of 50% of the subsidy amount is made in advance.</w:t>
      </w:r>
    </w:p>
    <w:p w14:paraId="1C657E6D" w14:textId="77777777" w:rsidR="0022267A" w:rsidRPr="00245C9D" w:rsidRDefault="0022267A" w:rsidP="00E63BB8">
      <w:pPr>
        <w:rPr>
          <w:rFonts w:ascii="Arial" w:hAnsi="Arial" w:cs="Arial"/>
          <w:sz w:val="22"/>
          <w:szCs w:val="22"/>
        </w:rPr>
      </w:pPr>
    </w:p>
    <w:p w14:paraId="31E5E03C" w14:textId="6920A2F3" w:rsidR="00733DD4" w:rsidRPr="00245C9D" w:rsidRDefault="00733DD4" w:rsidP="00733DD4">
      <w:pPr>
        <w:rPr>
          <w:rFonts w:ascii="Arial" w:hAnsi="Arial" w:cs="Arial"/>
          <w:sz w:val="22"/>
          <w:szCs w:val="22"/>
        </w:rPr>
      </w:pPr>
      <w:r>
        <w:rPr>
          <w:rFonts w:ascii="Arial" w:hAnsi="Arial"/>
          <w:sz w:val="22"/>
        </w:rPr>
        <w:t xml:space="preserve">In 2026 there are again likely to be two application periods for the SLIM scheme for SMEs. These are not yet known, but will probably be in March 2026 and September 2026. The budgets for 2026 have also not yet been announced. In 2025 a budget of € 12.5 million was available for SMEs in both the first and second application periods. </w:t>
      </w:r>
    </w:p>
    <w:p w14:paraId="7882D167" w14:textId="77777777" w:rsidR="00E63BB8" w:rsidRDefault="00E63BB8" w:rsidP="00E63BB8">
      <w:pPr>
        <w:rPr>
          <w:rFonts w:ascii="Arial" w:hAnsi="Arial" w:cs="Arial"/>
          <w:sz w:val="22"/>
          <w:szCs w:val="22"/>
        </w:rPr>
      </w:pPr>
    </w:p>
    <w:p w14:paraId="287AEADA" w14:textId="6AA8E524" w:rsidR="00E63BB8" w:rsidRDefault="00E63BB8" w:rsidP="00E63BB8">
      <w:pPr>
        <w:rPr>
          <w:rFonts w:ascii="Arial" w:hAnsi="Arial" w:cs="Arial"/>
          <w:b/>
          <w:bCs/>
          <w:sz w:val="22"/>
          <w:szCs w:val="22"/>
        </w:rPr>
      </w:pPr>
      <w:r>
        <w:rPr>
          <w:rFonts w:ascii="Arial" w:hAnsi="Arial"/>
          <w:b/>
          <w:sz w:val="22"/>
        </w:rPr>
        <w:t>SLIM scheme for alliances</w:t>
      </w:r>
    </w:p>
    <w:p w14:paraId="695BB551" w14:textId="4B895DE7" w:rsidR="00E63BB8" w:rsidRDefault="00E63BB8" w:rsidP="00E63BB8">
      <w:pPr>
        <w:rPr>
          <w:rFonts w:ascii="Arial" w:hAnsi="Arial" w:cs="Arial"/>
          <w:sz w:val="22"/>
          <w:szCs w:val="22"/>
        </w:rPr>
      </w:pPr>
      <w:r>
        <w:rPr>
          <w:rFonts w:ascii="Arial" w:hAnsi="Arial"/>
          <w:sz w:val="22"/>
        </w:rPr>
        <w:t>An alliance must consist of at least two SMEs. The subsidy percentage amounts to 60% of the eligible costs. A maximum subsidy of € 500,000 can be applied for per application (maximum of € 200,000 per partner in the alliance). The maximum is € 20,000 for agricultural businesses, € 30,000 for fishing companies and € 100,000 for road transport companies. The eligible costs must amount to at least € 210,000.</w:t>
      </w:r>
    </w:p>
    <w:p w14:paraId="71BE447F" w14:textId="77777777" w:rsidR="00E63BB8" w:rsidRDefault="00E63BB8" w:rsidP="00E63BB8">
      <w:pPr>
        <w:rPr>
          <w:rFonts w:ascii="Arial" w:hAnsi="Arial" w:cs="Arial"/>
          <w:sz w:val="22"/>
          <w:szCs w:val="22"/>
        </w:rPr>
      </w:pPr>
    </w:p>
    <w:p w14:paraId="040795AE" w14:textId="6484CC87" w:rsidR="00E63BB8" w:rsidRDefault="00E0422A" w:rsidP="00E63BB8">
      <w:pPr>
        <w:rPr>
          <w:rFonts w:ascii="Arial" w:hAnsi="Arial" w:cs="Arial"/>
          <w:sz w:val="22"/>
          <w:szCs w:val="22"/>
        </w:rPr>
      </w:pPr>
      <w:r>
        <w:rPr>
          <w:rFonts w:ascii="Arial" w:hAnsi="Arial"/>
          <w:sz w:val="22"/>
        </w:rPr>
        <w:t>Alliances can receive an advance payment of 25% of the subsidy amount granted. If the initiative lasts for more than twelve months, a further advance payment of 50% of the subsidy amount can be requested, provided that at least 50% of the project costs are incurred in the first twelve months.</w:t>
      </w:r>
    </w:p>
    <w:p w14:paraId="40CA0D11" w14:textId="77777777" w:rsidR="000733B1" w:rsidRDefault="000733B1" w:rsidP="00E63BB8">
      <w:pPr>
        <w:rPr>
          <w:rFonts w:ascii="Arial" w:hAnsi="Arial" w:cs="Arial"/>
          <w:sz w:val="22"/>
          <w:szCs w:val="22"/>
        </w:rPr>
      </w:pPr>
    </w:p>
    <w:p w14:paraId="3362702C" w14:textId="16BB926D" w:rsidR="000733B1" w:rsidRPr="00245C9D" w:rsidRDefault="000733B1" w:rsidP="000733B1">
      <w:pPr>
        <w:rPr>
          <w:rFonts w:ascii="Arial" w:hAnsi="Arial" w:cs="Arial"/>
          <w:sz w:val="22"/>
          <w:szCs w:val="22"/>
        </w:rPr>
      </w:pPr>
      <w:r>
        <w:rPr>
          <w:rFonts w:ascii="Arial" w:hAnsi="Arial"/>
          <w:sz w:val="22"/>
        </w:rPr>
        <w:lastRenderedPageBreak/>
        <w:t xml:space="preserve">A fixed payment of € 3,000 will be provided for the preparation of an audit report by an auditor, which is compulsory for subsidies of € 125,000 or more. </w:t>
      </w:r>
    </w:p>
    <w:p w14:paraId="0435EA3B" w14:textId="77777777" w:rsidR="000733B1" w:rsidRPr="00245C9D" w:rsidRDefault="000733B1" w:rsidP="00E63BB8">
      <w:pPr>
        <w:rPr>
          <w:rFonts w:ascii="Arial" w:hAnsi="Arial" w:cs="Arial"/>
          <w:sz w:val="22"/>
          <w:szCs w:val="22"/>
        </w:rPr>
      </w:pPr>
    </w:p>
    <w:p w14:paraId="2431AEEA" w14:textId="35D43C96" w:rsidR="00245C9D" w:rsidRPr="007A2720" w:rsidRDefault="000733B1" w:rsidP="00245C9D">
      <w:pPr>
        <w:rPr>
          <w:rFonts w:ascii="Arial" w:hAnsi="Arial" w:cs="Arial"/>
          <w:b/>
          <w:bCs/>
          <w:sz w:val="22"/>
          <w:szCs w:val="22"/>
        </w:rPr>
      </w:pPr>
      <w:r>
        <w:rPr>
          <w:rFonts w:ascii="Arial" w:hAnsi="Arial"/>
          <w:sz w:val="22"/>
        </w:rPr>
        <w:t>In 2026 there is again likely to be just one application period for alliances. This application period is not yet known, but will probably be in June 2026. The budget for 2026 has also not yet been announced. A budget of € 20 million was available for alliances in 2025.</w:t>
      </w:r>
    </w:p>
    <w:p w14:paraId="7A8690F0" w14:textId="77777777" w:rsidR="00EF0D3D" w:rsidRPr="00151639" w:rsidRDefault="00EF0D3D" w:rsidP="00EF0D3D">
      <w:pPr>
        <w:overflowPunct w:val="0"/>
        <w:autoSpaceDE w:val="0"/>
        <w:autoSpaceDN w:val="0"/>
        <w:adjustRightInd w:val="0"/>
        <w:textAlignment w:val="baseline"/>
        <w:rPr>
          <w:rFonts w:ascii="Arial" w:eastAsia="Arial" w:hAnsi="Arial" w:cs="Arial"/>
          <w:color w:val="000000"/>
          <w:sz w:val="22"/>
          <w:szCs w:val="22"/>
        </w:rPr>
      </w:pPr>
    </w:p>
    <w:p w14:paraId="24389C7F" w14:textId="54936A93" w:rsidR="009D7DB4" w:rsidRDefault="00FD56B0" w:rsidP="00957F2F">
      <w:pPr>
        <w:pStyle w:val="Kop2"/>
        <w:ind w:hanging="283"/>
        <w:rPr>
          <w:szCs w:val="24"/>
        </w:rPr>
      </w:pPr>
      <w:bookmarkStart w:id="62" w:name="_Toc152927311"/>
      <w:bookmarkStart w:id="63" w:name="_Toc155866632"/>
      <w:r>
        <w:t>SLIM training subsidy</w:t>
      </w:r>
    </w:p>
    <w:p w14:paraId="78FC9E1D" w14:textId="77777777" w:rsidR="00F4113B" w:rsidRPr="00F4113B" w:rsidRDefault="00F4113B" w:rsidP="00F4113B"/>
    <w:p w14:paraId="6F2C939B" w14:textId="6618AE90" w:rsidR="005B0B2A" w:rsidRDefault="005B0B2A" w:rsidP="005B0B2A">
      <w:pPr>
        <w:rPr>
          <w:rFonts w:ascii="Arial" w:hAnsi="Arial" w:cs="Arial"/>
          <w:color w:val="000000"/>
          <w:sz w:val="22"/>
          <w:szCs w:val="22"/>
        </w:rPr>
      </w:pPr>
      <w:r>
        <w:rPr>
          <w:rFonts w:ascii="Arial" w:hAnsi="Arial"/>
          <w:color w:val="000000"/>
          <w:sz w:val="22"/>
        </w:rPr>
        <w:t>In 2026 employers can again apply for the SLIM training subsidy. This new subsidy, the purpose of which is to provide new and existing employees with training to enable them to carry out roles in sectors crucial for society, was first made available in 2025. The Minister of Social Affairs and Employment has made a budget of € 73.8 million available for the period from 2025 to the end of 2027.</w:t>
      </w:r>
    </w:p>
    <w:p w14:paraId="16FBB442" w14:textId="77777777" w:rsidR="005B0B2A" w:rsidRPr="005B0B2A" w:rsidRDefault="005B0B2A" w:rsidP="005B0B2A">
      <w:pPr>
        <w:rPr>
          <w:rFonts w:ascii="Arial" w:hAnsi="Arial" w:cs="Arial"/>
          <w:color w:val="000000"/>
          <w:sz w:val="22"/>
          <w:szCs w:val="22"/>
        </w:rPr>
      </w:pPr>
    </w:p>
    <w:p w14:paraId="1C279A8C" w14:textId="77777777" w:rsidR="005B0B2A" w:rsidRPr="005B0B2A" w:rsidRDefault="005B0B2A" w:rsidP="005B0B2A">
      <w:pPr>
        <w:rPr>
          <w:rFonts w:ascii="Arial" w:hAnsi="Arial" w:cs="Arial"/>
          <w:b/>
          <w:bCs/>
          <w:color w:val="000000"/>
          <w:sz w:val="22"/>
          <w:szCs w:val="22"/>
        </w:rPr>
      </w:pPr>
      <w:r>
        <w:rPr>
          <w:rFonts w:ascii="Arial" w:hAnsi="Arial"/>
          <w:b/>
          <w:color w:val="000000"/>
          <w:sz w:val="22"/>
        </w:rPr>
        <w:t>Sector crucial for society</w:t>
      </w:r>
    </w:p>
    <w:p w14:paraId="052AAE37" w14:textId="516A3A43" w:rsidR="006E7C81" w:rsidRDefault="005B0B2A" w:rsidP="005B0B2A">
      <w:pPr>
        <w:rPr>
          <w:rFonts w:ascii="Arial" w:hAnsi="Arial" w:cs="Arial"/>
          <w:color w:val="000000"/>
          <w:sz w:val="22"/>
          <w:szCs w:val="22"/>
        </w:rPr>
      </w:pPr>
      <w:r>
        <w:rPr>
          <w:rFonts w:ascii="Arial" w:hAnsi="Arial"/>
          <w:color w:val="000000"/>
          <w:sz w:val="22"/>
        </w:rPr>
        <w:t>The subsidy is intended to promote recruitment into, and advancement to new roles within, sectors that are crucial for society and in this way reduce staff shortages. The sectors in question are:</w:t>
      </w:r>
    </w:p>
    <w:p w14:paraId="09484FA9" w14:textId="5BEDC737" w:rsidR="00042370" w:rsidRDefault="00042370" w:rsidP="002F233C">
      <w:pPr>
        <w:pStyle w:val="Lijstalinea"/>
        <w:numPr>
          <w:ilvl w:val="0"/>
          <w:numId w:val="32"/>
        </w:numPr>
        <w:rPr>
          <w:rFonts w:ascii="Arial" w:hAnsi="Arial" w:cs="Arial"/>
          <w:color w:val="000000"/>
        </w:rPr>
      </w:pPr>
      <w:r>
        <w:rPr>
          <w:rFonts w:ascii="Arial" w:hAnsi="Arial"/>
          <w:color w:val="000000"/>
        </w:rPr>
        <w:t>the green sector</w:t>
      </w:r>
    </w:p>
    <w:p w14:paraId="15452944" w14:textId="4C008151" w:rsidR="00042370" w:rsidRDefault="00042370" w:rsidP="002F233C">
      <w:pPr>
        <w:pStyle w:val="Lijstalinea"/>
        <w:numPr>
          <w:ilvl w:val="0"/>
          <w:numId w:val="32"/>
        </w:numPr>
        <w:rPr>
          <w:rFonts w:ascii="Arial" w:hAnsi="Arial" w:cs="Arial"/>
          <w:color w:val="000000"/>
        </w:rPr>
      </w:pPr>
      <w:r>
        <w:rPr>
          <w:rFonts w:ascii="Arial" w:hAnsi="Arial"/>
          <w:color w:val="000000"/>
        </w:rPr>
        <w:t>ICT</w:t>
      </w:r>
    </w:p>
    <w:p w14:paraId="02D0C3AF" w14:textId="4A6DCF53" w:rsidR="00042370" w:rsidRDefault="00042370" w:rsidP="002F233C">
      <w:pPr>
        <w:pStyle w:val="Lijstalinea"/>
        <w:numPr>
          <w:ilvl w:val="0"/>
          <w:numId w:val="32"/>
        </w:numPr>
        <w:rPr>
          <w:rFonts w:ascii="Arial" w:hAnsi="Arial" w:cs="Arial"/>
          <w:color w:val="000000"/>
        </w:rPr>
      </w:pPr>
      <w:r>
        <w:rPr>
          <w:rFonts w:ascii="Arial" w:hAnsi="Arial"/>
          <w:color w:val="000000"/>
        </w:rPr>
        <w:t>childcare</w:t>
      </w:r>
    </w:p>
    <w:p w14:paraId="5C74E8B7" w14:textId="71B78741" w:rsidR="00042370" w:rsidRDefault="00042370" w:rsidP="002F233C">
      <w:pPr>
        <w:pStyle w:val="Lijstalinea"/>
        <w:numPr>
          <w:ilvl w:val="0"/>
          <w:numId w:val="32"/>
        </w:numPr>
        <w:rPr>
          <w:rFonts w:ascii="Arial" w:hAnsi="Arial" w:cs="Arial"/>
          <w:color w:val="000000"/>
        </w:rPr>
      </w:pPr>
      <w:r>
        <w:rPr>
          <w:rFonts w:ascii="Arial" w:hAnsi="Arial"/>
          <w:color w:val="000000"/>
        </w:rPr>
        <w:t>education</w:t>
      </w:r>
    </w:p>
    <w:p w14:paraId="3AA3C379" w14:textId="28CCBC3B" w:rsidR="00042370" w:rsidRDefault="00042370" w:rsidP="002F233C">
      <w:pPr>
        <w:pStyle w:val="Lijstalinea"/>
        <w:numPr>
          <w:ilvl w:val="0"/>
          <w:numId w:val="32"/>
        </w:numPr>
        <w:rPr>
          <w:rFonts w:ascii="Arial" w:hAnsi="Arial" w:cs="Arial"/>
          <w:color w:val="000000"/>
        </w:rPr>
      </w:pPr>
      <w:r>
        <w:rPr>
          <w:rFonts w:ascii="Arial" w:hAnsi="Arial"/>
          <w:color w:val="000000"/>
        </w:rPr>
        <w:t>cleaning</w:t>
      </w:r>
    </w:p>
    <w:p w14:paraId="458910A4" w14:textId="515DE166" w:rsidR="00042370" w:rsidRDefault="00042370" w:rsidP="002F233C">
      <w:pPr>
        <w:pStyle w:val="Lijstalinea"/>
        <w:numPr>
          <w:ilvl w:val="0"/>
          <w:numId w:val="32"/>
        </w:numPr>
        <w:rPr>
          <w:rFonts w:ascii="Arial" w:hAnsi="Arial" w:cs="Arial"/>
          <w:color w:val="000000"/>
        </w:rPr>
      </w:pPr>
      <w:r>
        <w:rPr>
          <w:rFonts w:ascii="Arial" w:hAnsi="Arial"/>
          <w:color w:val="000000"/>
        </w:rPr>
        <w:t>engineering, construction and energy</w:t>
      </w:r>
    </w:p>
    <w:p w14:paraId="173A2934" w14:textId="199CE837" w:rsidR="00042370" w:rsidRDefault="00042370" w:rsidP="002F233C">
      <w:pPr>
        <w:pStyle w:val="Lijstalinea"/>
        <w:numPr>
          <w:ilvl w:val="0"/>
          <w:numId w:val="32"/>
        </w:numPr>
        <w:rPr>
          <w:rFonts w:ascii="Arial" w:hAnsi="Arial" w:cs="Arial"/>
          <w:color w:val="000000"/>
        </w:rPr>
      </w:pPr>
      <w:r>
        <w:rPr>
          <w:rFonts w:ascii="Arial" w:hAnsi="Arial"/>
          <w:color w:val="000000"/>
        </w:rPr>
        <w:t>transport and logistics</w:t>
      </w:r>
    </w:p>
    <w:p w14:paraId="199FF355" w14:textId="33853782" w:rsidR="00042370" w:rsidRPr="00996490" w:rsidRDefault="00042370" w:rsidP="002F233C">
      <w:pPr>
        <w:pStyle w:val="Lijstalinea"/>
        <w:numPr>
          <w:ilvl w:val="0"/>
          <w:numId w:val="32"/>
        </w:numPr>
        <w:rPr>
          <w:rFonts w:ascii="Arial" w:hAnsi="Arial" w:cs="Arial"/>
          <w:color w:val="000000"/>
        </w:rPr>
      </w:pPr>
      <w:r>
        <w:rPr>
          <w:rFonts w:ascii="Arial" w:hAnsi="Arial"/>
          <w:color w:val="000000"/>
        </w:rPr>
        <w:t>healthcare and wellbeing</w:t>
      </w:r>
    </w:p>
    <w:p w14:paraId="5FEC5B3C" w14:textId="77777777" w:rsidR="005B0B2A" w:rsidRDefault="005B0B2A" w:rsidP="005B0B2A">
      <w:pPr>
        <w:rPr>
          <w:rFonts w:ascii="Arial" w:hAnsi="Arial" w:cs="Arial"/>
          <w:color w:val="000000"/>
          <w:sz w:val="22"/>
          <w:szCs w:val="22"/>
        </w:rPr>
      </w:pPr>
    </w:p>
    <w:p w14:paraId="463DF57D" w14:textId="31C14E7A" w:rsidR="005B0B2A" w:rsidRPr="005B0B2A" w:rsidRDefault="005B0B2A" w:rsidP="005B0B2A">
      <w:pPr>
        <w:rPr>
          <w:rFonts w:ascii="Arial" w:hAnsi="Arial" w:cs="Arial"/>
          <w:b/>
          <w:bCs/>
          <w:color w:val="000000"/>
          <w:sz w:val="22"/>
          <w:szCs w:val="22"/>
        </w:rPr>
      </w:pPr>
      <w:r>
        <w:rPr>
          <w:rFonts w:ascii="Arial" w:hAnsi="Arial"/>
          <w:b/>
          <w:color w:val="000000"/>
          <w:sz w:val="22"/>
        </w:rPr>
        <w:t>Who is the subsidy for?</w:t>
      </w:r>
    </w:p>
    <w:p w14:paraId="51FF889D" w14:textId="020AE1F4" w:rsidR="005B0B2A" w:rsidRPr="005B0B2A" w:rsidRDefault="005B0B2A" w:rsidP="005B0B2A">
      <w:pPr>
        <w:rPr>
          <w:rFonts w:ascii="Arial" w:hAnsi="Arial" w:cs="Arial"/>
          <w:color w:val="000000"/>
          <w:sz w:val="22"/>
          <w:szCs w:val="22"/>
        </w:rPr>
      </w:pPr>
      <w:r>
        <w:rPr>
          <w:rFonts w:ascii="Arial" w:hAnsi="Arial"/>
          <w:color w:val="000000"/>
          <w:sz w:val="22"/>
        </w:rPr>
        <w:t>Employers who offer practical training, i.e. a combination of working and learning, to new or existing employees can apply for the subsidy. Registered childminding agencies can also apply for the subsidy for new or existing childminders who are registered with them.</w:t>
      </w:r>
    </w:p>
    <w:p w14:paraId="50E67D9F" w14:textId="77777777" w:rsidR="005B0B2A" w:rsidRDefault="005B0B2A" w:rsidP="005B0B2A">
      <w:pPr>
        <w:rPr>
          <w:rFonts w:ascii="Arial" w:hAnsi="Arial" w:cs="Arial"/>
          <w:b/>
          <w:bCs/>
          <w:color w:val="000000"/>
          <w:sz w:val="22"/>
          <w:szCs w:val="22"/>
        </w:rPr>
      </w:pPr>
    </w:p>
    <w:p w14:paraId="771790FD" w14:textId="77777777" w:rsidR="0022267A" w:rsidRPr="006E7C81" w:rsidRDefault="005B0B2A" w:rsidP="009C1129">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b/>
          <w:bCs/>
          <w:sz w:val="22"/>
          <w:szCs w:val="22"/>
        </w:rPr>
      </w:pPr>
      <w:r>
        <w:rPr>
          <w:rFonts w:ascii="Arial" w:hAnsi="Arial"/>
          <w:b/>
          <w:sz w:val="22"/>
        </w:rPr>
        <w:t>Please note:</w:t>
      </w:r>
    </w:p>
    <w:p w14:paraId="5328BE75" w14:textId="5672BF83" w:rsidR="005B0B2A" w:rsidRPr="006E7C81" w:rsidRDefault="005B0B2A" w:rsidP="009C1129">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r>
        <w:rPr>
          <w:rFonts w:ascii="Arial" w:hAnsi="Arial"/>
          <w:sz w:val="22"/>
        </w:rPr>
        <w:t>Groups made up of at least one R&amp;D fund and/or one or more employer organisations and one or more employee organisations will probably also be able to apply for the subsidy in 2026. The application period is not yet known.</w:t>
      </w:r>
    </w:p>
    <w:p w14:paraId="1B0CF3DA" w14:textId="77777777" w:rsidR="005B0B2A" w:rsidRPr="005B0B2A" w:rsidRDefault="005B0B2A" w:rsidP="005B0B2A">
      <w:pPr>
        <w:rPr>
          <w:rFonts w:ascii="Arial" w:hAnsi="Arial" w:cs="Arial"/>
          <w:b/>
          <w:bCs/>
          <w:color w:val="000000"/>
          <w:sz w:val="22"/>
          <w:szCs w:val="22"/>
        </w:rPr>
      </w:pPr>
    </w:p>
    <w:p w14:paraId="5D1F7D06" w14:textId="77777777" w:rsidR="005B0B2A" w:rsidRPr="005B0B2A" w:rsidRDefault="005B0B2A" w:rsidP="005B0B2A">
      <w:pPr>
        <w:rPr>
          <w:rFonts w:ascii="Arial" w:hAnsi="Arial" w:cs="Arial"/>
          <w:b/>
          <w:bCs/>
          <w:color w:val="000000"/>
          <w:sz w:val="22"/>
          <w:szCs w:val="22"/>
        </w:rPr>
      </w:pPr>
      <w:r>
        <w:rPr>
          <w:rFonts w:ascii="Arial" w:hAnsi="Arial"/>
          <w:b/>
          <w:color w:val="000000"/>
          <w:sz w:val="22"/>
        </w:rPr>
        <w:t>Development Pathways</w:t>
      </w:r>
    </w:p>
    <w:p w14:paraId="1C0C25F3" w14:textId="18AF528A" w:rsidR="005B0B2A" w:rsidRPr="005B0B2A" w:rsidRDefault="005B0B2A" w:rsidP="005B0B2A">
      <w:pPr>
        <w:rPr>
          <w:rFonts w:ascii="Arial" w:hAnsi="Arial" w:cs="Arial"/>
          <w:color w:val="000000"/>
          <w:sz w:val="22"/>
          <w:szCs w:val="22"/>
        </w:rPr>
      </w:pPr>
      <w:r>
        <w:rPr>
          <w:rFonts w:ascii="Arial" w:hAnsi="Arial"/>
          <w:color w:val="000000"/>
          <w:sz w:val="22"/>
        </w:rPr>
        <w:t xml:space="preserve">To qualify for the subsidy, the training must be part of a role or specialism included in one of the Development Pathways. These have been published at </w:t>
      </w:r>
      <w:hyperlink r:id="rId30" w:history="1">
        <w:r>
          <w:rPr>
            <w:rStyle w:val="Hyperlink"/>
            <w:rFonts w:ascii="Arial" w:hAnsi="Arial"/>
            <w:sz w:val="22"/>
          </w:rPr>
          <w:t>Rijksoverheid.nl</w:t>
        </w:r>
      </w:hyperlink>
      <w:r>
        <w:rPr>
          <w:rFonts w:ascii="Arial" w:hAnsi="Arial"/>
          <w:color w:val="000000"/>
          <w:sz w:val="22"/>
        </w:rPr>
        <w:t>.</w:t>
      </w:r>
    </w:p>
    <w:p w14:paraId="61D5DE2D" w14:textId="77777777" w:rsidR="004513C9" w:rsidRDefault="004513C9" w:rsidP="005B0B2A">
      <w:pPr>
        <w:rPr>
          <w:rFonts w:ascii="Arial" w:hAnsi="Arial" w:cs="Arial"/>
          <w:color w:val="000000"/>
          <w:sz w:val="22"/>
          <w:szCs w:val="22"/>
        </w:rPr>
      </w:pPr>
    </w:p>
    <w:p w14:paraId="19189BCB" w14:textId="577321F4" w:rsidR="005B0B2A" w:rsidRPr="005B0B2A" w:rsidRDefault="005B0B2A" w:rsidP="005B0B2A">
      <w:pPr>
        <w:rPr>
          <w:rFonts w:ascii="Arial" w:hAnsi="Arial" w:cs="Arial"/>
          <w:b/>
          <w:bCs/>
          <w:color w:val="000000"/>
          <w:sz w:val="22"/>
          <w:szCs w:val="22"/>
        </w:rPr>
      </w:pPr>
      <w:r>
        <w:rPr>
          <w:rFonts w:ascii="Arial" w:hAnsi="Arial"/>
          <w:b/>
          <w:color w:val="000000"/>
          <w:sz w:val="22"/>
        </w:rPr>
        <w:t>Other conditions</w:t>
      </w:r>
    </w:p>
    <w:p w14:paraId="601D7D48" w14:textId="06C03013" w:rsidR="005B0B2A" w:rsidRDefault="005B0B2A" w:rsidP="005B0B2A">
      <w:pPr>
        <w:rPr>
          <w:rFonts w:ascii="Arial" w:hAnsi="Arial" w:cs="Arial"/>
          <w:color w:val="000000"/>
          <w:sz w:val="22"/>
          <w:szCs w:val="22"/>
        </w:rPr>
      </w:pPr>
      <w:r>
        <w:rPr>
          <w:rFonts w:ascii="Arial" w:hAnsi="Arial"/>
          <w:color w:val="000000"/>
          <w:sz w:val="22"/>
        </w:rPr>
        <w:t>Other conditions also apply. For example, the training may not have been purchased or have started before 28 February 2025 and must commence within thirteen weeks of the subsidy being applied for. Furthermore, no costs may be charged to the person receiving the training.</w:t>
      </w:r>
    </w:p>
    <w:p w14:paraId="35B7B65A" w14:textId="77777777" w:rsidR="007C4EBB" w:rsidRDefault="007C4EBB" w:rsidP="005B0B2A">
      <w:pPr>
        <w:rPr>
          <w:rFonts w:ascii="Arial" w:hAnsi="Arial" w:cs="Arial"/>
          <w:color w:val="000000"/>
          <w:sz w:val="22"/>
          <w:szCs w:val="22"/>
        </w:rPr>
      </w:pPr>
    </w:p>
    <w:p w14:paraId="1502D324" w14:textId="77777777" w:rsidR="00B15B01" w:rsidRDefault="00B15B01" w:rsidP="005B0B2A">
      <w:pPr>
        <w:rPr>
          <w:rFonts w:ascii="Arial" w:hAnsi="Arial" w:cs="Arial"/>
          <w:color w:val="000000"/>
          <w:sz w:val="22"/>
          <w:szCs w:val="22"/>
        </w:rPr>
      </w:pPr>
    </w:p>
    <w:p w14:paraId="076BDC38" w14:textId="77777777" w:rsidR="00B15B01" w:rsidRDefault="00B15B01" w:rsidP="005B0B2A">
      <w:pPr>
        <w:rPr>
          <w:rFonts w:ascii="Arial" w:hAnsi="Arial" w:cs="Arial"/>
          <w:color w:val="000000"/>
          <w:sz w:val="22"/>
          <w:szCs w:val="22"/>
        </w:rPr>
      </w:pPr>
    </w:p>
    <w:p w14:paraId="2A72B6F3" w14:textId="77777777" w:rsidR="00B15B01" w:rsidRPr="005B0B2A" w:rsidRDefault="00B15B01" w:rsidP="005B0B2A">
      <w:pPr>
        <w:rPr>
          <w:rFonts w:ascii="Arial" w:hAnsi="Arial" w:cs="Arial"/>
          <w:color w:val="000000"/>
          <w:sz w:val="22"/>
          <w:szCs w:val="22"/>
        </w:rPr>
      </w:pPr>
    </w:p>
    <w:p w14:paraId="665C1862" w14:textId="77777777" w:rsidR="005B0B2A" w:rsidRPr="005B0B2A" w:rsidRDefault="005B0B2A" w:rsidP="005B0B2A">
      <w:pPr>
        <w:rPr>
          <w:rFonts w:ascii="Arial" w:hAnsi="Arial" w:cs="Arial"/>
          <w:b/>
          <w:bCs/>
          <w:color w:val="000000"/>
          <w:sz w:val="22"/>
          <w:szCs w:val="22"/>
        </w:rPr>
      </w:pPr>
      <w:r>
        <w:rPr>
          <w:rFonts w:ascii="Arial" w:hAnsi="Arial"/>
          <w:b/>
          <w:color w:val="000000"/>
          <w:sz w:val="22"/>
        </w:rPr>
        <w:lastRenderedPageBreak/>
        <w:t>Level of subsidy</w:t>
      </w:r>
    </w:p>
    <w:p w14:paraId="762050A6" w14:textId="7A457248" w:rsidR="005B0B2A" w:rsidRDefault="005B0B2A" w:rsidP="005B0B2A">
      <w:pPr>
        <w:rPr>
          <w:rFonts w:ascii="Arial" w:hAnsi="Arial" w:cs="Arial"/>
          <w:color w:val="000000"/>
          <w:sz w:val="22"/>
          <w:szCs w:val="22"/>
        </w:rPr>
      </w:pPr>
      <w:r>
        <w:rPr>
          <w:rFonts w:ascii="Arial" w:hAnsi="Arial"/>
          <w:color w:val="000000"/>
          <w:sz w:val="22"/>
        </w:rPr>
        <w:t xml:space="preserve">The level of the subsidy can be found in the Development Pathways published at </w:t>
      </w:r>
      <w:hyperlink r:id="rId31" w:history="1">
        <w:r>
          <w:rPr>
            <w:rStyle w:val="Hyperlink"/>
            <w:rFonts w:ascii="Arial" w:hAnsi="Arial"/>
            <w:sz w:val="22"/>
          </w:rPr>
          <w:t>Rijksoverheid.nl</w:t>
        </w:r>
      </w:hyperlink>
      <w:r>
        <w:rPr>
          <w:rFonts w:ascii="Arial" w:hAnsi="Arial"/>
          <w:color w:val="000000"/>
          <w:sz w:val="22"/>
        </w:rPr>
        <w:t>. It depends on the Dutch Qualifications Framework (NLQF) level. For level 1, 2 or 3 the subsidy amounts to 90% of the training costs, while for level 4 it is 40%.</w:t>
      </w:r>
    </w:p>
    <w:p w14:paraId="30DEFEB2" w14:textId="77777777" w:rsidR="005B0B2A" w:rsidRPr="005B0B2A" w:rsidRDefault="005B0B2A" w:rsidP="005B0B2A">
      <w:pPr>
        <w:rPr>
          <w:rFonts w:ascii="Arial" w:hAnsi="Arial" w:cs="Arial"/>
          <w:color w:val="000000"/>
          <w:sz w:val="22"/>
          <w:szCs w:val="22"/>
        </w:rPr>
      </w:pPr>
    </w:p>
    <w:p w14:paraId="50C2E378" w14:textId="74A9C4E2" w:rsidR="005B0B2A" w:rsidRDefault="005B0B2A" w:rsidP="005B0B2A">
      <w:pPr>
        <w:rPr>
          <w:rFonts w:ascii="Arial" w:hAnsi="Arial" w:cs="Arial"/>
          <w:color w:val="000000"/>
          <w:sz w:val="22"/>
          <w:szCs w:val="22"/>
        </w:rPr>
      </w:pPr>
      <w:r>
        <w:rPr>
          <w:rFonts w:ascii="Arial" w:hAnsi="Arial"/>
          <w:color w:val="000000"/>
          <w:sz w:val="22"/>
        </w:rPr>
        <w:t>The eligible costs are the costs indicated on the provider’s invoice, provided that these are tuition, course, lecture or examination fees. The cost of compulsory literature specified by the trainer is also eligible, provided that it is directly necessary to allow the participant to follow and complete the training.</w:t>
      </w:r>
    </w:p>
    <w:p w14:paraId="4676003D" w14:textId="77777777" w:rsidR="005B0B2A" w:rsidRPr="005B0B2A" w:rsidRDefault="005B0B2A" w:rsidP="005B0B2A">
      <w:pPr>
        <w:rPr>
          <w:rFonts w:ascii="Arial" w:hAnsi="Arial" w:cs="Arial"/>
          <w:color w:val="000000"/>
          <w:sz w:val="22"/>
          <w:szCs w:val="22"/>
        </w:rPr>
      </w:pPr>
    </w:p>
    <w:p w14:paraId="5F9D5379" w14:textId="77777777" w:rsidR="005B0B2A" w:rsidRPr="005B0B2A" w:rsidRDefault="005B0B2A" w:rsidP="005B0B2A">
      <w:pPr>
        <w:rPr>
          <w:rFonts w:ascii="Arial" w:hAnsi="Arial" w:cs="Arial"/>
          <w:b/>
          <w:bCs/>
          <w:color w:val="000000"/>
          <w:sz w:val="22"/>
          <w:szCs w:val="22"/>
        </w:rPr>
      </w:pPr>
      <w:r>
        <w:rPr>
          <w:rFonts w:ascii="Arial" w:hAnsi="Arial"/>
          <w:b/>
          <w:color w:val="000000"/>
          <w:sz w:val="22"/>
        </w:rPr>
        <w:t>Applications</w:t>
      </w:r>
    </w:p>
    <w:p w14:paraId="319843D7" w14:textId="17F52B85" w:rsidR="005B0B2A" w:rsidRDefault="005B0B2A" w:rsidP="005B0B2A">
      <w:pPr>
        <w:rPr>
          <w:rFonts w:ascii="Arial" w:hAnsi="Arial" w:cs="Arial"/>
          <w:color w:val="000000"/>
          <w:sz w:val="22"/>
          <w:szCs w:val="22"/>
        </w:rPr>
      </w:pPr>
      <w:r>
        <w:rPr>
          <w:rFonts w:ascii="Arial" w:hAnsi="Arial"/>
          <w:color w:val="000000"/>
          <w:sz w:val="22"/>
        </w:rPr>
        <w:t xml:space="preserve">In 2026 applications can be made via the subsidy portal </w:t>
      </w:r>
      <w:hyperlink r:id="rId32" w:history="1">
        <w:r>
          <w:rPr>
            <w:rStyle w:val="Hyperlink"/>
            <w:rFonts w:ascii="Arial" w:hAnsi="Arial"/>
            <w:sz w:val="22"/>
          </w:rPr>
          <w:t>Uitvoering Van Beleid</w:t>
        </w:r>
      </w:hyperlink>
      <w:r>
        <w:rPr>
          <w:rFonts w:ascii="Arial" w:hAnsi="Arial"/>
          <w:color w:val="000000"/>
          <w:sz w:val="22"/>
        </w:rPr>
        <w:t>. As in 2025, there will probably be two application periods. These periods have not yet been announced.</w:t>
      </w:r>
    </w:p>
    <w:p w14:paraId="72F56542" w14:textId="77777777" w:rsidR="009C1129" w:rsidRDefault="009C1129" w:rsidP="009C1129">
      <w:pPr>
        <w:rPr>
          <w:rFonts w:ascii="Arial" w:hAnsi="Arial" w:cs="Arial"/>
          <w:b/>
          <w:bCs/>
          <w:color w:val="000000"/>
          <w:sz w:val="22"/>
          <w:szCs w:val="22"/>
        </w:rPr>
      </w:pPr>
    </w:p>
    <w:p w14:paraId="4B3A9029" w14:textId="5DC94D19" w:rsidR="009C1129" w:rsidRPr="006E7C81" w:rsidRDefault="009C1129" w:rsidP="009C1129">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b/>
          <w:bCs/>
          <w:sz w:val="22"/>
          <w:szCs w:val="22"/>
        </w:rPr>
      </w:pPr>
      <w:r>
        <w:rPr>
          <w:rFonts w:ascii="Arial" w:hAnsi="Arial"/>
          <w:b/>
          <w:sz w:val="22"/>
        </w:rPr>
        <w:t>Tip:</w:t>
      </w:r>
    </w:p>
    <w:p w14:paraId="20B9400D" w14:textId="14A3A151" w:rsidR="009C1129" w:rsidRPr="009C1129" w:rsidRDefault="009C1129" w:rsidP="009C1129">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color w:val="000000"/>
          <w:sz w:val="22"/>
          <w:szCs w:val="22"/>
        </w:rPr>
      </w:pPr>
      <w:r>
        <w:rPr>
          <w:rFonts w:ascii="Arial" w:hAnsi="Arial"/>
          <w:sz w:val="22"/>
        </w:rPr>
        <w:t xml:space="preserve">More information about the subsidy, the conditions and the subsidy application can be found on the website </w:t>
      </w:r>
      <w:hyperlink r:id="rId33" w:history="1">
        <w:r>
          <w:rPr>
            <w:rStyle w:val="Hyperlink"/>
            <w:rFonts w:ascii="Arial" w:hAnsi="Arial"/>
            <w:sz w:val="22"/>
            <w:highlight w:val="lightGray"/>
          </w:rPr>
          <w:t>Uitvoering Van Beleid of the Ministry of Social Affairs and Employment</w:t>
        </w:r>
      </w:hyperlink>
      <w:r>
        <w:t>.</w:t>
      </w:r>
    </w:p>
    <w:p w14:paraId="34B73191" w14:textId="77777777" w:rsidR="009C1129" w:rsidRPr="005B0B2A" w:rsidRDefault="009C1129" w:rsidP="005B0B2A">
      <w:pPr>
        <w:rPr>
          <w:rFonts w:ascii="Arial" w:hAnsi="Arial" w:cs="Arial"/>
          <w:color w:val="000000"/>
          <w:sz w:val="22"/>
          <w:szCs w:val="22"/>
        </w:rPr>
      </w:pPr>
    </w:p>
    <w:p w14:paraId="52050745" w14:textId="594A5F82" w:rsidR="005B1ADF" w:rsidRDefault="00A37EA4" w:rsidP="00957F2F">
      <w:pPr>
        <w:pStyle w:val="Kop2"/>
        <w:ind w:hanging="283"/>
        <w:rPr>
          <w:szCs w:val="24"/>
        </w:rPr>
      </w:pPr>
      <w:r>
        <w:t>Salary Costs (Incentive Allowances) Act</w:t>
      </w:r>
      <w:bookmarkEnd w:id="62"/>
      <w:bookmarkEnd w:id="63"/>
    </w:p>
    <w:p w14:paraId="367203F8" w14:textId="77777777" w:rsidR="00C9418C" w:rsidRDefault="00C9418C" w:rsidP="00C9418C"/>
    <w:p w14:paraId="4059C49B" w14:textId="424139CA" w:rsidR="00B15E0D" w:rsidRDefault="00C126BF" w:rsidP="00B15E0D">
      <w:pPr>
        <w:rPr>
          <w:rFonts w:ascii="Arial" w:hAnsi="Arial" w:cs="Arial"/>
          <w:sz w:val="22"/>
          <w:szCs w:val="22"/>
        </w:rPr>
      </w:pPr>
      <w:r>
        <w:rPr>
          <w:rFonts w:ascii="Arial" w:hAnsi="Arial"/>
          <w:sz w:val="22"/>
        </w:rPr>
        <w:t xml:space="preserve">The Salary Costs (Incentive Allowances) Act (Wtl) is intended to encourage employers to take on and retain people in a vulnerable position on the labour market. Since 2025 the Wtl has included just a single instrument: the wage expense allowance (LKV). In 2026, under certain conditions, you may again be entitled to this wage expense allowance for certain groups of employees who have more difficulty finding work. </w:t>
      </w:r>
    </w:p>
    <w:p w14:paraId="0DE6C5E5" w14:textId="77777777" w:rsidR="00B15E0D" w:rsidRDefault="00B15E0D" w:rsidP="005B1ADF">
      <w:pPr>
        <w:rPr>
          <w:rFonts w:ascii="Arial" w:hAnsi="Arial" w:cs="Arial"/>
          <w:sz w:val="22"/>
          <w:szCs w:val="22"/>
        </w:rPr>
      </w:pPr>
    </w:p>
    <w:p w14:paraId="29F5E5B2" w14:textId="1FAE8748" w:rsidR="00697275" w:rsidRPr="00F03664" w:rsidRDefault="002D79D5" w:rsidP="005B1ADF">
      <w:pPr>
        <w:rPr>
          <w:rFonts w:ascii="Arial" w:hAnsi="Arial" w:cs="Arial"/>
          <w:b/>
          <w:bCs/>
          <w:sz w:val="22"/>
          <w:szCs w:val="22"/>
        </w:rPr>
      </w:pPr>
      <w:r>
        <w:rPr>
          <w:rFonts w:ascii="Arial" w:hAnsi="Arial"/>
          <w:b/>
          <w:sz w:val="22"/>
        </w:rPr>
        <w:t>Abolition of LKV for older employees</w:t>
      </w:r>
    </w:p>
    <w:p w14:paraId="3D8B3358" w14:textId="619B63B7" w:rsidR="002D79D5" w:rsidRDefault="002D79D5" w:rsidP="005F2684">
      <w:pPr>
        <w:rPr>
          <w:rFonts w:ascii="Arial" w:hAnsi="Arial" w:cs="Arial"/>
          <w:sz w:val="22"/>
          <w:szCs w:val="22"/>
        </w:rPr>
      </w:pPr>
      <w:r>
        <w:rPr>
          <w:rFonts w:ascii="Arial" w:hAnsi="Arial"/>
          <w:sz w:val="22"/>
        </w:rPr>
        <w:t>For employment relationships that commenced on or after 1 January 2024 the LKV for older employees has been abolished with effect from 1 January 2026. The 2025 LKV will, however, be paid out in 2026 in these cases.</w:t>
      </w:r>
    </w:p>
    <w:p w14:paraId="2CEB30CE" w14:textId="77777777" w:rsidR="00F03664" w:rsidRPr="00F03664" w:rsidRDefault="00F03664" w:rsidP="005F2684">
      <w:pPr>
        <w:rPr>
          <w:rFonts w:ascii="Arial" w:hAnsi="Arial" w:cs="Arial"/>
          <w:sz w:val="22"/>
          <w:szCs w:val="22"/>
        </w:rPr>
      </w:pPr>
    </w:p>
    <w:p w14:paraId="0F079DB2" w14:textId="4BAD6FEE" w:rsidR="009516A2" w:rsidRPr="00F03664" w:rsidRDefault="009516A2" w:rsidP="005F2684">
      <w:pPr>
        <w:rPr>
          <w:rFonts w:ascii="Arial" w:hAnsi="Arial" w:cs="Arial"/>
          <w:sz w:val="22"/>
          <w:szCs w:val="22"/>
        </w:rPr>
      </w:pPr>
      <w:r>
        <w:rPr>
          <w:rFonts w:ascii="Arial" w:hAnsi="Arial"/>
          <w:sz w:val="22"/>
        </w:rPr>
        <w:t>For employment relationships that commenced before 1 January 2024 the LKV for older employees of € 3.05 per paid hour, with a maximum of € 6,000 per calendar year, will be retained until the end of the maximum period of three years. An entitlement to this LKV may therefore still exist in 2026. Any payment will be made in 2027.</w:t>
      </w:r>
    </w:p>
    <w:p w14:paraId="49B32AE3" w14:textId="77777777" w:rsidR="000D0DCB" w:rsidRPr="00F03664" w:rsidRDefault="000D0DCB" w:rsidP="000D0DCB">
      <w:pPr>
        <w:rPr>
          <w:rFonts w:ascii="Arial" w:hAnsi="Arial" w:cs="Arial"/>
          <w:color w:val="000000"/>
          <w:sz w:val="22"/>
          <w:szCs w:val="22"/>
        </w:rPr>
      </w:pPr>
      <w:bookmarkStart w:id="64" w:name="_Hlk155601169"/>
    </w:p>
    <w:p w14:paraId="7D67317B" w14:textId="77777777" w:rsidR="00E67DC0" w:rsidRDefault="00924BA1" w:rsidP="00E67DC0">
      <w:pPr>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bookmarkStart w:id="65" w:name="_Hlk155601657"/>
      <w:bookmarkEnd w:id="64"/>
      <w:r>
        <w:rPr>
          <w:rFonts w:ascii="Arial" w:hAnsi="Arial"/>
          <w:b/>
          <w:sz w:val="22"/>
        </w:rPr>
        <w:t>LKV for employees with an occupational disability</w:t>
      </w:r>
      <w:r>
        <w:rPr>
          <w:rFonts w:ascii="Arial" w:hAnsi="Arial"/>
          <w:b/>
          <w:sz w:val="22"/>
        </w:rPr>
        <w:br/>
      </w:r>
      <w:r>
        <w:rPr>
          <w:rFonts w:ascii="Arial" w:hAnsi="Arial"/>
          <w:sz w:val="22"/>
        </w:rPr>
        <w:t>In the case of older employees, you should therefore check whether, in 2026, you may be entitled to the LKV for employees with an occupational disability. This LKV is not being abolished and amounts to € 3.05 per paid hour for up to three years, with a maximum of € 6,000 per year. If you are able to claim the LKV for employees with an occupational disability, you will therefore not be affected by the abolition of the LKV for older employees. For the redeployment of an employee with an occupational disability, the LKV amounts to € 3.05 per paid hour for no more than one year, with a maximum of € 6,000 per year.</w:t>
      </w:r>
      <w:bookmarkEnd w:id="65"/>
    </w:p>
    <w:p w14:paraId="4677AA85" w14:textId="77777777" w:rsidR="00E67DC0" w:rsidRDefault="00E67DC0" w:rsidP="00E67DC0">
      <w:pPr>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p>
    <w:p w14:paraId="365F8216" w14:textId="22DE5536" w:rsidR="00924BA1" w:rsidRPr="00E67DC0" w:rsidRDefault="00924BA1" w:rsidP="00E67DC0">
      <w:pPr>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r>
        <w:rPr>
          <w:rFonts w:ascii="Arial" w:hAnsi="Arial"/>
          <w:b/>
          <w:sz w:val="22"/>
        </w:rPr>
        <w:t>LKV for target group with a job arrangement</w:t>
      </w:r>
    </w:p>
    <w:p w14:paraId="090E4C5B" w14:textId="7402EC43" w:rsidR="00924BA1" w:rsidRDefault="00924BA1" w:rsidP="00924BA1">
      <w:pPr>
        <w:rPr>
          <w:rFonts w:ascii="Arial" w:hAnsi="Arial" w:cs="Arial"/>
          <w:sz w:val="22"/>
          <w:szCs w:val="22"/>
        </w:rPr>
      </w:pPr>
      <w:r>
        <w:rPr>
          <w:rFonts w:ascii="Arial" w:hAnsi="Arial"/>
          <w:sz w:val="22"/>
        </w:rPr>
        <w:t>The LKV for persons within the target group of the job arrangement (</w:t>
      </w:r>
      <w:r>
        <w:rPr>
          <w:rFonts w:ascii="Arial" w:hAnsi="Arial"/>
          <w:i/>
          <w:iCs/>
          <w:sz w:val="22"/>
        </w:rPr>
        <w:t>banenafspraak</w:t>
      </w:r>
      <w:r>
        <w:rPr>
          <w:rFonts w:ascii="Arial" w:hAnsi="Arial"/>
          <w:sz w:val="22"/>
        </w:rPr>
        <w:t>) and for persons with an interrupted education (</w:t>
      </w:r>
      <w:r>
        <w:rPr>
          <w:rFonts w:ascii="Arial" w:hAnsi="Arial"/>
          <w:i/>
          <w:iCs/>
          <w:sz w:val="22"/>
        </w:rPr>
        <w:t>scholingsbelemmerden</w:t>
      </w:r>
      <w:r>
        <w:rPr>
          <w:rFonts w:ascii="Arial" w:hAnsi="Arial"/>
          <w:sz w:val="22"/>
        </w:rPr>
        <w:t>) is changing with effect from 2026. The changes are as follows:</w:t>
      </w:r>
    </w:p>
    <w:p w14:paraId="7FF2F180" w14:textId="77777777" w:rsidR="00D63845" w:rsidRDefault="00D63845" w:rsidP="002F233C">
      <w:pPr>
        <w:pStyle w:val="Lijstalinea"/>
        <w:numPr>
          <w:ilvl w:val="0"/>
          <w:numId w:val="21"/>
        </w:numPr>
        <w:rPr>
          <w:rFonts w:ascii="Arial" w:hAnsi="Arial" w:cs="Arial"/>
        </w:rPr>
      </w:pPr>
      <w:r>
        <w:rPr>
          <w:rFonts w:ascii="Arial" w:hAnsi="Arial"/>
        </w:rPr>
        <w:t xml:space="preserve">For the LKV for persons within the target group of the job arrangement you will no longer need a target group declaration from 2026. However, you must check whether the </w:t>
      </w:r>
      <w:r>
        <w:rPr>
          <w:rFonts w:ascii="Arial" w:hAnsi="Arial"/>
        </w:rPr>
        <w:lastRenderedPageBreak/>
        <w:t>employee concerned is included in the UWV’s target group register. This applies specifically to this particular LKV. A target group declaration will still be required for the LKV for employees with an occupational disability.</w:t>
      </w:r>
    </w:p>
    <w:p w14:paraId="0493E1AE" w14:textId="001DAFC3" w:rsidR="00924BA1" w:rsidRDefault="00924BA1" w:rsidP="002F233C">
      <w:pPr>
        <w:pStyle w:val="Lijstalinea"/>
        <w:numPr>
          <w:ilvl w:val="0"/>
          <w:numId w:val="21"/>
        </w:numPr>
        <w:rPr>
          <w:rFonts w:ascii="Arial" w:hAnsi="Arial" w:cs="Arial"/>
        </w:rPr>
      </w:pPr>
      <w:r>
        <w:rPr>
          <w:rFonts w:ascii="Arial" w:hAnsi="Arial"/>
        </w:rPr>
        <w:t>From 2026, the LKV for employees within the target group of the job arrangement will no longer be limited to a three-year period and will instead become a permanent allowance. With effect from 2026, you will be entitled to this LKV for as long as the employee is employed by you and entered in the target group register.</w:t>
      </w:r>
    </w:p>
    <w:p w14:paraId="3845808A" w14:textId="0DEC75F4" w:rsidR="00924BA1" w:rsidRDefault="00924BA1" w:rsidP="002F233C">
      <w:pPr>
        <w:pStyle w:val="Lijstalinea"/>
        <w:numPr>
          <w:ilvl w:val="0"/>
          <w:numId w:val="21"/>
        </w:numPr>
        <w:rPr>
          <w:rFonts w:ascii="Arial" w:hAnsi="Arial" w:cs="Arial"/>
        </w:rPr>
      </w:pPr>
      <w:r>
        <w:rPr>
          <w:rFonts w:ascii="Arial" w:hAnsi="Arial"/>
        </w:rPr>
        <w:t>The following have been added to the target group of the job arrangement:</w:t>
      </w:r>
    </w:p>
    <w:p w14:paraId="5D610E0A" w14:textId="77777777" w:rsidR="00924BA1" w:rsidRDefault="00924BA1" w:rsidP="002F233C">
      <w:pPr>
        <w:pStyle w:val="Lijstalinea"/>
        <w:numPr>
          <w:ilvl w:val="1"/>
          <w:numId w:val="21"/>
        </w:numPr>
        <w:rPr>
          <w:rFonts w:ascii="Arial" w:hAnsi="Arial" w:cs="Arial"/>
        </w:rPr>
      </w:pPr>
      <w:r>
        <w:rPr>
          <w:rFonts w:ascii="Arial" w:hAnsi="Arial"/>
        </w:rPr>
        <w:t>young persons with permanent incapacity for work who are receiving benefits under the Invalidity Insurance (Young Disabled Persons) Act (Wajong) and are employed by a regular employer, and</w:t>
      </w:r>
    </w:p>
    <w:p w14:paraId="6F6482A7" w14:textId="77777777" w:rsidR="00924BA1" w:rsidRPr="00F03664" w:rsidRDefault="00924BA1" w:rsidP="002F233C">
      <w:pPr>
        <w:pStyle w:val="Lijstalinea"/>
        <w:numPr>
          <w:ilvl w:val="1"/>
          <w:numId w:val="21"/>
        </w:numPr>
        <w:rPr>
          <w:rFonts w:ascii="Arial" w:hAnsi="Arial" w:cs="Arial"/>
        </w:rPr>
      </w:pPr>
      <w:r>
        <w:rPr>
          <w:rFonts w:ascii="Arial" w:hAnsi="Arial"/>
        </w:rPr>
        <w:t>persons who are receiving benefits under the Full Invalidity Benefit Regulations (IVA) and for whom the employer is receiving wage dispensation.</w:t>
      </w:r>
    </w:p>
    <w:p w14:paraId="534AE4B0" w14:textId="77777777" w:rsidR="00924BA1" w:rsidRPr="008E1BA1" w:rsidRDefault="00924BA1" w:rsidP="00924BA1">
      <w:pPr>
        <w:rPr>
          <w:rFonts w:ascii="Arial" w:hAnsi="Arial" w:cs="Arial"/>
          <w:sz w:val="22"/>
          <w:szCs w:val="22"/>
        </w:rPr>
      </w:pPr>
    </w:p>
    <w:p w14:paraId="19B331DC" w14:textId="1BFFB5AD" w:rsidR="008E1BA1" w:rsidRPr="008E1BA1" w:rsidRDefault="00924BA1" w:rsidP="008E1BA1">
      <w:pPr>
        <w:rPr>
          <w:rFonts w:ascii="Arial" w:hAnsi="Arial" w:cs="Arial"/>
          <w:sz w:val="22"/>
          <w:szCs w:val="22"/>
        </w:rPr>
      </w:pPr>
      <w:r>
        <w:rPr>
          <w:rFonts w:ascii="Arial" w:hAnsi="Arial"/>
          <w:sz w:val="22"/>
        </w:rPr>
        <w:t>Persons with an interrupted education and employees who have been assessed as eligible for sheltered employment have been removed from the target group of the job arrangement. From 2026 these target groups will no longer be entitled to an LKV. However, in the following situation you can still receive the LKV for persons within the target group of the job arrangement for the remainder of a maximum period of three years that started before the end of 2025:</w:t>
      </w:r>
    </w:p>
    <w:p w14:paraId="5B26148B" w14:textId="1DBDE97D" w:rsidR="00924BA1" w:rsidRPr="008E1BA1" w:rsidRDefault="00924BA1" w:rsidP="002F233C">
      <w:pPr>
        <w:pStyle w:val="Lijstalinea"/>
        <w:numPr>
          <w:ilvl w:val="0"/>
          <w:numId w:val="34"/>
        </w:numPr>
        <w:rPr>
          <w:rFonts w:ascii="Arial" w:hAnsi="Arial" w:cs="Arial"/>
        </w:rPr>
      </w:pPr>
      <w:r>
        <w:rPr>
          <w:rFonts w:ascii="Arial" w:hAnsi="Arial"/>
        </w:rPr>
        <w:t>the employment relationship commenced before 2026, and</w:t>
      </w:r>
    </w:p>
    <w:p w14:paraId="3306FB44" w14:textId="543FFDAE" w:rsidR="00924BA1" w:rsidRPr="008E1BA1" w:rsidRDefault="00924BA1" w:rsidP="002F233C">
      <w:pPr>
        <w:pStyle w:val="Lijstalinea"/>
        <w:numPr>
          <w:ilvl w:val="0"/>
          <w:numId w:val="33"/>
        </w:numPr>
        <w:rPr>
          <w:rFonts w:ascii="Arial" w:hAnsi="Arial" w:cs="Arial"/>
        </w:rPr>
      </w:pPr>
      <w:r>
        <w:rPr>
          <w:rFonts w:ascii="Arial" w:hAnsi="Arial"/>
        </w:rPr>
        <w:t>you hold a valid target group declaration confirming that the employee falls under the job arrangement and is a person with an interrupted education (and you retain this declaration with your records).</w:t>
      </w:r>
    </w:p>
    <w:p w14:paraId="282D446D" w14:textId="77777777" w:rsidR="00924BA1" w:rsidRPr="00034338" w:rsidRDefault="00924BA1" w:rsidP="00924BA1">
      <w:pPr>
        <w:rPr>
          <w:rFonts w:ascii="Arial" w:hAnsi="Arial" w:cs="Arial"/>
          <w:sz w:val="22"/>
          <w:szCs w:val="22"/>
        </w:rPr>
      </w:pPr>
    </w:p>
    <w:p w14:paraId="7B341198" w14:textId="77777777" w:rsidR="00924BA1" w:rsidRDefault="00924BA1" w:rsidP="00924BA1">
      <w:pPr>
        <w:rPr>
          <w:rFonts w:ascii="Arial" w:hAnsi="Arial" w:cs="Arial"/>
          <w:sz w:val="22"/>
          <w:szCs w:val="22"/>
        </w:rPr>
      </w:pPr>
      <w:r>
        <w:rPr>
          <w:rFonts w:ascii="Arial" w:hAnsi="Arial"/>
          <w:sz w:val="22"/>
        </w:rPr>
        <w:t>A type of bonus scheme will be introduced from a date yet to be determined. Under this scheme, if an additional levy is imposed on employers due to insufficient numbers of people being hired from the target group of the job arrangement, the amounts of this LKV will be increased substantially for any such jobs created, meaning that the employer will still be able to benefit.</w:t>
      </w:r>
    </w:p>
    <w:p w14:paraId="214D2323" w14:textId="77777777" w:rsidR="005E2B26" w:rsidRDefault="005E2B26" w:rsidP="005A7925">
      <w:pPr>
        <w:rPr>
          <w:rFonts w:ascii="Arial" w:hAnsi="Arial" w:cs="Arial"/>
          <w:sz w:val="22"/>
          <w:szCs w:val="22"/>
        </w:rPr>
      </w:pPr>
    </w:p>
    <w:p w14:paraId="015A4552" w14:textId="3372593C" w:rsidR="006D3072" w:rsidRDefault="006D3072" w:rsidP="005A7925">
      <w:pPr>
        <w:rPr>
          <w:rFonts w:ascii="Arial" w:hAnsi="Arial" w:cs="Arial"/>
          <w:b/>
          <w:bCs/>
          <w:sz w:val="22"/>
          <w:szCs w:val="22"/>
        </w:rPr>
      </w:pPr>
      <w:r>
        <w:rPr>
          <w:rFonts w:ascii="Arial" w:hAnsi="Arial"/>
          <w:b/>
          <w:sz w:val="22"/>
        </w:rPr>
        <w:t>LKV amounts for 2026</w:t>
      </w:r>
    </w:p>
    <w:p w14:paraId="0A6C291B" w14:textId="66E8A17B" w:rsidR="006D3072" w:rsidRDefault="006D3072" w:rsidP="005A7925">
      <w:pPr>
        <w:rPr>
          <w:rFonts w:ascii="Arial" w:hAnsi="Arial" w:cs="Arial"/>
          <w:sz w:val="22"/>
          <w:szCs w:val="22"/>
        </w:rPr>
      </w:pPr>
      <w:r>
        <w:rPr>
          <w:rFonts w:ascii="Arial" w:hAnsi="Arial"/>
          <w:sz w:val="22"/>
        </w:rPr>
        <w:t>How much wage expense allowance you receive depends on the number of paid hours and the type of wage expense allowance. The amounts for 2026, which will be paid out in 2027, are as follows:</w:t>
      </w:r>
    </w:p>
    <w:p w14:paraId="7B72DCBB" w14:textId="77777777" w:rsidR="006D3072" w:rsidRDefault="006D3072" w:rsidP="005A7925">
      <w:pPr>
        <w:rPr>
          <w:rFonts w:ascii="Arial" w:hAnsi="Arial" w:cs="Arial"/>
          <w:sz w:val="22"/>
          <w:szCs w:val="22"/>
        </w:rPr>
      </w:pPr>
    </w:p>
    <w:tbl>
      <w:tblPr>
        <w:tblStyle w:val="Tabelraster"/>
        <w:tblW w:w="0" w:type="auto"/>
        <w:tblLook w:val="04A0" w:firstRow="1" w:lastRow="0" w:firstColumn="1" w:lastColumn="0" w:noHBand="0" w:noVBand="1"/>
      </w:tblPr>
      <w:tblGrid>
        <w:gridCol w:w="2760"/>
        <w:gridCol w:w="2117"/>
        <w:gridCol w:w="2512"/>
        <w:gridCol w:w="1673"/>
      </w:tblGrid>
      <w:tr w:rsidR="00D63845" w14:paraId="08011C88" w14:textId="0C7C42F3" w:rsidTr="005F2684">
        <w:tc>
          <w:tcPr>
            <w:tcW w:w="2760" w:type="dxa"/>
          </w:tcPr>
          <w:p w14:paraId="701CA8B8" w14:textId="35C56832" w:rsidR="00D63845" w:rsidRPr="00D83263" w:rsidRDefault="00D63845" w:rsidP="005A7925">
            <w:pPr>
              <w:rPr>
                <w:rFonts w:ascii="Arial" w:hAnsi="Arial" w:cs="Arial"/>
                <w:b/>
                <w:bCs/>
                <w:sz w:val="22"/>
                <w:szCs w:val="22"/>
              </w:rPr>
            </w:pPr>
            <w:r>
              <w:rPr>
                <w:rFonts w:ascii="Arial" w:hAnsi="Arial"/>
                <w:b/>
                <w:sz w:val="22"/>
              </w:rPr>
              <w:t>Wage expense allowance</w:t>
            </w:r>
          </w:p>
        </w:tc>
        <w:tc>
          <w:tcPr>
            <w:tcW w:w="2117" w:type="dxa"/>
          </w:tcPr>
          <w:p w14:paraId="16818013" w14:textId="4DD97B0D" w:rsidR="00D63845" w:rsidRPr="00D83263" w:rsidRDefault="00D63845" w:rsidP="005A7925">
            <w:pPr>
              <w:rPr>
                <w:rFonts w:ascii="Arial" w:hAnsi="Arial" w:cs="Arial"/>
                <w:b/>
                <w:bCs/>
                <w:sz w:val="22"/>
                <w:szCs w:val="22"/>
              </w:rPr>
            </w:pPr>
            <w:r>
              <w:rPr>
                <w:rFonts w:ascii="Arial" w:hAnsi="Arial"/>
                <w:b/>
                <w:sz w:val="22"/>
              </w:rPr>
              <w:t>Amount per paid hour</w:t>
            </w:r>
          </w:p>
        </w:tc>
        <w:tc>
          <w:tcPr>
            <w:tcW w:w="2512" w:type="dxa"/>
          </w:tcPr>
          <w:p w14:paraId="011B1BAB" w14:textId="65005477" w:rsidR="00D63845" w:rsidRPr="00D83263" w:rsidRDefault="00D63845" w:rsidP="005A7925">
            <w:pPr>
              <w:rPr>
                <w:rFonts w:ascii="Arial" w:hAnsi="Arial" w:cs="Arial"/>
                <w:b/>
                <w:bCs/>
                <w:sz w:val="22"/>
                <w:szCs w:val="22"/>
              </w:rPr>
            </w:pPr>
            <w:r>
              <w:rPr>
                <w:rFonts w:ascii="Arial" w:hAnsi="Arial"/>
                <w:b/>
                <w:sz w:val="22"/>
              </w:rPr>
              <w:t>Maximum amount per year</w:t>
            </w:r>
          </w:p>
        </w:tc>
        <w:tc>
          <w:tcPr>
            <w:tcW w:w="1673" w:type="dxa"/>
          </w:tcPr>
          <w:p w14:paraId="1621265E" w14:textId="687314FD" w:rsidR="00D63845" w:rsidRDefault="00D63845" w:rsidP="005A7925">
            <w:pPr>
              <w:rPr>
                <w:rFonts w:ascii="Arial" w:hAnsi="Arial" w:cs="Arial"/>
                <w:b/>
                <w:bCs/>
                <w:sz w:val="22"/>
                <w:szCs w:val="22"/>
              </w:rPr>
            </w:pPr>
            <w:r>
              <w:rPr>
                <w:rFonts w:ascii="Arial" w:hAnsi="Arial"/>
                <w:b/>
                <w:sz w:val="22"/>
              </w:rPr>
              <w:t>Maximum n</w:t>
            </w:r>
            <w:r w:rsidR="0080169D">
              <w:rPr>
                <w:rFonts w:ascii="Arial" w:hAnsi="Arial"/>
                <w:b/>
                <w:sz w:val="22"/>
              </w:rPr>
              <w:t>o.</w:t>
            </w:r>
            <w:r>
              <w:rPr>
                <w:rFonts w:ascii="Arial" w:hAnsi="Arial"/>
                <w:b/>
                <w:sz w:val="22"/>
              </w:rPr>
              <w:t xml:space="preserve"> of years</w:t>
            </w:r>
          </w:p>
        </w:tc>
      </w:tr>
      <w:tr w:rsidR="00D63845" w14:paraId="15008C6B" w14:textId="576F4730" w:rsidTr="005F2684">
        <w:tc>
          <w:tcPr>
            <w:tcW w:w="2760" w:type="dxa"/>
          </w:tcPr>
          <w:p w14:paraId="4AB7B44A" w14:textId="0E5E4D1C" w:rsidR="00D63845" w:rsidRDefault="00D63845" w:rsidP="005A7925">
            <w:pPr>
              <w:rPr>
                <w:rFonts w:ascii="Arial" w:hAnsi="Arial" w:cs="Arial"/>
                <w:sz w:val="22"/>
                <w:szCs w:val="22"/>
              </w:rPr>
            </w:pPr>
            <w:r>
              <w:rPr>
                <w:rFonts w:ascii="Arial" w:hAnsi="Arial"/>
                <w:sz w:val="22"/>
              </w:rPr>
              <w:t>Older employee hired before 2024</w:t>
            </w:r>
          </w:p>
        </w:tc>
        <w:tc>
          <w:tcPr>
            <w:tcW w:w="2117" w:type="dxa"/>
          </w:tcPr>
          <w:p w14:paraId="048C44C4" w14:textId="63AC2BC4" w:rsidR="00D63845" w:rsidRDefault="00D63845" w:rsidP="005A7925">
            <w:pPr>
              <w:rPr>
                <w:rFonts w:ascii="Arial" w:hAnsi="Arial" w:cs="Arial"/>
                <w:sz w:val="22"/>
                <w:szCs w:val="22"/>
              </w:rPr>
            </w:pPr>
            <w:r>
              <w:rPr>
                <w:rFonts w:ascii="Arial" w:hAnsi="Arial"/>
                <w:sz w:val="22"/>
              </w:rPr>
              <w:t>€ 3.05</w:t>
            </w:r>
          </w:p>
        </w:tc>
        <w:tc>
          <w:tcPr>
            <w:tcW w:w="2512" w:type="dxa"/>
          </w:tcPr>
          <w:p w14:paraId="1436CA6E" w14:textId="560AA906" w:rsidR="00D63845" w:rsidRDefault="00D63845" w:rsidP="005A7925">
            <w:pPr>
              <w:rPr>
                <w:rFonts w:ascii="Arial" w:hAnsi="Arial" w:cs="Arial"/>
                <w:sz w:val="22"/>
                <w:szCs w:val="22"/>
              </w:rPr>
            </w:pPr>
            <w:r>
              <w:rPr>
                <w:rFonts w:ascii="Arial" w:hAnsi="Arial"/>
                <w:sz w:val="22"/>
              </w:rPr>
              <w:t>€ 6,000</w:t>
            </w:r>
          </w:p>
        </w:tc>
        <w:tc>
          <w:tcPr>
            <w:tcW w:w="1673" w:type="dxa"/>
          </w:tcPr>
          <w:p w14:paraId="630AE124" w14:textId="5A97A18F" w:rsidR="00D63845" w:rsidRDefault="00D63845" w:rsidP="005A7925">
            <w:pPr>
              <w:rPr>
                <w:rFonts w:ascii="Arial" w:hAnsi="Arial" w:cs="Arial"/>
                <w:sz w:val="22"/>
                <w:szCs w:val="22"/>
              </w:rPr>
            </w:pPr>
            <w:r>
              <w:rPr>
                <w:rFonts w:ascii="Arial" w:hAnsi="Arial"/>
                <w:sz w:val="22"/>
              </w:rPr>
              <w:t>3</w:t>
            </w:r>
          </w:p>
        </w:tc>
      </w:tr>
      <w:tr w:rsidR="00D63845" w14:paraId="2A36BD6A" w14:textId="0B895064" w:rsidTr="005F2684">
        <w:tc>
          <w:tcPr>
            <w:tcW w:w="2760" w:type="dxa"/>
          </w:tcPr>
          <w:p w14:paraId="5117B006" w14:textId="2DD5A7AE" w:rsidR="00D63845" w:rsidRDefault="00D63845" w:rsidP="005A7925">
            <w:pPr>
              <w:rPr>
                <w:rFonts w:ascii="Arial" w:hAnsi="Arial" w:cs="Arial"/>
                <w:sz w:val="22"/>
                <w:szCs w:val="22"/>
              </w:rPr>
            </w:pPr>
            <w:r>
              <w:rPr>
                <w:rFonts w:ascii="Arial" w:hAnsi="Arial"/>
                <w:sz w:val="22"/>
              </w:rPr>
              <w:t>Employee with an occupational disability</w:t>
            </w:r>
          </w:p>
        </w:tc>
        <w:tc>
          <w:tcPr>
            <w:tcW w:w="2117" w:type="dxa"/>
          </w:tcPr>
          <w:p w14:paraId="14C8B724" w14:textId="77B13092" w:rsidR="00D63845" w:rsidRDefault="00D63845" w:rsidP="005A7925">
            <w:pPr>
              <w:rPr>
                <w:rFonts w:ascii="Arial" w:hAnsi="Arial" w:cs="Arial"/>
                <w:sz w:val="22"/>
                <w:szCs w:val="22"/>
              </w:rPr>
            </w:pPr>
            <w:r>
              <w:rPr>
                <w:rFonts w:ascii="Arial" w:hAnsi="Arial"/>
                <w:sz w:val="22"/>
              </w:rPr>
              <w:t>€ 3.05</w:t>
            </w:r>
          </w:p>
        </w:tc>
        <w:tc>
          <w:tcPr>
            <w:tcW w:w="2512" w:type="dxa"/>
          </w:tcPr>
          <w:p w14:paraId="73269533" w14:textId="6B08FD25" w:rsidR="00D63845" w:rsidRDefault="00D63845" w:rsidP="005A7925">
            <w:pPr>
              <w:rPr>
                <w:rFonts w:ascii="Arial" w:hAnsi="Arial" w:cs="Arial"/>
                <w:sz w:val="22"/>
                <w:szCs w:val="22"/>
              </w:rPr>
            </w:pPr>
            <w:r>
              <w:rPr>
                <w:rFonts w:ascii="Arial" w:hAnsi="Arial"/>
                <w:sz w:val="22"/>
              </w:rPr>
              <w:t>€ 6,000</w:t>
            </w:r>
          </w:p>
        </w:tc>
        <w:tc>
          <w:tcPr>
            <w:tcW w:w="1673" w:type="dxa"/>
          </w:tcPr>
          <w:p w14:paraId="2DDDCC2B" w14:textId="173A0DE9" w:rsidR="00D63845" w:rsidRDefault="00D63845" w:rsidP="005A7925">
            <w:pPr>
              <w:rPr>
                <w:rFonts w:ascii="Arial" w:hAnsi="Arial" w:cs="Arial"/>
                <w:sz w:val="22"/>
                <w:szCs w:val="22"/>
              </w:rPr>
            </w:pPr>
            <w:r>
              <w:rPr>
                <w:rFonts w:ascii="Arial" w:hAnsi="Arial"/>
                <w:sz w:val="22"/>
              </w:rPr>
              <w:t>3</w:t>
            </w:r>
          </w:p>
        </w:tc>
      </w:tr>
      <w:tr w:rsidR="00D63845" w14:paraId="5DBC9768" w14:textId="58549C14" w:rsidTr="005F2684">
        <w:tc>
          <w:tcPr>
            <w:tcW w:w="2760" w:type="dxa"/>
          </w:tcPr>
          <w:p w14:paraId="110D56F7" w14:textId="788E8C48" w:rsidR="00D63845" w:rsidRDefault="00D63845" w:rsidP="005A7925">
            <w:pPr>
              <w:rPr>
                <w:rFonts w:ascii="Arial" w:hAnsi="Arial" w:cs="Arial"/>
                <w:sz w:val="22"/>
                <w:szCs w:val="22"/>
              </w:rPr>
            </w:pPr>
            <w:r>
              <w:rPr>
                <w:rFonts w:ascii="Arial" w:hAnsi="Arial"/>
                <w:sz w:val="22"/>
              </w:rPr>
              <w:t>Target group of job arrangement</w:t>
            </w:r>
          </w:p>
        </w:tc>
        <w:tc>
          <w:tcPr>
            <w:tcW w:w="2117" w:type="dxa"/>
          </w:tcPr>
          <w:p w14:paraId="47CDF1D6" w14:textId="088F6BA7" w:rsidR="00D63845" w:rsidRDefault="00D63845" w:rsidP="005A7925">
            <w:pPr>
              <w:rPr>
                <w:rFonts w:ascii="Arial" w:hAnsi="Arial" w:cs="Arial"/>
                <w:sz w:val="22"/>
                <w:szCs w:val="22"/>
              </w:rPr>
            </w:pPr>
            <w:r>
              <w:rPr>
                <w:rFonts w:ascii="Arial" w:hAnsi="Arial"/>
                <w:sz w:val="22"/>
              </w:rPr>
              <w:t>€ 1.01</w:t>
            </w:r>
          </w:p>
        </w:tc>
        <w:tc>
          <w:tcPr>
            <w:tcW w:w="2512" w:type="dxa"/>
          </w:tcPr>
          <w:p w14:paraId="42C369BF" w14:textId="519638B7" w:rsidR="00D63845" w:rsidRDefault="00D63845" w:rsidP="005A7925">
            <w:pPr>
              <w:rPr>
                <w:rFonts w:ascii="Arial" w:hAnsi="Arial" w:cs="Arial"/>
                <w:sz w:val="22"/>
                <w:szCs w:val="22"/>
              </w:rPr>
            </w:pPr>
            <w:r>
              <w:rPr>
                <w:rFonts w:ascii="Arial" w:hAnsi="Arial"/>
                <w:sz w:val="22"/>
              </w:rPr>
              <w:t>€ 2,000</w:t>
            </w:r>
          </w:p>
        </w:tc>
        <w:tc>
          <w:tcPr>
            <w:tcW w:w="1673" w:type="dxa"/>
          </w:tcPr>
          <w:p w14:paraId="40F497C3" w14:textId="1A3A1BBD" w:rsidR="00D63845" w:rsidRDefault="00D63845" w:rsidP="005A7925">
            <w:pPr>
              <w:rPr>
                <w:rFonts w:ascii="Arial" w:hAnsi="Arial" w:cs="Arial"/>
                <w:sz w:val="22"/>
                <w:szCs w:val="22"/>
              </w:rPr>
            </w:pPr>
            <w:r>
              <w:rPr>
                <w:rFonts w:ascii="Arial" w:hAnsi="Arial"/>
                <w:sz w:val="22"/>
              </w:rPr>
              <w:t>No maximum</w:t>
            </w:r>
          </w:p>
        </w:tc>
      </w:tr>
      <w:tr w:rsidR="00D63845" w14:paraId="040E437A" w14:textId="516BEF9E" w:rsidTr="005F2684">
        <w:tc>
          <w:tcPr>
            <w:tcW w:w="2760" w:type="dxa"/>
          </w:tcPr>
          <w:p w14:paraId="27095483" w14:textId="79E5E652" w:rsidR="00D63845" w:rsidRDefault="00D63845" w:rsidP="005A7925">
            <w:pPr>
              <w:rPr>
                <w:rFonts w:ascii="Arial" w:hAnsi="Arial" w:cs="Arial"/>
                <w:sz w:val="22"/>
                <w:szCs w:val="22"/>
              </w:rPr>
            </w:pPr>
            <w:r>
              <w:rPr>
                <w:rFonts w:ascii="Arial" w:hAnsi="Arial"/>
                <w:sz w:val="22"/>
              </w:rPr>
              <w:t>Redeployment of employee with an occupational disability</w:t>
            </w:r>
          </w:p>
        </w:tc>
        <w:tc>
          <w:tcPr>
            <w:tcW w:w="2117" w:type="dxa"/>
          </w:tcPr>
          <w:p w14:paraId="2BFBF65D" w14:textId="493DDCCC" w:rsidR="00D63845" w:rsidRDefault="00D63845" w:rsidP="005A7925">
            <w:pPr>
              <w:rPr>
                <w:rFonts w:ascii="Arial" w:hAnsi="Arial" w:cs="Arial"/>
                <w:sz w:val="22"/>
                <w:szCs w:val="22"/>
              </w:rPr>
            </w:pPr>
            <w:r>
              <w:rPr>
                <w:rFonts w:ascii="Arial" w:hAnsi="Arial"/>
                <w:sz w:val="22"/>
              </w:rPr>
              <w:t>€ 3.05</w:t>
            </w:r>
          </w:p>
        </w:tc>
        <w:tc>
          <w:tcPr>
            <w:tcW w:w="2512" w:type="dxa"/>
          </w:tcPr>
          <w:p w14:paraId="7C272047" w14:textId="3EB11960" w:rsidR="00D63845" w:rsidRDefault="00D63845" w:rsidP="005A7925">
            <w:pPr>
              <w:rPr>
                <w:rFonts w:ascii="Arial" w:hAnsi="Arial" w:cs="Arial"/>
                <w:sz w:val="22"/>
                <w:szCs w:val="22"/>
              </w:rPr>
            </w:pPr>
            <w:r>
              <w:rPr>
                <w:rFonts w:ascii="Arial" w:hAnsi="Arial"/>
                <w:sz w:val="22"/>
              </w:rPr>
              <w:t>€ 6,000</w:t>
            </w:r>
          </w:p>
        </w:tc>
        <w:tc>
          <w:tcPr>
            <w:tcW w:w="1673" w:type="dxa"/>
          </w:tcPr>
          <w:p w14:paraId="34D468A0" w14:textId="2AF56A40" w:rsidR="00D63845" w:rsidRDefault="00D63845" w:rsidP="005A7925">
            <w:pPr>
              <w:rPr>
                <w:rFonts w:ascii="Arial" w:hAnsi="Arial" w:cs="Arial"/>
                <w:sz w:val="22"/>
                <w:szCs w:val="22"/>
              </w:rPr>
            </w:pPr>
            <w:r>
              <w:rPr>
                <w:rFonts w:ascii="Arial" w:hAnsi="Arial"/>
                <w:sz w:val="22"/>
              </w:rPr>
              <w:t>1</w:t>
            </w:r>
          </w:p>
        </w:tc>
      </w:tr>
    </w:tbl>
    <w:p w14:paraId="774248CB" w14:textId="77777777" w:rsidR="00C8356D" w:rsidRDefault="00C8356D" w:rsidP="005A7925">
      <w:pPr>
        <w:rPr>
          <w:rFonts w:ascii="Arial" w:hAnsi="Arial" w:cs="Arial"/>
          <w:sz w:val="22"/>
          <w:szCs w:val="22"/>
        </w:rPr>
      </w:pPr>
    </w:p>
    <w:p w14:paraId="612912A7" w14:textId="66F259FA" w:rsidR="009B756D" w:rsidRDefault="009B756D" w:rsidP="005A7925">
      <w:pPr>
        <w:rPr>
          <w:rFonts w:ascii="Arial" w:hAnsi="Arial" w:cs="Arial"/>
          <w:sz w:val="22"/>
          <w:szCs w:val="22"/>
        </w:rPr>
      </w:pPr>
      <w:r>
        <w:rPr>
          <w:rFonts w:ascii="Arial" w:hAnsi="Arial"/>
          <w:b/>
          <w:sz w:val="22"/>
        </w:rPr>
        <w:lastRenderedPageBreak/>
        <w:t>Right to LKV upon transfer of an undertaking</w:t>
      </w:r>
      <w:r>
        <w:rPr>
          <w:rFonts w:ascii="Arial" w:hAnsi="Arial"/>
          <w:b/>
          <w:sz w:val="22"/>
        </w:rPr>
        <w:br/>
      </w:r>
      <w:r>
        <w:rPr>
          <w:rFonts w:ascii="Arial" w:hAnsi="Arial"/>
          <w:sz w:val="22"/>
        </w:rPr>
        <w:t>In the event of a transfer of an undertaking, the employees are also transferred to a new employer. The Tax and Customs Administration previously assumed that the right to an LKV never transfers to the new employer in such a situation. On 24 May 2024, however, the Supreme Court ruled that a wage expense allowance (LKV) does not lapse upon the transfer of an undertaking.</w:t>
      </w:r>
    </w:p>
    <w:p w14:paraId="471DF098" w14:textId="77777777" w:rsidR="009B756D" w:rsidRDefault="009B756D" w:rsidP="005A7925">
      <w:pPr>
        <w:rPr>
          <w:rFonts w:ascii="Arial" w:hAnsi="Arial" w:cs="Arial"/>
          <w:sz w:val="22"/>
          <w:szCs w:val="22"/>
        </w:rPr>
      </w:pPr>
    </w:p>
    <w:p w14:paraId="336983E8" w14:textId="558F9752" w:rsidR="009B756D" w:rsidRPr="00163F96" w:rsidRDefault="009B756D" w:rsidP="00C8356D">
      <w:pPr>
        <w:rPr>
          <w:rFonts w:ascii="Arial" w:hAnsi="Arial" w:cs="Arial"/>
          <w:sz w:val="22"/>
          <w:szCs w:val="22"/>
        </w:rPr>
      </w:pPr>
      <w:r>
        <w:rPr>
          <w:rFonts w:ascii="Arial" w:hAnsi="Arial"/>
          <w:sz w:val="22"/>
        </w:rPr>
        <w:t>If an undertaking has been transferred in your situation, then the right to an LKV is retained, provided that the conditions for application of the LKV are met. To be entitled to the LKV in 2026, you must check the box for the LKV in your 2026</w:t>
      </w:r>
      <w:r>
        <w:rPr>
          <w:rFonts w:ascii="Arial" w:hAnsi="Arial"/>
        </w:rPr>
        <w:t xml:space="preserve"> payroll tax return</w:t>
      </w:r>
      <w:r>
        <w:rPr>
          <w:rFonts w:ascii="Arial" w:hAnsi="Arial"/>
          <w:sz w:val="22"/>
        </w:rPr>
        <w:t>.</w:t>
      </w:r>
    </w:p>
    <w:p w14:paraId="77215F26" w14:textId="77777777" w:rsidR="009B756D" w:rsidRDefault="009B756D" w:rsidP="009B756D">
      <w:pPr>
        <w:rPr>
          <w:rFonts w:ascii="Arial" w:hAnsi="Arial" w:cs="Arial"/>
        </w:rPr>
      </w:pPr>
    </w:p>
    <w:p w14:paraId="1B1C8559" w14:textId="40349D73" w:rsidR="009B756D" w:rsidRPr="009B756D" w:rsidRDefault="009B756D" w:rsidP="00994FAE">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r>
        <w:rPr>
          <w:rFonts w:ascii="Arial" w:hAnsi="Arial"/>
          <w:b/>
          <w:sz w:val="22"/>
        </w:rPr>
        <w:t>Please note:</w:t>
      </w:r>
      <w:r>
        <w:rPr>
          <w:rFonts w:ascii="Arial" w:hAnsi="Arial"/>
          <w:sz w:val="22"/>
        </w:rPr>
        <w:br/>
        <w:t>The Supreme Court’s ruling possibly also applies to takeovers of contracts where a new employer continues the employment contract unchanged.</w:t>
      </w:r>
    </w:p>
    <w:p w14:paraId="0B6803A6" w14:textId="77777777" w:rsidR="00D63845" w:rsidRPr="009B756D" w:rsidRDefault="00D63845" w:rsidP="009B756D">
      <w:pPr>
        <w:rPr>
          <w:rFonts w:ascii="Arial" w:hAnsi="Arial" w:cs="Arial"/>
        </w:rPr>
      </w:pPr>
    </w:p>
    <w:p w14:paraId="40FC2B89" w14:textId="6FF12D8C" w:rsidR="0080497B" w:rsidRDefault="0080497B" w:rsidP="00957F2F">
      <w:pPr>
        <w:pStyle w:val="Kop2"/>
        <w:ind w:hanging="283"/>
        <w:rPr>
          <w:rFonts w:eastAsia="Calibri" w:cs="Arial"/>
          <w:bCs/>
        </w:rPr>
      </w:pPr>
      <w:bookmarkStart w:id="66" w:name="_Toc155866633"/>
      <w:bookmarkStart w:id="67" w:name="_Toc152927312"/>
      <w:r>
        <w:t>Relaxation of conditions for wage dispensation</w:t>
      </w:r>
    </w:p>
    <w:p w14:paraId="1424EA68" w14:textId="77777777" w:rsidR="002F233C" w:rsidRDefault="002F233C" w:rsidP="002F233C">
      <w:pPr>
        <w:rPr>
          <w:rFonts w:ascii="Arial" w:eastAsia="Calibri" w:hAnsi="Arial" w:cs="Arial"/>
          <w:sz w:val="22"/>
          <w:szCs w:val="22"/>
          <w:lang w:eastAsia="en-US"/>
        </w:rPr>
      </w:pPr>
    </w:p>
    <w:p w14:paraId="288C6462" w14:textId="77777777" w:rsidR="002F233C" w:rsidRPr="002F233C" w:rsidRDefault="002F233C" w:rsidP="002F233C">
      <w:pPr>
        <w:rPr>
          <w:rFonts w:ascii="Arial" w:eastAsia="Calibri" w:hAnsi="Arial" w:cs="Arial"/>
          <w:sz w:val="22"/>
          <w:szCs w:val="22"/>
        </w:rPr>
      </w:pPr>
      <w:r>
        <w:rPr>
          <w:rFonts w:ascii="Arial" w:hAnsi="Arial"/>
          <w:sz w:val="22"/>
        </w:rPr>
        <w:t>From 1 March 2026 the conditions that apply to wage dispensation will change. As a result, an employer will be able to apply for wage dispensation at an earlier stage for an employee who is receiving a Wajong or IVA benefit.</w:t>
      </w:r>
    </w:p>
    <w:p w14:paraId="2CF3BB0D" w14:textId="77777777" w:rsidR="002F233C" w:rsidRPr="002F233C" w:rsidRDefault="002F233C" w:rsidP="002F233C">
      <w:pPr>
        <w:rPr>
          <w:rFonts w:ascii="Arial" w:eastAsia="Calibri" w:hAnsi="Arial" w:cs="Arial"/>
          <w:sz w:val="22"/>
          <w:szCs w:val="22"/>
          <w:lang w:eastAsia="en-US"/>
        </w:rPr>
      </w:pPr>
    </w:p>
    <w:p w14:paraId="1D5BA516" w14:textId="77777777" w:rsidR="002F233C" w:rsidRDefault="002F233C" w:rsidP="002F233C">
      <w:pPr>
        <w:rPr>
          <w:rFonts w:ascii="Arial" w:eastAsia="Calibri" w:hAnsi="Arial" w:cs="Arial"/>
          <w:sz w:val="22"/>
          <w:szCs w:val="22"/>
        </w:rPr>
      </w:pPr>
      <w:r>
        <w:rPr>
          <w:rFonts w:ascii="Arial" w:hAnsi="Arial"/>
          <w:sz w:val="22"/>
        </w:rPr>
        <w:t>From 1 March 2026 an employer will be able to apply for wage dispensation for an employee if:</w:t>
      </w:r>
    </w:p>
    <w:p w14:paraId="5FD8FBC8" w14:textId="0E621922" w:rsidR="002F233C" w:rsidRDefault="002F233C" w:rsidP="002F233C">
      <w:pPr>
        <w:pStyle w:val="Lijstalinea"/>
        <w:numPr>
          <w:ilvl w:val="0"/>
          <w:numId w:val="33"/>
        </w:numPr>
        <w:rPr>
          <w:rFonts w:ascii="Arial" w:hAnsi="Arial" w:cs="Arial"/>
        </w:rPr>
      </w:pPr>
      <w:r>
        <w:rPr>
          <w:rFonts w:ascii="Arial" w:hAnsi="Arial"/>
        </w:rPr>
        <w:t>the employee is receiving a Wajong or IVA benefit, and</w:t>
      </w:r>
    </w:p>
    <w:p w14:paraId="224009BD" w14:textId="0E9AD9A9" w:rsidR="002F233C" w:rsidRPr="002F233C" w:rsidRDefault="002F233C" w:rsidP="002F233C">
      <w:pPr>
        <w:pStyle w:val="Lijstalinea"/>
        <w:numPr>
          <w:ilvl w:val="0"/>
          <w:numId w:val="33"/>
        </w:numPr>
        <w:rPr>
          <w:rFonts w:ascii="Arial" w:hAnsi="Arial" w:cs="Arial"/>
        </w:rPr>
      </w:pPr>
      <w:r>
        <w:rPr>
          <w:rFonts w:ascii="Arial" w:hAnsi="Arial"/>
        </w:rPr>
        <w:t>due to sickness or a disability, the work that the employee can perform is at least 5% less than that performed by other employees in the same role for a period of at least three months.</w:t>
      </w:r>
    </w:p>
    <w:p w14:paraId="0DC26896" w14:textId="77777777" w:rsidR="002F233C" w:rsidRPr="002F233C" w:rsidRDefault="002F233C" w:rsidP="002F233C">
      <w:pPr>
        <w:rPr>
          <w:rFonts w:ascii="Arial" w:eastAsia="Calibri" w:hAnsi="Arial" w:cs="Arial"/>
          <w:sz w:val="22"/>
          <w:szCs w:val="22"/>
          <w:lang w:eastAsia="en-US"/>
        </w:rPr>
      </w:pPr>
    </w:p>
    <w:p w14:paraId="7632FC8F" w14:textId="77777777" w:rsidR="002F233C" w:rsidRPr="002F233C" w:rsidRDefault="002F233C" w:rsidP="002F233C">
      <w:pPr>
        <w:rPr>
          <w:rFonts w:ascii="Arial" w:eastAsia="Calibri" w:hAnsi="Arial" w:cs="Arial"/>
          <w:sz w:val="22"/>
          <w:szCs w:val="22"/>
        </w:rPr>
      </w:pPr>
      <w:r>
        <w:rPr>
          <w:rFonts w:ascii="Arial" w:hAnsi="Arial"/>
          <w:sz w:val="22"/>
        </w:rPr>
        <w:t>Until 1 March 2026 employers can only apply for wage dispensation if the employee’s work capacity is at least 25% below that of a colleague for a minimum of six months.</w:t>
      </w:r>
    </w:p>
    <w:p w14:paraId="1D0FF163" w14:textId="77777777" w:rsidR="002F233C" w:rsidRPr="002F233C" w:rsidRDefault="002F233C" w:rsidP="002F233C">
      <w:pPr>
        <w:rPr>
          <w:rFonts w:ascii="Arial" w:eastAsia="Calibri" w:hAnsi="Arial" w:cs="Arial"/>
          <w:sz w:val="22"/>
          <w:szCs w:val="22"/>
          <w:lang w:eastAsia="en-US"/>
        </w:rPr>
      </w:pPr>
    </w:p>
    <w:p w14:paraId="07AC2B20" w14:textId="77777777" w:rsidR="002F233C" w:rsidRPr="002F233C" w:rsidRDefault="002F233C" w:rsidP="002F233C">
      <w:pPr>
        <w:shd w:val="clear" w:color="auto" w:fill="D9D9D9" w:themeFill="background1" w:themeFillShade="D9"/>
        <w:rPr>
          <w:rFonts w:ascii="Arial" w:eastAsia="Calibri" w:hAnsi="Arial" w:cs="Arial"/>
          <w:b/>
          <w:bCs/>
          <w:sz w:val="22"/>
          <w:szCs w:val="22"/>
        </w:rPr>
      </w:pPr>
      <w:r>
        <w:rPr>
          <w:rFonts w:ascii="Arial" w:hAnsi="Arial"/>
          <w:b/>
          <w:sz w:val="22"/>
        </w:rPr>
        <w:t>Please note:</w:t>
      </w:r>
    </w:p>
    <w:p w14:paraId="72FF1B07" w14:textId="659CDB0B" w:rsidR="002F233C" w:rsidRPr="002F233C" w:rsidRDefault="002F233C" w:rsidP="002F233C">
      <w:pPr>
        <w:shd w:val="clear" w:color="auto" w:fill="D9D9D9" w:themeFill="background1" w:themeFillShade="D9"/>
        <w:rPr>
          <w:rFonts w:ascii="Arial" w:eastAsia="Calibri" w:hAnsi="Arial" w:cs="Arial"/>
          <w:sz w:val="22"/>
          <w:szCs w:val="22"/>
        </w:rPr>
      </w:pPr>
      <w:r>
        <w:rPr>
          <w:rFonts w:ascii="Arial" w:hAnsi="Arial"/>
          <w:sz w:val="22"/>
        </w:rPr>
        <w:t>In the situation up to 1 March 2026 the wage dispensation has a maximum term of five years. From 1 March 2026 it is limited to a maximum of two years.</w:t>
      </w:r>
    </w:p>
    <w:p w14:paraId="3FBCC26B" w14:textId="77777777" w:rsidR="002F233C" w:rsidRPr="002F233C" w:rsidRDefault="002F233C" w:rsidP="002F233C">
      <w:pPr>
        <w:rPr>
          <w:rFonts w:ascii="Arial" w:eastAsia="Calibri" w:hAnsi="Arial" w:cs="Arial"/>
          <w:sz w:val="22"/>
          <w:szCs w:val="22"/>
          <w:lang w:eastAsia="en-US"/>
        </w:rPr>
      </w:pPr>
    </w:p>
    <w:p w14:paraId="467C43B0" w14:textId="3F3F9C3D" w:rsidR="002F233C" w:rsidRPr="002F233C" w:rsidRDefault="002F233C" w:rsidP="002F233C">
      <w:pPr>
        <w:rPr>
          <w:rFonts w:ascii="Arial" w:eastAsia="Calibri" w:hAnsi="Arial" w:cs="Arial"/>
          <w:sz w:val="22"/>
          <w:szCs w:val="22"/>
        </w:rPr>
      </w:pPr>
      <w:r>
        <w:rPr>
          <w:rFonts w:ascii="Arial" w:hAnsi="Arial"/>
          <w:sz w:val="22"/>
        </w:rPr>
        <w:t>Wage dispensation is an instrument through which the UWV temporarily covers part of the employer’s wage costs. Relaxing the conditions will make it easier for people receiving a Wajong or IVA benefit to enter and remain in employment.</w:t>
      </w:r>
    </w:p>
    <w:p w14:paraId="251F0AEF" w14:textId="77777777" w:rsidR="0080497B" w:rsidRDefault="0080497B" w:rsidP="0080497B">
      <w:pPr>
        <w:rPr>
          <w:rFonts w:ascii="Arial" w:eastAsia="Calibri" w:hAnsi="Arial" w:cs="Arial"/>
          <w:sz w:val="22"/>
          <w:szCs w:val="22"/>
          <w:lang w:eastAsia="en-US"/>
        </w:rPr>
      </w:pPr>
    </w:p>
    <w:p w14:paraId="12BF8688" w14:textId="50461011" w:rsidR="00C9418C" w:rsidRPr="00C9418C" w:rsidRDefault="004F61C3" w:rsidP="00957F2F">
      <w:pPr>
        <w:pStyle w:val="Kop2"/>
        <w:ind w:hanging="283"/>
        <w:rPr>
          <w:rStyle w:val="Kop2Char"/>
          <w:rFonts w:eastAsia="Calibri"/>
          <w:b/>
          <w:iCs/>
        </w:rPr>
      </w:pPr>
      <w:r>
        <w:rPr>
          <w:rStyle w:val="Kop2Char"/>
          <w:b/>
        </w:rPr>
        <w:t xml:space="preserve">Participation Act </w:t>
      </w:r>
      <w:bookmarkEnd w:id="66"/>
      <w:r>
        <w:rPr>
          <w:rStyle w:val="Kop2Char"/>
          <w:b/>
        </w:rPr>
        <w:t>wage cost subsidy scheme</w:t>
      </w:r>
    </w:p>
    <w:bookmarkEnd w:id="67"/>
    <w:p w14:paraId="4ED33A75" w14:textId="4B7F96B5" w:rsidR="004F61C3" w:rsidRPr="00C9418C" w:rsidRDefault="004F61C3" w:rsidP="00B1069C">
      <w:pPr>
        <w:rPr>
          <w:rFonts w:ascii="Arial" w:hAnsi="Arial" w:cs="Arial"/>
          <w:b/>
          <w:bCs/>
          <w:sz w:val="22"/>
          <w:szCs w:val="22"/>
        </w:rPr>
      </w:pPr>
    </w:p>
    <w:p w14:paraId="4A8D0B89" w14:textId="67AF2691" w:rsidR="00B1069C" w:rsidRDefault="004F61C3" w:rsidP="004F61C3">
      <w:pPr>
        <w:rPr>
          <w:rFonts w:ascii="Arial" w:hAnsi="Arial" w:cs="Arial"/>
          <w:sz w:val="22"/>
          <w:szCs w:val="22"/>
        </w:rPr>
      </w:pPr>
      <w:r>
        <w:rPr>
          <w:rFonts w:ascii="Arial" w:hAnsi="Arial"/>
          <w:sz w:val="22"/>
        </w:rPr>
        <w:t>Under certain conditions, you can receive a wage cost subsidy for employees with an occupational disability who are unable to earn the statutory minimum wage through full-time work. This subsidy makes up the difference between the wage value of an employee and the minimum wage. The maximum subsidy is 70% of the reference monthly wage. You can also receive an allowance for employer’s contributions amounting to 25% of the wage bill on which a wage cost subsidy is provided.</w:t>
      </w:r>
    </w:p>
    <w:p w14:paraId="1AB73C49" w14:textId="77777777" w:rsidR="005633AE" w:rsidRDefault="005633AE" w:rsidP="004F61C3">
      <w:pPr>
        <w:rPr>
          <w:rFonts w:ascii="Arial" w:hAnsi="Arial" w:cs="Arial"/>
          <w:sz w:val="22"/>
          <w:szCs w:val="22"/>
        </w:rPr>
      </w:pPr>
    </w:p>
    <w:p w14:paraId="3029A111" w14:textId="66894CB9" w:rsidR="00B1069C" w:rsidRDefault="00B1069C" w:rsidP="00B1069C">
      <w:pPr>
        <w:rPr>
          <w:rFonts w:ascii="Arial" w:hAnsi="Arial" w:cs="Arial"/>
          <w:sz w:val="22"/>
          <w:szCs w:val="22"/>
        </w:rPr>
      </w:pPr>
      <w:r>
        <w:rPr>
          <w:rFonts w:ascii="Arial" w:hAnsi="Arial"/>
          <w:sz w:val="22"/>
        </w:rPr>
        <w:t>You must submit th</w:t>
      </w:r>
      <w:r>
        <w:rPr>
          <w:rStyle w:val="Kop2Char"/>
          <w:b w:val="0"/>
          <w:sz w:val="22"/>
        </w:rPr>
        <w:t>e</w:t>
      </w:r>
      <w:r>
        <w:rPr>
          <w:rStyle w:val="Kop2Char"/>
        </w:rPr>
        <w:t xml:space="preserve"> </w:t>
      </w:r>
      <w:r>
        <w:rPr>
          <w:rFonts w:ascii="Arial" w:hAnsi="Arial"/>
          <w:sz w:val="22"/>
        </w:rPr>
        <w:t xml:space="preserve">application for the wage cost subsidy to the local authority in the municipality where the employee is registered. The local authority must issue a decision on </w:t>
      </w:r>
      <w:r>
        <w:rPr>
          <w:rFonts w:ascii="Arial" w:hAnsi="Arial"/>
          <w:sz w:val="22"/>
        </w:rPr>
        <w:lastRenderedPageBreak/>
        <w:t>the application within five weeks of the wage value being determined (or of a decision that an assessment of the wage value is not required).</w:t>
      </w:r>
    </w:p>
    <w:p w14:paraId="7B09A902" w14:textId="77777777" w:rsidR="00B1069C" w:rsidRDefault="00B1069C" w:rsidP="00994FAE">
      <w:pPr>
        <w:rPr>
          <w:rFonts w:ascii="Arial" w:hAnsi="Arial" w:cs="Arial"/>
          <w:sz w:val="22"/>
          <w:szCs w:val="22"/>
        </w:rPr>
      </w:pPr>
    </w:p>
    <w:p w14:paraId="3EFE97C0" w14:textId="504FD77C" w:rsidR="0028649B" w:rsidRPr="0028649B" w:rsidRDefault="00B1069C" w:rsidP="00994FAE">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r>
        <w:rPr>
          <w:rFonts w:ascii="Arial" w:hAnsi="Arial"/>
          <w:b/>
          <w:sz w:val="22"/>
        </w:rPr>
        <w:t>Please note:</w:t>
      </w:r>
      <w:r>
        <w:rPr>
          <w:rFonts w:ascii="Arial" w:hAnsi="Arial"/>
          <w:sz w:val="22"/>
        </w:rPr>
        <w:br/>
        <w:t>In principle, applications must be submitted before employment commences or within one month of this point. You can also apply for the wage cost subsidy for specific target groups within six months of employment commencing. This applies in the case of, amongst others, persons leaving special secondary education and persons who have followed practical training or the upper secondary vocational education (MBO) entry course, as well as persons for whom the local authority has responsibility for reintegration.</w:t>
      </w:r>
    </w:p>
    <w:p w14:paraId="6D648D91" w14:textId="77777777" w:rsidR="00A065E2" w:rsidRDefault="00A065E2" w:rsidP="00A065E2">
      <w:bookmarkStart w:id="68" w:name="_Toc106639621"/>
    </w:p>
    <w:p w14:paraId="39EB0C76" w14:textId="14DD85C9" w:rsidR="005F2684" w:rsidRPr="005F2684" w:rsidRDefault="005F2684" w:rsidP="00957F2F">
      <w:pPr>
        <w:pStyle w:val="Kop2"/>
        <w:ind w:hanging="283"/>
      </w:pPr>
      <w:r>
        <w:rPr>
          <w:sz w:val="22"/>
        </w:rPr>
        <w:t>Inclusive technology scheme for SMEs</w:t>
      </w:r>
    </w:p>
    <w:p w14:paraId="3A6784EF" w14:textId="77777777" w:rsidR="005633AE" w:rsidRDefault="005633AE" w:rsidP="005F2684">
      <w:pPr>
        <w:rPr>
          <w:rFonts w:ascii="Arial" w:hAnsi="Arial" w:cs="Arial"/>
          <w:sz w:val="22"/>
          <w:szCs w:val="22"/>
        </w:rPr>
      </w:pPr>
    </w:p>
    <w:p w14:paraId="36973CD0" w14:textId="5D4EFDB2" w:rsidR="005F2684" w:rsidRDefault="005F2684" w:rsidP="005F2684">
      <w:pPr>
        <w:rPr>
          <w:rFonts w:ascii="Arial" w:hAnsi="Arial" w:cs="Arial"/>
          <w:sz w:val="22"/>
          <w:szCs w:val="22"/>
        </w:rPr>
      </w:pPr>
      <w:r>
        <w:rPr>
          <w:rFonts w:ascii="Arial" w:hAnsi="Arial"/>
          <w:sz w:val="22"/>
        </w:rPr>
        <w:t>In 2026 employers in the SME sector who employ up to 50 staff and have an annual turnover not exceeding € 50 million will again be able to apply for a subsidy for inclusive technology. This is technology that helps employees with an occupational disability to carry out their work.</w:t>
      </w:r>
    </w:p>
    <w:p w14:paraId="2D2A7D19" w14:textId="77777777" w:rsidR="005F2684" w:rsidRDefault="005F2684" w:rsidP="005F2684">
      <w:pPr>
        <w:rPr>
          <w:rFonts w:ascii="Arial" w:hAnsi="Arial" w:cs="Arial"/>
          <w:sz w:val="22"/>
          <w:szCs w:val="22"/>
        </w:rPr>
      </w:pPr>
    </w:p>
    <w:p w14:paraId="79C580FF" w14:textId="705BFD83" w:rsidR="005F2684" w:rsidRDefault="005F2684" w:rsidP="005F2684">
      <w:pPr>
        <w:rPr>
          <w:rFonts w:ascii="Arial" w:hAnsi="Arial" w:cs="Arial"/>
          <w:sz w:val="22"/>
          <w:szCs w:val="22"/>
        </w:rPr>
      </w:pPr>
      <w:r>
        <w:rPr>
          <w:rFonts w:ascii="Arial" w:hAnsi="Arial"/>
          <w:b/>
          <w:sz w:val="22"/>
        </w:rPr>
        <w:t>Which technologies are eligible?</w:t>
      </w:r>
      <w:r>
        <w:rPr>
          <w:rFonts w:ascii="Arial" w:hAnsi="Arial"/>
          <w:b/>
          <w:sz w:val="22"/>
        </w:rPr>
        <w:br/>
      </w:r>
      <w:r>
        <w:rPr>
          <w:rFonts w:ascii="Arial" w:hAnsi="Arial"/>
          <w:sz w:val="22"/>
        </w:rPr>
        <w:t xml:space="preserve">A </w:t>
      </w:r>
      <w:hyperlink r:id="rId34" w:history="1">
        <w:r>
          <w:rPr>
            <w:rStyle w:val="Hyperlink"/>
            <w:rFonts w:ascii="Arial" w:hAnsi="Arial"/>
            <w:sz w:val="22"/>
          </w:rPr>
          <w:t>list</w:t>
        </w:r>
      </w:hyperlink>
      <w:r>
        <w:rPr>
          <w:rFonts w:ascii="Arial" w:hAnsi="Arial"/>
          <w:sz w:val="22"/>
        </w:rPr>
        <w:t xml:space="preserve"> has been published of technologies that are eligible for the subsidy. Examples include text-to-speech glasses or a collaborative robot.</w:t>
      </w:r>
    </w:p>
    <w:p w14:paraId="15431C26" w14:textId="77777777" w:rsidR="005F2684" w:rsidRDefault="005F2684" w:rsidP="005F2684">
      <w:pPr>
        <w:rPr>
          <w:rFonts w:ascii="Arial" w:hAnsi="Arial" w:cs="Arial"/>
          <w:sz w:val="22"/>
          <w:szCs w:val="22"/>
        </w:rPr>
      </w:pPr>
    </w:p>
    <w:p w14:paraId="1D5EDF7F" w14:textId="77777777" w:rsidR="002F233C" w:rsidRDefault="005F2684" w:rsidP="002F233C">
      <w:pPr>
        <w:shd w:val="clear" w:color="auto" w:fill="D9D9D9" w:themeFill="background1" w:themeFillShade="D9"/>
        <w:rPr>
          <w:rFonts w:ascii="Arial" w:hAnsi="Arial" w:cs="Arial"/>
          <w:sz w:val="22"/>
          <w:szCs w:val="22"/>
        </w:rPr>
      </w:pPr>
      <w:r>
        <w:rPr>
          <w:rFonts w:ascii="Arial" w:hAnsi="Arial"/>
          <w:b/>
          <w:sz w:val="22"/>
        </w:rPr>
        <w:t>Tip:</w:t>
      </w:r>
    </w:p>
    <w:p w14:paraId="18FD8D2C" w14:textId="3CAE3010" w:rsidR="005F2684" w:rsidRDefault="005F2684" w:rsidP="002F233C">
      <w:pPr>
        <w:shd w:val="clear" w:color="auto" w:fill="D9D9D9" w:themeFill="background1" w:themeFillShade="D9"/>
        <w:rPr>
          <w:rFonts w:ascii="Arial" w:hAnsi="Arial" w:cs="Arial"/>
          <w:sz w:val="22"/>
          <w:szCs w:val="22"/>
        </w:rPr>
      </w:pPr>
      <w:r>
        <w:rPr>
          <w:rFonts w:ascii="Arial" w:hAnsi="Arial"/>
          <w:sz w:val="22"/>
        </w:rPr>
        <w:t>Employers can also receive a subsidy for advisory and implementation services relating to the use of this technology, up to an amount of € 1 000.</w:t>
      </w:r>
    </w:p>
    <w:p w14:paraId="43AA8E4B" w14:textId="521D8210" w:rsidR="005F2684" w:rsidRPr="005F2684" w:rsidRDefault="005F2684" w:rsidP="005F2684">
      <w:pPr>
        <w:rPr>
          <w:rFonts w:ascii="Arial" w:hAnsi="Arial" w:cs="Arial"/>
          <w:sz w:val="22"/>
          <w:szCs w:val="22"/>
        </w:rPr>
      </w:pPr>
    </w:p>
    <w:p w14:paraId="28F29D5D" w14:textId="2BAE5E72" w:rsidR="005F2684" w:rsidRPr="002F233C" w:rsidRDefault="005F2684" w:rsidP="00A70DC5">
      <w:pPr>
        <w:rPr>
          <w:rFonts w:ascii="Arial" w:hAnsi="Arial" w:cs="Arial"/>
          <w:b/>
          <w:bCs/>
          <w:sz w:val="22"/>
          <w:szCs w:val="22"/>
        </w:rPr>
      </w:pPr>
      <w:r>
        <w:rPr>
          <w:rFonts w:ascii="Arial" w:hAnsi="Arial"/>
          <w:b/>
          <w:sz w:val="22"/>
        </w:rPr>
        <w:t>Level of subsidy</w:t>
      </w:r>
    </w:p>
    <w:p w14:paraId="3DE045C7" w14:textId="23DBDCD1" w:rsidR="00002A34" w:rsidRDefault="005F2684" w:rsidP="005F2684">
      <w:pPr>
        <w:rPr>
          <w:rFonts w:ascii="Arial" w:hAnsi="Arial" w:cs="Arial"/>
          <w:sz w:val="22"/>
          <w:szCs w:val="22"/>
        </w:rPr>
      </w:pPr>
      <w:r>
        <w:rPr>
          <w:rFonts w:ascii="Arial" w:hAnsi="Arial"/>
          <w:sz w:val="22"/>
        </w:rPr>
        <w:t>The subsidy amounts to a maximum of 50% of the eligible costs, up to a limit of € 25,000 per application. The minimum subsidy is € 2,500. In 2026 a budget of € 1,000,000 has been made available.</w:t>
      </w:r>
    </w:p>
    <w:p w14:paraId="653B9102" w14:textId="77777777" w:rsidR="00002A34" w:rsidRDefault="00002A34" w:rsidP="005F2684">
      <w:pPr>
        <w:rPr>
          <w:rFonts w:ascii="Arial" w:hAnsi="Arial" w:cs="Arial"/>
          <w:sz w:val="22"/>
          <w:szCs w:val="22"/>
        </w:rPr>
      </w:pPr>
    </w:p>
    <w:p w14:paraId="554A13BA" w14:textId="49E3DDC4" w:rsidR="005F2684" w:rsidRPr="002F233C" w:rsidRDefault="00A70DC5" w:rsidP="00A70DC5">
      <w:pPr>
        <w:rPr>
          <w:rFonts w:ascii="Arial" w:hAnsi="Arial" w:cs="Arial"/>
          <w:b/>
          <w:bCs/>
          <w:sz w:val="22"/>
          <w:szCs w:val="22"/>
        </w:rPr>
      </w:pPr>
      <w:r>
        <w:rPr>
          <w:rFonts w:ascii="Arial" w:hAnsi="Arial"/>
          <w:b/>
          <w:sz w:val="22"/>
        </w:rPr>
        <w:t>Application period</w:t>
      </w:r>
    </w:p>
    <w:p w14:paraId="0938420B" w14:textId="612284F3" w:rsidR="005F2684" w:rsidRDefault="005F2684" w:rsidP="005F2684">
      <w:pPr>
        <w:rPr>
          <w:rFonts w:ascii="Arial" w:hAnsi="Arial" w:cs="Arial"/>
          <w:sz w:val="22"/>
          <w:szCs w:val="22"/>
        </w:rPr>
      </w:pPr>
      <w:r>
        <w:rPr>
          <w:rFonts w:ascii="Arial" w:hAnsi="Arial"/>
          <w:sz w:val="22"/>
        </w:rPr>
        <w:t>In 2026 subsidy applications can be submitted from 9 a.m. on 5 January 2026 to 5 p.m. on 29 May 2026. Applications will be processed in the order in which they are received.</w:t>
      </w:r>
    </w:p>
    <w:p w14:paraId="4E13450E" w14:textId="77777777" w:rsidR="00A70DC5" w:rsidRDefault="00A70DC5" w:rsidP="00A70DC5">
      <w:pPr>
        <w:rPr>
          <w:rFonts w:ascii="Arial" w:hAnsi="Arial" w:cs="Arial"/>
          <w:sz w:val="22"/>
          <w:szCs w:val="22"/>
        </w:rPr>
      </w:pPr>
    </w:p>
    <w:p w14:paraId="132F291E" w14:textId="021DD8D0" w:rsidR="005F2684" w:rsidRPr="002F233C" w:rsidRDefault="005F2684" w:rsidP="00A70DC5">
      <w:pPr>
        <w:rPr>
          <w:rFonts w:ascii="Arial" w:hAnsi="Arial" w:cs="Arial"/>
          <w:b/>
          <w:bCs/>
          <w:sz w:val="22"/>
          <w:szCs w:val="22"/>
        </w:rPr>
      </w:pPr>
      <w:r>
        <w:rPr>
          <w:rFonts w:ascii="Arial" w:hAnsi="Arial"/>
          <w:b/>
          <w:sz w:val="22"/>
        </w:rPr>
        <w:t>Activity plan</w:t>
      </w:r>
    </w:p>
    <w:p w14:paraId="13491820" w14:textId="58833E76" w:rsidR="005F2684" w:rsidRPr="005F2684" w:rsidRDefault="005F2684" w:rsidP="005F2684">
      <w:pPr>
        <w:rPr>
          <w:rFonts w:ascii="Arial" w:hAnsi="Arial" w:cs="Arial"/>
          <w:sz w:val="22"/>
          <w:szCs w:val="22"/>
        </w:rPr>
      </w:pPr>
      <w:r>
        <w:rPr>
          <w:rFonts w:ascii="Arial" w:hAnsi="Arial"/>
          <w:sz w:val="22"/>
        </w:rPr>
        <w:t>The application must include an activity plan explaining the activities to which the application relates and the intended goal. It must also be clear whether the application relates to a person who is already employed or someone who is yet to be hired. In addition, information must be provided on how the subsidised technology will compensate for the occupational disability.</w:t>
      </w:r>
    </w:p>
    <w:p w14:paraId="2664553E" w14:textId="77777777" w:rsidR="005F2684" w:rsidRPr="005F2684" w:rsidRDefault="005F2684" w:rsidP="005F2684">
      <w:pPr>
        <w:rPr>
          <w:rFonts w:ascii="Arial" w:hAnsi="Arial" w:cs="Arial"/>
          <w:sz w:val="22"/>
          <w:szCs w:val="22"/>
        </w:rPr>
      </w:pPr>
    </w:p>
    <w:p w14:paraId="40A9BF8F" w14:textId="6789D838" w:rsidR="00A065E2" w:rsidRDefault="00A065E2" w:rsidP="00957F2F">
      <w:pPr>
        <w:pStyle w:val="Kop2"/>
        <w:ind w:hanging="283"/>
      </w:pPr>
      <w:r>
        <w:t>Other schemes</w:t>
      </w:r>
    </w:p>
    <w:p w14:paraId="61782419" w14:textId="77777777" w:rsidR="00A065E2" w:rsidRPr="0067094A" w:rsidRDefault="00A065E2" w:rsidP="00A065E2">
      <w:pPr>
        <w:rPr>
          <w:rFonts w:ascii="Arial" w:hAnsi="Arial" w:cs="Arial"/>
          <w:sz w:val="22"/>
          <w:szCs w:val="22"/>
        </w:rPr>
      </w:pPr>
    </w:p>
    <w:p w14:paraId="7F788B54" w14:textId="4A25A7C0" w:rsidR="00A065E2" w:rsidRPr="0067094A" w:rsidRDefault="00A065E2" w:rsidP="00A065E2">
      <w:pPr>
        <w:rPr>
          <w:rFonts w:ascii="Arial" w:hAnsi="Arial" w:cs="Arial"/>
          <w:sz w:val="22"/>
          <w:szCs w:val="22"/>
        </w:rPr>
      </w:pPr>
      <w:r>
        <w:rPr>
          <w:rFonts w:ascii="Arial" w:hAnsi="Arial"/>
          <w:sz w:val="22"/>
        </w:rPr>
        <w:t>In addition to the subsidies and allowances described above, there are also other schemes, such as:</w:t>
      </w:r>
    </w:p>
    <w:p w14:paraId="13693F76" w14:textId="21A1577B" w:rsidR="00A065E2" w:rsidRPr="0067094A" w:rsidRDefault="00E9716E" w:rsidP="002F233C">
      <w:pPr>
        <w:pStyle w:val="Lijstalinea"/>
        <w:numPr>
          <w:ilvl w:val="0"/>
          <w:numId w:val="14"/>
        </w:numPr>
        <w:rPr>
          <w:rFonts w:ascii="Arial" w:hAnsi="Arial" w:cs="Arial"/>
        </w:rPr>
      </w:pPr>
      <w:r>
        <w:rPr>
          <w:rFonts w:ascii="Arial" w:hAnsi="Arial"/>
        </w:rPr>
        <w:t xml:space="preserve">an allowance to create an </w:t>
      </w:r>
      <w:hyperlink r:id="rId35" w:history="1">
        <w:r>
          <w:rPr>
            <w:rStyle w:val="Hyperlink"/>
            <w:rFonts w:ascii="Arial" w:hAnsi="Arial"/>
          </w:rPr>
          <w:t>adapted workplace</w:t>
        </w:r>
      </w:hyperlink>
      <w:r>
        <w:rPr>
          <w:rFonts w:ascii="Arial" w:hAnsi="Arial"/>
        </w:rPr>
        <w:t xml:space="preserve"> for an employee with an illness or disability;</w:t>
      </w:r>
    </w:p>
    <w:p w14:paraId="62280C01" w14:textId="45A5BE49" w:rsidR="00EF58EB" w:rsidRDefault="00E9716E" w:rsidP="002F233C">
      <w:pPr>
        <w:pStyle w:val="Lijstalinea"/>
        <w:numPr>
          <w:ilvl w:val="0"/>
          <w:numId w:val="14"/>
        </w:numPr>
        <w:rPr>
          <w:rFonts w:ascii="Arial" w:hAnsi="Arial" w:cs="Arial"/>
        </w:rPr>
      </w:pPr>
      <w:r>
        <w:rPr>
          <w:rFonts w:ascii="Arial" w:hAnsi="Arial"/>
        </w:rPr>
        <w:t xml:space="preserve">an allowance to provide a </w:t>
      </w:r>
      <w:hyperlink r:id="rId36" w:history="1">
        <w:r>
          <w:rPr>
            <w:rStyle w:val="Hyperlink"/>
            <w:rFonts w:ascii="Arial" w:hAnsi="Arial"/>
          </w:rPr>
          <w:t>job coach</w:t>
        </w:r>
      </w:hyperlink>
      <w:r>
        <w:rPr>
          <w:rFonts w:ascii="Arial" w:hAnsi="Arial"/>
        </w:rPr>
        <w:t xml:space="preserve"> to support an employee with an illness or disability;</w:t>
      </w:r>
    </w:p>
    <w:p w14:paraId="2A3AB633" w14:textId="77777777" w:rsidR="006E7C81" w:rsidRDefault="00E9716E" w:rsidP="002F233C">
      <w:pPr>
        <w:pStyle w:val="Lijstalinea"/>
        <w:numPr>
          <w:ilvl w:val="0"/>
          <w:numId w:val="14"/>
        </w:numPr>
        <w:rPr>
          <w:rFonts w:ascii="Arial" w:hAnsi="Arial" w:cs="Arial"/>
        </w:rPr>
      </w:pPr>
      <w:r>
        <w:rPr>
          <w:rFonts w:ascii="Arial" w:hAnsi="Arial"/>
        </w:rPr>
        <w:t xml:space="preserve">the possibility of hiring an employee with a </w:t>
      </w:r>
      <w:hyperlink r:id="rId37" w:history="1">
        <w:r>
          <w:rPr>
            <w:rStyle w:val="Hyperlink"/>
            <w:rFonts w:ascii="Arial" w:hAnsi="Arial"/>
          </w:rPr>
          <w:t>no-risk policy</w:t>
        </w:r>
      </w:hyperlink>
      <w:r>
        <w:rPr>
          <w:rFonts w:ascii="Arial" w:hAnsi="Arial"/>
        </w:rPr>
        <w:t>;</w:t>
      </w:r>
    </w:p>
    <w:p w14:paraId="016A1512" w14:textId="547F144D" w:rsidR="00E05DBA" w:rsidRPr="006E7C81" w:rsidRDefault="00E9716E" w:rsidP="002F233C">
      <w:pPr>
        <w:pStyle w:val="Lijstalinea"/>
        <w:numPr>
          <w:ilvl w:val="0"/>
          <w:numId w:val="14"/>
        </w:numPr>
        <w:rPr>
          <w:rFonts w:ascii="Arial" w:hAnsi="Arial" w:cs="Arial"/>
        </w:rPr>
      </w:pPr>
      <w:r>
        <w:rPr>
          <w:rFonts w:ascii="Arial" w:hAnsi="Arial"/>
        </w:rPr>
        <w:lastRenderedPageBreak/>
        <w:t xml:space="preserve">the possibility of taking on an employee for two months on a trial basis via a </w:t>
      </w:r>
      <w:hyperlink r:id="rId38" w:history="1">
        <w:r>
          <w:rPr>
            <w:rStyle w:val="Hyperlink"/>
            <w:rFonts w:ascii="Arial" w:hAnsi="Arial"/>
          </w:rPr>
          <w:t>trial placement</w:t>
        </w:r>
      </w:hyperlink>
      <w:r>
        <w:rPr>
          <w:rFonts w:ascii="Arial" w:hAnsi="Arial"/>
        </w:rPr>
        <w:t>.</w:t>
      </w:r>
      <w:r>
        <w:br w:type="page"/>
      </w:r>
    </w:p>
    <w:p w14:paraId="0313672B" w14:textId="41580D4E" w:rsidR="00682FE5" w:rsidRDefault="00682FE5" w:rsidP="006009D4">
      <w:pPr>
        <w:pStyle w:val="Kop1"/>
      </w:pPr>
      <w:bookmarkStart w:id="69" w:name="_Toc152927316"/>
      <w:bookmarkStart w:id="70" w:name="_Toc155866634"/>
      <w:r>
        <w:lastRenderedPageBreak/>
        <w:t>International</w:t>
      </w:r>
      <w:bookmarkEnd w:id="69"/>
      <w:bookmarkEnd w:id="70"/>
    </w:p>
    <w:p w14:paraId="56F1FCD4" w14:textId="77777777" w:rsidR="00D82958" w:rsidRDefault="00D82958" w:rsidP="00D82958"/>
    <w:p w14:paraId="162E1C3C" w14:textId="77777777" w:rsidR="00B15B01" w:rsidRPr="00D82958" w:rsidRDefault="00B15B01" w:rsidP="00D82958"/>
    <w:p w14:paraId="1A1DE80F" w14:textId="05C6E816" w:rsidR="00E34188" w:rsidRPr="00C9418C" w:rsidRDefault="00466F55" w:rsidP="00957F2F">
      <w:pPr>
        <w:pStyle w:val="Kop2"/>
        <w:ind w:hanging="283"/>
        <w:rPr>
          <w:rStyle w:val="Kop2Char"/>
          <w:b/>
          <w:bCs/>
        </w:rPr>
      </w:pPr>
      <w:bookmarkStart w:id="71" w:name="_Toc155866635"/>
      <w:r>
        <w:rPr>
          <w:rStyle w:val="Kop2Char"/>
          <w:b/>
        </w:rPr>
        <w:t>Changes to expat scheme</w:t>
      </w:r>
      <w:bookmarkEnd w:id="71"/>
    </w:p>
    <w:p w14:paraId="241B63E9" w14:textId="77777777" w:rsidR="00C9418C" w:rsidRPr="00C9418C" w:rsidRDefault="00C9418C" w:rsidP="00C9418C"/>
    <w:p w14:paraId="5D94B6B2" w14:textId="242C0474" w:rsidR="00E9716E" w:rsidRDefault="00466F55" w:rsidP="00466F55">
      <w:pPr>
        <w:rPr>
          <w:rFonts w:ascii="Arial" w:hAnsi="Arial" w:cs="Arial"/>
          <w:sz w:val="22"/>
          <w:szCs w:val="22"/>
        </w:rPr>
      </w:pPr>
      <w:r>
        <w:rPr>
          <w:rFonts w:ascii="Arial" w:hAnsi="Arial"/>
          <w:sz w:val="22"/>
        </w:rPr>
        <w:t>The expat scheme (previously known as the 30% scheme) is a tax facility under which, in 2026, subject to strict conditions, up to 30% of the salary may be paid free of tax to employees recruited from abroad. Such employees are often faced with additional costs: so-called extraterritorial costs. From 2027 the rate will be lowered to 27% and the salary standards will be increased.</w:t>
      </w:r>
    </w:p>
    <w:p w14:paraId="67E4D37A" w14:textId="77777777" w:rsidR="00E9716E" w:rsidRDefault="00E9716E" w:rsidP="00466F55">
      <w:pPr>
        <w:rPr>
          <w:rFonts w:ascii="Arial" w:hAnsi="Arial" w:cs="Arial"/>
          <w:sz w:val="22"/>
          <w:szCs w:val="22"/>
        </w:rPr>
      </w:pPr>
    </w:p>
    <w:p w14:paraId="04455E8F" w14:textId="29442629" w:rsidR="000D3EBF" w:rsidRPr="000D3EBF" w:rsidRDefault="000D3EBF" w:rsidP="000D3EBF">
      <w:pPr>
        <w:rPr>
          <w:rFonts w:ascii="Arial" w:hAnsi="Arial" w:cs="Arial"/>
          <w:b/>
          <w:bCs/>
          <w:sz w:val="22"/>
          <w:szCs w:val="22"/>
        </w:rPr>
      </w:pPr>
      <w:r>
        <w:rPr>
          <w:rFonts w:ascii="Arial" w:hAnsi="Arial"/>
          <w:b/>
          <w:sz w:val="22"/>
        </w:rPr>
        <w:t>WNT standard as a maximum</w:t>
      </w:r>
    </w:p>
    <w:p w14:paraId="744940AE" w14:textId="285D223E" w:rsidR="000D3EBF" w:rsidRDefault="000D3EBF" w:rsidP="000D3EBF">
      <w:pPr>
        <w:rPr>
          <w:rFonts w:ascii="Arial" w:hAnsi="Arial" w:cs="Arial"/>
          <w:sz w:val="22"/>
          <w:szCs w:val="22"/>
        </w:rPr>
      </w:pPr>
      <w:r>
        <w:rPr>
          <w:rFonts w:ascii="Arial" w:hAnsi="Arial"/>
          <w:sz w:val="22"/>
        </w:rPr>
        <w:t>Since 2024 the expat scheme has been subject to a maximum salary, in the form of the so-called WNT (Standardisation of Top Incomes Act) standard. This maximum means that, in 2026, the expat scheme can ‘only’ be applied to a salary up to a maximum of € 262,000. In 2026 you can therefore pay a maximum of € 78,600 (30% of € 262,000) net under the expat scheme.</w:t>
      </w:r>
    </w:p>
    <w:p w14:paraId="7ECB7763" w14:textId="77777777" w:rsidR="00BF20D1" w:rsidRDefault="00BF20D1" w:rsidP="00BF20D1">
      <w:pPr>
        <w:rPr>
          <w:rFonts w:ascii="Arial" w:hAnsi="Arial" w:cs="Arial"/>
          <w:color w:val="000000"/>
          <w:sz w:val="22"/>
          <w:szCs w:val="22"/>
        </w:rPr>
      </w:pPr>
    </w:p>
    <w:p w14:paraId="4A0BBA77" w14:textId="77777777" w:rsidR="000411B7" w:rsidRDefault="00006CE0" w:rsidP="00BF20D1">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b/>
          <w:bCs/>
          <w:sz w:val="22"/>
          <w:szCs w:val="22"/>
        </w:rPr>
      </w:pPr>
      <w:r>
        <w:rPr>
          <w:rFonts w:ascii="Arial" w:hAnsi="Arial"/>
          <w:b/>
          <w:sz w:val="22"/>
        </w:rPr>
        <w:t>Please note:</w:t>
      </w:r>
    </w:p>
    <w:p w14:paraId="5EB006E7" w14:textId="3EFD39F4" w:rsidR="00BF20D1" w:rsidRPr="00754442" w:rsidRDefault="00006CE0" w:rsidP="00BF20D1">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r>
        <w:rPr>
          <w:rFonts w:ascii="Arial" w:hAnsi="Arial"/>
          <w:sz w:val="22"/>
        </w:rPr>
        <w:t>If you were already applying the expat scheme for an employee before 2023, you did not have to take the WNT standard into account during the period up to the end of 2025. You will, however, also need to do so for such employees from 2026.</w:t>
      </w:r>
    </w:p>
    <w:p w14:paraId="6E5DA8EB" w14:textId="77777777" w:rsidR="00AA38CB" w:rsidRDefault="00AA38CB" w:rsidP="000D3EBF">
      <w:pPr>
        <w:rPr>
          <w:rFonts w:ascii="Arial" w:hAnsi="Arial" w:cs="Arial"/>
          <w:sz w:val="22"/>
          <w:szCs w:val="22"/>
        </w:rPr>
      </w:pPr>
    </w:p>
    <w:p w14:paraId="44540AE9" w14:textId="01257C4D" w:rsidR="00AA38CB" w:rsidRDefault="00AA38CB" w:rsidP="000D3EBF">
      <w:pPr>
        <w:rPr>
          <w:rFonts w:ascii="Arial" w:hAnsi="Arial" w:cs="Arial"/>
          <w:b/>
          <w:bCs/>
          <w:sz w:val="22"/>
          <w:szCs w:val="22"/>
        </w:rPr>
      </w:pPr>
      <w:r>
        <w:rPr>
          <w:rFonts w:ascii="Arial" w:hAnsi="Arial"/>
          <w:b/>
          <w:sz w:val="22"/>
        </w:rPr>
        <w:t>Rate of 30% retained in 2026, but falling to 27% from 2027</w:t>
      </w:r>
    </w:p>
    <w:p w14:paraId="65053E2D" w14:textId="23BB2F5A" w:rsidR="00AA38CB" w:rsidRDefault="00006CE0" w:rsidP="000D3EBF">
      <w:pPr>
        <w:rPr>
          <w:rFonts w:ascii="Arial" w:hAnsi="Arial" w:cs="Arial"/>
          <w:sz w:val="22"/>
          <w:szCs w:val="22"/>
        </w:rPr>
      </w:pPr>
      <w:r>
        <w:rPr>
          <w:rFonts w:ascii="Arial" w:hAnsi="Arial"/>
          <w:sz w:val="22"/>
        </w:rPr>
        <w:t>In 2026 a rate of 30% will continue to apply to all expat schemes. This will fall to 27% from 2027, however.</w:t>
      </w:r>
    </w:p>
    <w:p w14:paraId="2AB63EAE" w14:textId="77777777" w:rsidR="00AA38CB" w:rsidRDefault="00AA38CB" w:rsidP="000D3EBF">
      <w:pPr>
        <w:rPr>
          <w:rFonts w:ascii="Arial" w:hAnsi="Arial" w:cs="Arial"/>
          <w:sz w:val="22"/>
          <w:szCs w:val="22"/>
        </w:rPr>
      </w:pPr>
    </w:p>
    <w:p w14:paraId="3E03A265" w14:textId="77777777" w:rsidR="000411B7" w:rsidRDefault="00F04411" w:rsidP="00F04411">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b/>
          <w:bCs/>
          <w:sz w:val="22"/>
          <w:szCs w:val="22"/>
        </w:rPr>
      </w:pPr>
      <w:r>
        <w:rPr>
          <w:rFonts w:ascii="Arial" w:hAnsi="Arial"/>
          <w:b/>
          <w:sz w:val="22"/>
        </w:rPr>
        <w:t>Tip:</w:t>
      </w:r>
    </w:p>
    <w:p w14:paraId="12525888" w14:textId="2C79CDB1" w:rsidR="00AA38CB" w:rsidRDefault="00F04411" w:rsidP="00F04411">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r>
        <w:rPr>
          <w:rFonts w:ascii="Arial" w:hAnsi="Arial"/>
          <w:sz w:val="22"/>
        </w:rPr>
        <w:t>If you were already applying the 30% scheme for an employee before 2024, you can continue to apply the 30% rate for the whole of the 60-month period, including from 2027.</w:t>
      </w:r>
    </w:p>
    <w:p w14:paraId="39A1E2AA" w14:textId="77777777" w:rsidR="00AA38CB" w:rsidRDefault="00AA38CB" w:rsidP="000D3EBF">
      <w:pPr>
        <w:rPr>
          <w:rFonts w:ascii="Arial" w:hAnsi="Arial" w:cs="Arial"/>
          <w:sz w:val="22"/>
          <w:szCs w:val="22"/>
        </w:rPr>
      </w:pPr>
    </w:p>
    <w:p w14:paraId="4FC184A0" w14:textId="5F146779" w:rsidR="00DF1632" w:rsidRDefault="00DF1632" w:rsidP="00DF1632">
      <w:pPr>
        <w:rPr>
          <w:rFonts w:ascii="Arial" w:hAnsi="Arial" w:cs="Arial"/>
          <w:sz w:val="22"/>
          <w:szCs w:val="22"/>
          <w:shd w:val="clear" w:color="auto" w:fill="FFFFFF"/>
        </w:rPr>
      </w:pPr>
      <w:r>
        <w:rPr>
          <w:rFonts w:ascii="Arial" w:hAnsi="Arial"/>
          <w:b/>
          <w:sz w:val="22"/>
        </w:rPr>
        <w:t>Salary standard to rise from 2027</w:t>
      </w:r>
      <w:r>
        <w:rPr>
          <w:rFonts w:ascii="Arial" w:hAnsi="Arial"/>
          <w:b/>
          <w:sz w:val="22"/>
        </w:rPr>
        <w:br/>
      </w:r>
      <w:r>
        <w:rPr>
          <w:rFonts w:ascii="Arial" w:hAnsi="Arial"/>
          <w:sz w:val="22"/>
          <w:shd w:val="clear" w:color="auto" w:fill="FFFFFF"/>
        </w:rPr>
        <w:t>The application of the expat scheme is subject to a number of conditions. One is that the employee has specific expertise that is scarce or not available at all on the Dutch labour market. An employee is considered to meet this specific expertise requirement if his/her pay is above a set salary standard.</w:t>
      </w:r>
    </w:p>
    <w:p w14:paraId="50FD9935" w14:textId="77777777" w:rsidR="00DF1632" w:rsidRDefault="00DF1632" w:rsidP="00DF1632">
      <w:pPr>
        <w:rPr>
          <w:rFonts w:ascii="Arial" w:hAnsi="Arial" w:cs="Arial"/>
          <w:sz w:val="22"/>
          <w:szCs w:val="22"/>
          <w:shd w:val="clear" w:color="auto" w:fill="FFFFFF"/>
        </w:rPr>
      </w:pPr>
    </w:p>
    <w:p w14:paraId="2923EA3E" w14:textId="1F780094" w:rsidR="00DF1632" w:rsidRDefault="00DF1632" w:rsidP="00DF1632">
      <w:pPr>
        <w:rPr>
          <w:rFonts w:ascii="Arial" w:hAnsi="Arial" w:cs="Arial"/>
          <w:sz w:val="22"/>
          <w:szCs w:val="22"/>
        </w:rPr>
      </w:pPr>
      <w:r>
        <w:rPr>
          <w:rFonts w:ascii="Arial" w:hAnsi="Arial"/>
          <w:sz w:val="22"/>
        </w:rPr>
        <w:t xml:space="preserve">For 2026 the salary standard will amount to € 48,013 (2025: € 46,660). </w:t>
      </w:r>
      <w:r>
        <w:rPr>
          <w:rFonts w:ascii="Arial" w:hAnsi="Arial"/>
          <w:sz w:val="22"/>
          <w:shd w:val="clear" w:color="auto" w:fill="FFFFFF"/>
        </w:rPr>
        <w:t>In the case of incoming employees who are under the age of 30 and have obtained a master’s degree the salary standard will be</w:t>
      </w:r>
      <w:r w:rsidR="00954090">
        <w:rPr>
          <w:rFonts w:ascii="Arial" w:hAnsi="Arial"/>
          <w:sz w:val="22"/>
          <w:shd w:val="clear" w:color="auto" w:fill="FFFFFF"/>
        </w:rPr>
        <w:t xml:space="preserve"> </w:t>
      </w:r>
      <w:r>
        <w:rPr>
          <w:rFonts w:ascii="Arial" w:hAnsi="Arial"/>
          <w:sz w:val="22"/>
        </w:rPr>
        <w:t>€ 36,497 in 2026 (2025: € 35,468).</w:t>
      </w:r>
      <w:r>
        <w:rPr>
          <w:rFonts w:ascii="Arial" w:hAnsi="Arial"/>
          <w:sz w:val="22"/>
          <w:shd w:val="clear" w:color="auto" w:fill="FFFFFF"/>
        </w:rPr>
        <w:t xml:space="preserve"> </w:t>
      </w:r>
      <w:r>
        <w:rPr>
          <w:rFonts w:ascii="Arial" w:hAnsi="Arial"/>
          <w:sz w:val="22"/>
        </w:rPr>
        <w:t>Both amounts will rise from 2027, to € 50,436 and € 38,338 respectively. This is based on the amounts that applied in 2024 (subject to further indexation in 2025, 2026 and 2027).</w:t>
      </w:r>
    </w:p>
    <w:p w14:paraId="2A493BDC" w14:textId="77777777" w:rsidR="006F43A9" w:rsidRPr="00DF1632" w:rsidRDefault="006F43A9" w:rsidP="00DF1632">
      <w:pPr>
        <w:rPr>
          <w:rFonts w:ascii="Arial" w:hAnsi="Arial" w:cs="Arial"/>
          <w:sz w:val="22"/>
          <w:szCs w:val="22"/>
        </w:rPr>
      </w:pPr>
    </w:p>
    <w:p w14:paraId="54111600" w14:textId="7AABCF5D" w:rsidR="00F04411" w:rsidRDefault="00F04411" w:rsidP="00F04411">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r>
        <w:rPr>
          <w:rFonts w:ascii="Arial" w:hAnsi="Arial"/>
          <w:b/>
          <w:sz w:val="22"/>
        </w:rPr>
        <w:t>Tip:</w:t>
      </w:r>
      <w:r>
        <w:rPr>
          <w:rFonts w:ascii="Arial" w:hAnsi="Arial"/>
          <w:sz w:val="22"/>
        </w:rPr>
        <w:br/>
        <w:t>This increased salary will not apply to persons who were already applying the expat scheme before 2024.</w:t>
      </w:r>
    </w:p>
    <w:p w14:paraId="623CBA88" w14:textId="77777777" w:rsidR="00055E7C" w:rsidRDefault="00055E7C" w:rsidP="00DF1632">
      <w:pPr>
        <w:rPr>
          <w:rFonts w:ascii="Arial" w:hAnsi="Arial" w:cs="Arial"/>
          <w:sz w:val="22"/>
          <w:szCs w:val="22"/>
          <w:shd w:val="clear" w:color="auto" w:fill="FFFFFF"/>
        </w:rPr>
      </w:pPr>
    </w:p>
    <w:p w14:paraId="3E22B302" w14:textId="31A3BE10" w:rsidR="00055E7C" w:rsidRDefault="00055E7C" w:rsidP="00DF1632">
      <w:pPr>
        <w:rPr>
          <w:rFonts w:ascii="Arial" w:hAnsi="Arial" w:cs="Arial"/>
          <w:sz w:val="22"/>
          <w:szCs w:val="22"/>
          <w:shd w:val="clear" w:color="auto" w:fill="FFFFFF"/>
        </w:rPr>
      </w:pPr>
      <w:r>
        <w:rPr>
          <w:rFonts w:ascii="Arial" w:hAnsi="Arial"/>
          <w:sz w:val="22"/>
          <w:shd w:val="clear" w:color="auto" w:fill="FFFFFF"/>
        </w:rPr>
        <w:t>No salary standard applies to employees who work at a research institute in scientific research or education or employees who are doctors in training to become a specialist (AIOSs).</w:t>
      </w:r>
    </w:p>
    <w:p w14:paraId="3D8A11E2" w14:textId="77777777" w:rsidR="00412B8D" w:rsidRDefault="00412B8D" w:rsidP="00DF1632">
      <w:pPr>
        <w:rPr>
          <w:rFonts w:ascii="Arial" w:hAnsi="Arial" w:cs="Arial"/>
          <w:sz w:val="22"/>
          <w:szCs w:val="22"/>
          <w:shd w:val="clear" w:color="auto" w:fill="FFFFFF"/>
        </w:rPr>
      </w:pPr>
    </w:p>
    <w:p w14:paraId="5A8E7360" w14:textId="0BC6C5E7" w:rsidR="004C5E4E" w:rsidRDefault="004C5E4E" w:rsidP="004C5E4E">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r>
        <w:rPr>
          <w:rFonts w:ascii="Arial" w:hAnsi="Arial"/>
          <w:b/>
          <w:sz w:val="22"/>
        </w:rPr>
        <w:t>Please note:</w:t>
      </w:r>
      <w:r>
        <w:rPr>
          <w:rFonts w:ascii="Arial" w:hAnsi="Arial"/>
          <w:sz w:val="22"/>
        </w:rPr>
        <w:br/>
        <w:t>The various transitional arrangements described above will remain applicable if the employee switches to another employer, provided that the expat scheme continues to apply. This is the case if the new employer and the employee jointly make a request to this effect within four months of the employment commencing and the period between the end of the employment with the old employer and the conclusion of the employment contract with the new employer does not exceed three months.</w:t>
      </w:r>
    </w:p>
    <w:p w14:paraId="4FAA0840" w14:textId="1B6CFE83" w:rsidR="00BF20D1" w:rsidRPr="004C5E4E" w:rsidRDefault="00BF20D1" w:rsidP="00BF20D1">
      <w:pPr>
        <w:rPr>
          <w:rFonts w:ascii="Arial" w:hAnsi="Arial" w:cs="Arial"/>
          <w:sz w:val="22"/>
          <w:szCs w:val="22"/>
        </w:rPr>
      </w:pPr>
    </w:p>
    <w:p w14:paraId="6EC5C246" w14:textId="07232189" w:rsidR="003D70DD" w:rsidRDefault="00B64C0B" w:rsidP="00B64C0B">
      <w:pPr>
        <w:rPr>
          <w:rFonts w:ascii="Arial" w:eastAsia="Calibri" w:hAnsi="Arial" w:cs="Arial"/>
          <w:sz w:val="22"/>
          <w:szCs w:val="22"/>
        </w:rPr>
      </w:pPr>
      <w:r>
        <w:rPr>
          <w:rFonts w:ascii="Arial" w:hAnsi="Arial"/>
          <w:b/>
          <w:sz w:val="22"/>
        </w:rPr>
        <w:t>Choice between expat scheme and actual costs (ETK scheme)</w:t>
      </w:r>
      <w:r>
        <w:rPr>
          <w:rFonts w:ascii="Arial" w:hAnsi="Arial"/>
          <w:b/>
          <w:sz w:val="22"/>
        </w:rPr>
        <w:br/>
      </w:r>
      <w:r>
        <w:rPr>
          <w:rFonts w:ascii="Arial" w:hAnsi="Arial"/>
          <w:sz w:val="22"/>
        </w:rPr>
        <w:t xml:space="preserve">Each year you can choose between applying the expat scheme and reimbursing the actual extraterritorial costs (also referred to as the ETK scheme). You make this choice in the first pay period of the calendar year and it then applies for the whole of that calendar year. </w:t>
      </w:r>
    </w:p>
    <w:p w14:paraId="58518477" w14:textId="77777777" w:rsidR="00BF20D1" w:rsidRDefault="00BF20D1" w:rsidP="00B64C0B">
      <w:pPr>
        <w:rPr>
          <w:rFonts w:ascii="Arial" w:eastAsia="Calibri" w:hAnsi="Arial" w:cs="Arial"/>
          <w:sz w:val="22"/>
          <w:szCs w:val="22"/>
        </w:rPr>
      </w:pPr>
    </w:p>
    <w:p w14:paraId="6DAFFE4E" w14:textId="49EC3015" w:rsidR="00BF20D1" w:rsidRPr="00754442" w:rsidRDefault="00BF20D1" w:rsidP="00BF20D1">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r>
        <w:rPr>
          <w:rFonts w:ascii="Arial" w:hAnsi="Arial"/>
          <w:b/>
          <w:sz w:val="22"/>
        </w:rPr>
        <w:t>Tip:</w:t>
      </w:r>
      <w:r>
        <w:rPr>
          <w:rFonts w:ascii="Arial" w:hAnsi="Arial"/>
          <w:sz w:val="22"/>
        </w:rPr>
        <w:br/>
        <w:t>If you opt to reimburse the actual costs and therefore do not wish to make use of the expat scheme, the WNT standard does not apply.</w:t>
      </w:r>
    </w:p>
    <w:p w14:paraId="686812C4" w14:textId="77777777" w:rsidR="00466F55" w:rsidRDefault="00466F55" w:rsidP="00466F55">
      <w:pPr>
        <w:rPr>
          <w:rFonts w:ascii="Arial" w:hAnsi="Arial" w:cs="Arial"/>
          <w:sz w:val="22"/>
          <w:szCs w:val="22"/>
        </w:rPr>
      </w:pPr>
    </w:p>
    <w:p w14:paraId="06A207A7" w14:textId="321A945D" w:rsidR="00CE36E9" w:rsidRPr="00CE36E9" w:rsidRDefault="00CE36E9" w:rsidP="00CE36E9">
      <w:pPr>
        <w:rPr>
          <w:rFonts w:ascii="Arial" w:hAnsi="Arial" w:cs="Arial"/>
          <w:sz w:val="22"/>
          <w:szCs w:val="22"/>
        </w:rPr>
      </w:pPr>
      <w:r>
        <w:rPr>
          <w:rFonts w:ascii="Arial" w:hAnsi="Arial"/>
          <w:sz w:val="22"/>
        </w:rPr>
        <w:t>From 2026 certain costs can no longer be reimbursed free of tax under the ETK scheme. These are:</w:t>
      </w:r>
    </w:p>
    <w:p w14:paraId="110C4C57" w14:textId="77777777" w:rsidR="00CE36E9" w:rsidRPr="00CE36E9" w:rsidRDefault="00CE36E9" w:rsidP="002F233C">
      <w:pPr>
        <w:numPr>
          <w:ilvl w:val="0"/>
          <w:numId w:val="35"/>
        </w:numPr>
        <w:tabs>
          <w:tab w:val="num" w:pos="720"/>
        </w:tabs>
        <w:rPr>
          <w:rFonts w:ascii="Arial" w:hAnsi="Arial" w:cs="Arial"/>
          <w:sz w:val="22"/>
          <w:szCs w:val="22"/>
        </w:rPr>
      </w:pPr>
      <w:r>
        <w:rPr>
          <w:rFonts w:ascii="Arial" w:hAnsi="Arial"/>
          <w:sz w:val="22"/>
        </w:rPr>
        <w:t>Extra living costs resulting from prices in the Netherlands being higher than in the employee’s country of origin. These also include costs of gas, water, lighting and other utilities.</w:t>
      </w:r>
    </w:p>
    <w:p w14:paraId="1FD961B3" w14:textId="77777777" w:rsidR="00CE36E9" w:rsidRPr="00CE36E9" w:rsidRDefault="00CE36E9" w:rsidP="002F233C">
      <w:pPr>
        <w:numPr>
          <w:ilvl w:val="0"/>
          <w:numId w:val="35"/>
        </w:numPr>
        <w:tabs>
          <w:tab w:val="num" w:pos="720"/>
        </w:tabs>
        <w:rPr>
          <w:rFonts w:ascii="Arial" w:hAnsi="Arial" w:cs="Arial"/>
          <w:sz w:val="22"/>
          <w:szCs w:val="22"/>
        </w:rPr>
      </w:pPr>
      <w:r>
        <w:rPr>
          <w:rFonts w:ascii="Arial" w:hAnsi="Arial"/>
          <w:sz w:val="22"/>
        </w:rPr>
        <w:t>Extra private call charges for calls to the country of origin.</w:t>
      </w:r>
    </w:p>
    <w:p w14:paraId="5152533A" w14:textId="77777777" w:rsidR="00CE36E9" w:rsidRPr="00466F55" w:rsidRDefault="00CE36E9" w:rsidP="00466F55">
      <w:pPr>
        <w:rPr>
          <w:rFonts w:ascii="Arial" w:hAnsi="Arial" w:cs="Arial"/>
          <w:sz w:val="22"/>
          <w:szCs w:val="22"/>
        </w:rPr>
      </w:pPr>
    </w:p>
    <w:p w14:paraId="7BA4DFBD" w14:textId="77777777" w:rsidR="00466F55" w:rsidRPr="000D3EBF" w:rsidRDefault="00466F55" w:rsidP="00466F55">
      <w:pPr>
        <w:rPr>
          <w:rFonts w:ascii="Arial" w:hAnsi="Arial" w:cs="Arial"/>
          <w:b/>
          <w:bCs/>
          <w:sz w:val="22"/>
          <w:szCs w:val="22"/>
        </w:rPr>
      </w:pPr>
      <w:r>
        <w:rPr>
          <w:rFonts w:ascii="Arial" w:hAnsi="Arial"/>
          <w:b/>
          <w:sz w:val="22"/>
        </w:rPr>
        <w:t>Decision required</w:t>
      </w:r>
    </w:p>
    <w:p w14:paraId="7F283D22" w14:textId="07BE9662" w:rsidR="00466F55" w:rsidRPr="00466F55" w:rsidRDefault="00466F55" w:rsidP="00466F55">
      <w:pPr>
        <w:rPr>
          <w:rFonts w:ascii="Arial" w:hAnsi="Arial" w:cs="Arial"/>
          <w:sz w:val="22"/>
          <w:szCs w:val="22"/>
        </w:rPr>
      </w:pPr>
      <w:r>
        <w:rPr>
          <w:rFonts w:ascii="Arial" w:hAnsi="Arial"/>
          <w:sz w:val="22"/>
        </w:rPr>
        <w:t xml:space="preserve">If you want to take advantage of the expat scheme, you need to apply to the Tax and Customs Administration for a decision for the employee in question. In this decision you will find information including the maximum period for which you can apply the expat scheme. If you want to apply the scheme from the employee’s first working day, make sure that the Tax and Customs Administration receives the application for permission to apply it within four months of the first working day. The Tax and Customs Administration has a special </w:t>
      </w:r>
      <w:hyperlink r:id="rId39" w:history="1">
        <w:r>
          <w:rPr>
            <w:rStyle w:val="Hyperlink"/>
            <w:rFonts w:ascii="Arial" w:hAnsi="Arial"/>
            <w:sz w:val="22"/>
          </w:rPr>
          <w:t>form</w:t>
        </w:r>
      </w:hyperlink>
      <w:r>
        <w:rPr>
          <w:rFonts w:ascii="Arial" w:hAnsi="Arial"/>
          <w:sz w:val="22"/>
        </w:rPr>
        <w:t xml:space="preserve"> for submitting this application.</w:t>
      </w:r>
    </w:p>
    <w:p w14:paraId="45BE3BB6" w14:textId="77777777" w:rsidR="00466F55" w:rsidRDefault="00466F55" w:rsidP="00466F55">
      <w:pPr>
        <w:rPr>
          <w:rFonts w:ascii="Arial" w:hAnsi="Arial" w:cs="Arial"/>
          <w:sz w:val="22"/>
          <w:szCs w:val="22"/>
        </w:rPr>
      </w:pPr>
    </w:p>
    <w:p w14:paraId="5552742A" w14:textId="3A249646" w:rsidR="00BF20D1" w:rsidRDefault="00BF20D1" w:rsidP="00AA7EF5">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r>
        <w:rPr>
          <w:rFonts w:ascii="Arial" w:hAnsi="Arial"/>
          <w:b/>
          <w:sz w:val="22"/>
        </w:rPr>
        <w:t>Please note:</w:t>
      </w:r>
      <w:r>
        <w:rPr>
          <w:rFonts w:ascii="Arial" w:hAnsi="Arial"/>
          <w:sz w:val="22"/>
        </w:rPr>
        <w:br/>
        <w:t>Besides obtaining the decision, you are also obliged to make written agreements on the application of the expat scheme with your employee, in his/her employment contract or an addendum to it.</w:t>
      </w:r>
    </w:p>
    <w:bookmarkEnd w:id="68"/>
    <w:p w14:paraId="0D3E89A7" w14:textId="77777777" w:rsidR="00055E7C" w:rsidRDefault="00055E7C" w:rsidP="00055E7C">
      <w:pPr>
        <w:rPr>
          <w:rFonts w:ascii="Arial" w:hAnsi="Arial" w:cs="Arial"/>
          <w:b/>
          <w:bCs/>
          <w:color w:val="000000"/>
          <w:sz w:val="22"/>
          <w:szCs w:val="22"/>
        </w:rPr>
      </w:pPr>
    </w:p>
    <w:p w14:paraId="4C74EA92" w14:textId="494C3FF6" w:rsidR="00055E7C" w:rsidRPr="00DF1632" w:rsidRDefault="00055E7C" w:rsidP="00055E7C">
      <w:pPr>
        <w:rPr>
          <w:rFonts w:ascii="Arial" w:hAnsi="Arial" w:cs="Arial"/>
          <w:b/>
          <w:bCs/>
          <w:color w:val="000000"/>
          <w:sz w:val="22"/>
          <w:szCs w:val="22"/>
        </w:rPr>
      </w:pPr>
      <w:r>
        <w:rPr>
          <w:rFonts w:ascii="Arial" w:hAnsi="Arial"/>
          <w:b/>
          <w:color w:val="000000"/>
          <w:sz w:val="22"/>
        </w:rPr>
        <w:t>Partial foreign tax liability</w:t>
      </w:r>
    </w:p>
    <w:p w14:paraId="3C57B250" w14:textId="47F11769" w:rsidR="00055E7C" w:rsidRDefault="00055E7C" w:rsidP="00055E7C">
      <w:pPr>
        <w:rPr>
          <w:rFonts w:ascii="Arial" w:hAnsi="Arial" w:cs="Arial"/>
          <w:color w:val="000000"/>
          <w:sz w:val="22"/>
          <w:szCs w:val="22"/>
        </w:rPr>
      </w:pPr>
      <w:r>
        <w:rPr>
          <w:rFonts w:ascii="Arial" w:hAnsi="Arial"/>
          <w:color w:val="000000"/>
          <w:sz w:val="22"/>
        </w:rPr>
        <w:t>Employees who take advantage of the expat scheme did not have to pay any tax on foreign capital income in box 2 and box 3 up to the end of 2024. This is also referred to as the partial foreign tax liability. Since 2025 this facility has been withdrawn. This does not apply to situations in which the 30% scheme was already being applied before 2024. In such situations the facility will remain in effect until the end of 2026.</w:t>
      </w:r>
    </w:p>
    <w:p w14:paraId="388C757D" w14:textId="77777777" w:rsidR="00412B8D" w:rsidRDefault="00412B8D" w:rsidP="00055E7C">
      <w:pPr>
        <w:rPr>
          <w:rFonts w:ascii="Arial" w:hAnsi="Arial" w:cs="Arial"/>
          <w:color w:val="000000"/>
          <w:sz w:val="22"/>
          <w:szCs w:val="22"/>
        </w:rPr>
      </w:pPr>
    </w:p>
    <w:p w14:paraId="751073FD" w14:textId="5647A325" w:rsidR="00F04411" w:rsidRDefault="00F04411" w:rsidP="00F04411">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r>
        <w:rPr>
          <w:rFonts w:ascii="Arial" w:hAnsi="Arial"/>
          <w:b/>
          <w:sz w:val="22"/>
        </w:rPr>
        <w:t>Please note:</w:t>
      </w:r>
      <w:r>
        <w:rPr>
          <w:rFonts w:ascii="Arial" w:hAnsi="Arial"/>
          <w:sz w:val="22"/>
        </w:rPr>
        <w:br/>
        <w:t>Since 2025, for employees whose partial foreign tax liability expired in 2025, it has no longer been possible to make use of the option of aligning the payroll tax/national insurance contributions that you have to deduct with the income tax and any national insurance contributions that your employee is required to pay.</w:t>
      </w:r>
    </w:p>
    <w:p w14:paraId="54AFB176" w14:textId="6743D81A" w:rsidR="00055E7C" w:rsidRPr="00F04411" w:rsidRDefault="00055E7C" w:rsidP="00F04411">
      <w:pPr>
        <w:rPr>
          <w:rFonts w:ascii="Arial" w:hAnsi="Arial" w:cs="Arial"/>
          <w:color w:val="000000"/>
          <w:sz w:val="22"/>
          <w:szCs w:val="22"/>
        </w:rPr>
      </w:pPr>
    </w:p>
    <w:p w14:paraId="134DC44D" w14:textId="79F9FB55" w:rsidR="00FE0FFF" w:rsidRDefault="00FE0FFF" w:rsidP="00957F2F">
      <w:pPr>
        <w:pStyle w:val="Kop2"/>
        <w:ind w:hanging="283"/>
        <w:rPr>
          <w:rFonts w:eastAsia="Calibri"/>
        </w:rPr>
      </w:pPr>
      <w:bookmarkStart w:id="72" w:name="_Toc155866636"/>
      <w:r>
        <w:t>30% scheme for posted workers to become 27% scheme</w:t>
      </w:r>
    </w:p>
    <w:p w14:paraId="30FACC09" w14:textId="77777777" w:rsidR="00812737" w:rsidRPr="00812737" w:rsidRDefault="00812737" w:rsidP="00812737">
      <w:pPr>
        <w:rPr>
          <w:rFonts w:eastAsia="Calibri"/>
          <w:lang w:eastAsia="en-US"/>
        </w:rPr>
      </w:pPr>
    </w:p>
    <w:p w14:paraId="2A6AF6DE" w14:textId="76635BE0" w:rsidR="00FE0FFF" w:rsidRPr="00FE0FFF" w:rsidRDefault="00FE0FFF" w:rsidP="00FE0FFF">
      <w:pPr>
        <w:rPr>
          <w:rFonts w:ascii="Arial" w:eastAsia="Calibri" w:hAnsi="Arial" w:cs="Arial"/>
          <w:sz w:val="22"/>
          <w:szCs w:val="22"/>
        </w:rPr>
      </w:pPr>
      <w:r>
        <w:rPr>
          <w:rFonts w:ascii="Arial" w:hAnsi="Arial"/>
          <w:sz w:val="22"/>
        </w:rPr>
        <w:t>In addition to the expat scheme for employees recruited from abroad, under certain conditions you can also apply a scheme for certain workers who are posted abroad temporarily. Changes are also being made to this scheme.</w:t>
      </w:r>
    </w:p>
    <w:p w14:paraId="648D7392" w14:textId="77777777" w:rsidR="00FE0FFF" w:rsidRPr="00FE0FFF" w:rsidRDefault="00FE0FFF" w:rsidP="00FE0FFF">
      <w:pPr>
        <w:rPr>
          <w:rFonts w:ascii="Arial" w:eastAsia="Calibri" w:hAnsi="Arial" w:cs="Arial"/>
          <w:sz w:val="22"/>
          <w:szCs w:val="22"/>
          <w:lang w:eastAsia="en-US"/>
        </w:rPr>
      </w:pPr>
    </w:p>
    <w:p w14:paraId="21978879" w14:textId="3C696E4B" w:rsidR="00FE0FFF" w:rsidRPr="00FE0FFF" w:rsidRDefault="00FE0FFF" w:rsidP="00FE0FFF">
      <w:pPr>
        <w:rPr>
          <w:rFonts w:ascii="Arial" w:eastAsia="Calibri" w:hAnsi="Arial" w:cs="Arial"/>
          <w:b/>
          <w:bCs/>
          <w:sz w:val="22"/>
          <w:szCs w:val="22"/>
        </w:rPr>
      </w:pPr>
      <w:r>
        <w:rPr>
          <w:rFonts w:ascii="Arial" w:hAnsi="Arial"/>
          <w:b/>
          <w:sz w:val="22"/>
        </w:rPr>
        <w:t>Extraterritorial costs or 30% scheme</w:t>
      </w:r>
    </w:p>
    <w:p w14:paraId="4D5B5B07" w14:textId="715C55B5" w:rsidR="00FE0FFF" w:rsidRPr="00FE0FFF" w:rsidRDefault="00FE0FFF" w:rsidP="00FE0FFF">
      <w:pPr>
        <w:rPr>
          <w:rFonts w:ascii="Arial" w:eastAsia="Calibri" w:hAnsi="Arial" w:cs="Arial"/>
          <w:sz w:val="22"/>
          <w:szCs w:val="22"/>
        </w:rPr>
      </w:pPr>
      <w:r>
        <w:rPr>
          <w:rFonts w:ascii="Arial" w:hAnsi="Arial"/>
          <w:sz w:val="22"/>
        </w:rPr>
        <w:t>If you temporarily post workers abroad, you can reimburse them for the additional accommodation costs they incur outside the Netherlands. Under certain conditions, the reimbursement of these costs (also known as extraterritorial costs) benefits from a specific exemption. That means you do not have to use up any of your fixed budget under the work-related expenses scheme.</w:t>
      </w:r>
    </w:p>
    <w:p w14:paraId="44C009EA" w14:textId="77777777" w:rsidR="00FE0FFF" w:rsidRPr="00FE0FFF" w:rsidRDefault="00FE0FFF" w:rsidP="00FE0FFF">
      <w:pPr>
        <w:rPr>
          <w:rFonts w:ascii="Arial" w:eastAsia="Calibri" w:hAnsi="Arial" w:cs="Arial"/>
          <w:sz w:val="22"/>
          <w:szCs w:val="22"/>
          <w:lang w:eastAsia="en-US"/>
        </w:rPr>
      </w:pPr>
    </w:p>
    <w:p w14:paraId="0E30E6DD" w14:textId="245DD7AF" w:rsidR="00FE0FFF" w:rsidRPr="00FE0FFF" w:rsidRDefault="00FE0FFF" w:rsidP="00FE0FFF">
      <w:pPr>
        <w:rPr>
          <w:rFonts w:ascii="Arial" w:eastAsia="Calibri" w:hAnsi="Arial" w:cs="Arial"/>
          <w:sz w:val="22"/>
          <w:szCs w:val="22"/>
        </w:rPr>
      </w:pPr>
      <w:r>
        <w:rPr>
          <w:rFonts w:ascii="Arial" w:hAnsi="Arial"/>
          <w:sz w:val="22"/>
        </w:rPr>
        <w:t>For certain workers who are posted abroad temporarily you can also choose to apply the 30% scheme. You can then pay the worker up to 30% of his/her salary, including the allowance, while benefiting from the specific exemption and without the need for evidence.</w:t>
      </w:r>
    </w:p>
    <w:p w14:paraId="05216FD4" w14:textId="77777777" w:rsidR="00F04411" w:rsidRDefault="00F04411" w:rsidP="00F04411">
      <w:pPr>
        <w:rPr>
          <w:rFonts w:ascii="Arial" w:hAnsi="Arial" w:cs="Arial"/>
          <w:color w:val="000000"/>
          <w:sz w:val="22"/>
          <w:szCs w:val="22"/>
        </w:rPr>
      </w:pPr>
    </w:p>
    <w:p w14:paraId="453F1CB0" w14:textId="3322C32D" w:rsidR="00F04411" w:rsidRDefault="00F04411" w:rsidP="00F04411">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r>
        <w:rPr>
          <w:rFonts w:ascii="Arial" w:hAnsi="Arial"/>
          <w:b/>
          <w:sz w:val="22"/>
        </w:rPr>
        <w:t>Please note:</w:t>
      </w:r>
      <w:r>
        <w:rPr>
          <w:rFonts w:ascii="Arial" w:hAnsi="Arial"/>
          <w:sz w:val="22"/>
        </w:rPr>
        <w:br/>
        <w:t>Eligible workers are workers posted to, amongst other places, countries in Africa, Asia, Latin America and some Eastern European countries (including Poland, Romania, Bulgaria and Czechia), as well as workers posted to another country to practise science or provide education.</w:t>
      </w:r>
    </w:p>
    <w:p w14:paraId="2A114924" w14:textId="77777777" w:rsidR="00FE0FFF" w:rsidRPr="00FE0FFF" w:rsidRDefault="00FE0FFF" w:rsidP="00FE0FFF">
      <w:pPr>
        <w:rPr>
          <w:rFonts w:ascii="Arial" w:eastAsia="Calibri" w:hAnsi="Arial" w:cs="Arial"/>
          <w:sz w:val="22"/>
          <w:szCs w:val="22"/>
          <w:lang w:eastAsia="en-US"/>
        </w:rPr>
      </w:pPr>
    </w:p>
    <w:p w14:paraId="742FA15F" w14:textId="77777777" w:rsidR="00FE0FFF" w:rsidRPr="00FE0FFF" w:rsidRDefault="00FE0FFF" w:rsidP="00FE0FFF">
      <w:pPr>
        <w:rPr>
          <w:rFonts w:ascii="Arial" w:eastAsia="Calibri" w:hAnsi="Arial" w:cs="Arial"/>
          <w:b/>
          <w:bCs/>
          <w:sz w:val="22"/>
          <w:szCs w:val="22"/>
        </w:rPr>
      </w:pPr>
      <w:r>
        <w:rPr>
          <w:rFonts w:ascii="Arial" w:hAnsi="Arial"/>
          <w:b/>
          <w:sz w:val="22"/>
        </w:rPr>
        <w:t>Conditions of 30% scheme</w:t>
      </w:r>
    </w:p>
    <w:p w14:paraId="624EBBA9" w14:textId="57222ECD" w:rsidR="00FE0FFF" w:rsidRPr="00FE0FFF" w:rsidRDefault="00FE0FFF" w:rsidP="00FE0FFF">
      <w:pPr>
        <w:rPr>
          <w:rFonts w:ascii="Arial" w:eastAsia="Calibri" w:hAnsi="Arial" w:cs="Arial"/>
          <w:sz w:val="22"/>
          <w:szCs w:val="22"/>
        </w:rPr>
      </w:pPr>
      <w:r>
        <w:rPr>
          <w:rFonts w:ascii="Arial" w:hAnsi="Arial"/>
          <w:sz w:val="22"/>
        </w:rPr>
        <w:t>One of the conditions of this 30% scheme is that the worker is abroad for at least 45 days in a 12-month period. Postings that are shorter than 15 days are not counted in the calculation of these 45 days.</w:t>
      </w:r>
    </w:p>
    <w:p w14:paraId="01822FDE" w14:textId="77777777" w:rsidR="00FE0FFF" w:rsidRPr="00FE0FFF" w:rsidRDefault="00FE0FFF" w:rsidP="00FE0FFF">
      <w:pPr>
        <w:rPr>
          <w:rFonts w:ascii="Arial" w:eastAsia="Calibri" w:hAnsi="Arial" w:cs="Arial"/>
          <w:sz w:val="22"/>
          <w:szCs w:val="22"/>
          <w:lang w:eastAsia="en-US"/>
        </w:rPr>
      </w:pPr>
    </w:p>
    <w:p w14:paraId="3C0A26C3" w14:textId="556A5354" w:rsidR="00F04411" w:rsidRDefault="00F04411" w:rsidP="00F04411">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r>
        <w:rPr>
          <w:rFonts w:ascii="Arial" w:hAnsi="Arial"/>
          <w:b/>
          <w:sz w:val="22"/>
        </w:rPr>
        <w:t>Please note:</w:t>
      </w:r>
      <w:r>
        <w:rPr>
          <w:rFonts w:ascii="Arial" w:hAnsi="Arial"/>
          <w:sz w:val="22"/>
        </w:rPr>
        <w:br/>
        <w:t>If the worker meets the 45-day requirement, postings of at least 10 days are included in the calculation of the number of days to which the 30% scheme can be applied.</w:t>
      </w:r>
    </w:p>
    <w:p w14:paraId="7954C982" w14:textId="77777777" w:rsidR="00FE0FFF" w:rsidRPr="00FE0FFF" w:rsidRDefault="00FE0FFF" w:rsidP="00FE0FFF">
      <w:pPr>
        <w:rPr>
          <w:rFonts w:ascii="Arial" w:eastAsia="Calibri" w:hAnsi="Arial" w:cs="Arial"/>
          <w:sz w:val="22"/>
          <w:szCs w:val="22"/>
          <w:lang w:eastAsia="en-US"/>
        </w:rPr>
      </w:pPr>
    </w:p>
    <w:p w14:paraId="34393B7F" w14:textId="5CC88D18" w:rsidR="00F04411" w:rsidRDefault="00F04411" w:rsidP="00F04411">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r>
        <w:rPr>
          <w:rFonts w:ascii="Arial" w:hAnsi="Arial"/>
          <w:b/>
          <w:sz w:val="22"/>
        </w:rPr>
        <w:t>Please note:</w:t>
      </w:r>
      <w:r>
        <w:rPr>
          <w:rFonts w:ascii="Arial" w:hAnsi="Arial"/>
          <w:sz w:val="22"/>
        </w:rPr>
        <w:br/>
        <w:t>In contrast to the expat scheme for incoming workers, no decision by the Tax and Customs Administration is required to apply the 30% scheme for posted workers.</w:t>
      </w:r>
    </w:p>
    <w:p w14:paraId="7A15C200" w14:textId="77777777" w:rsidR="00FE0FFF" w:rsidRPr="00FE0FFF" w:rsidRDefault="00FE0FFF" w:rsidP="00FE0FFF">
      <w:pPr>
        <w:rPr>
          <w:rFonts w:ascii="Arial" w:eastAsia="Calibri" w:hAnsi="Arial" w:cs="Arial"/>
          <w:sz w:val="22"/>
          <w:szCs w:val="22"/>
          <w:lang w:eastAsia="en-US"/>
        </w:rPr>
      </w:pPr>
    </w:p>
    <w:p w14:paraId="2FC06260" w14:textId="77777777" w:rsidR="00FE0FFF" w:rsidRPr="00FE0FFF" w:rsidRDefault="00FE0FFF" w:rsidP="00FE0FFF">
      <w:pPr>
        <w:rPr>
          <w:rFonts w:ascii="Arial" w:eastAsia="Calibri" w:hAnsi="Arial" w:cs="Arial"/>
          <w:b/>
          <w:bCs/>
          <w:sz w:val="22"/>
          <w:szCs w:val="22"/>
        </w:rPr>
      </w:pPr>
      <w:r>
        <w:rPr>
          <w:rFonts w:ascii="Arial" w:hAnsi="Arial"/>
          <w:b/>
          <w:sz w:val="22"/>
        </w:rPr>
        <w:t>27% from 2027</w:t>
      </w:r>
    </w:p>
    <w:p w14:paraId="028AD7C4" w14:textId="6B0B9AB9" w:rsidR="00FE0FFF" w:rsidRPr="00FE0FFF" w:rsidRDefault="00FE0FFF" w:rsidP="00FE0FFF">
      <w:pPr>
        <w:rPr>
          <w:rFonts w:ascii="Arial" w:eastAsia="Calibri" w:hAnsi="Arial" w:cs="Arial"/>
          <w:sz w:val="22"/>
          <w:szCs w:val="22"/>
        </w:rPr>
      </w:pPr>
      <w:r>
        <w:rPr>
          <w:rFonts w:ascii="Arial" w:hAnsi="Arial"/>
          <w:sz w:val="22"/>
        </w:rPr>
        <w:t>From 2027 the 30% scheme for posted workers will change. You will then only be able to pay posted workers 27% instead of 30% of their salary (including the allowance) free of tax under the specific exemption.</w:t>
      </w:r>
    </w:p>
    <w:p w14:paraId="23843A58" w14:textId="77777777" w:rsidR="00FE0FFF" w:rsidRPr="00FE0FFF" w:rsidRDefault="00FE0FFF" w:rsidP="00FE0FFF">
      <w:pPr>
        <w:rPr>
          <w:rFonts w:ascii="Arial" w:eastAsia="Calibri" w:hAnsi="Arial" w:cs="Arial"/>
          <w:sz w:val="22"/>
          <w:szCs w:val="22"/>
          <w:lang w:eastAsia="en-US"/>
        </w:rPr>
      </w:pPr>
    </w:p>
    <w:p w14:paraId="22BF0808" w14:textId="77777777" w:rsidR="00FE0FFF" w:rsidRPr="00FE0FFF" w:rsidRDefault="00FE0FFF" w:rsidP="00FE0FFF">
      <w:pPr>
        <w:rPr>
          <w:rFonts w:ascii="Arial" w:eastAsia="Calibri" w:hAnsi="Arial" w:cs="Arial"/>
          <w:sz w:val="22"/>
          <w:szCs w:val="22"/>
        </w:rPr>
      </w:pPr>
      <w:r>
        <w:rPr>
          <w:rFonts w:ascii="Arial" w:hAnsi="Arial"/>
          <w:sz w:val="22"/>
        </w:rPr>
        <w:t>There will be no transitional arrangements. Consequently, from 2027 the rate of 27% instead of 30% will also apply to workers who were already posted before 2027.</w:t>
      </w:r>
    </w:p>
    <w:p w14:paraId="15A3DF05" w14:textId="77777777" w:rsidR="00FE0FFF" w:rsidRPr="00FE0FFF" w:rsidRDefault="00FE0FFF" w:rsidP="00FE0FFF">
      <w:pPr>
        <w:rPr>
          <w:rFonts w:ascii="Arial" w:eastAsia="Calibri" w:hAnsi="Arial" w:cs="Arial"/>
          <w:sz w:val="22"/>
          <w:szCs w:val="22"/>
          <w:lang w:eastAsia="en-US"/>
        </w:rPr>
      </w:pPr>
    </w:p>
    <w:p w14:paraId="09D7D3CF" w14:textId="1F98BE10" w:rsidR="004F7F01" w:rsidRPr="004F7F01" w:rsidRDefault="004F7F01" w:rsidP="00957F2F">
      <w:pPr>
        <w:pStyle w:val="Kop2"/>
        <w:ind w:hanging="283"/>
      </w:pPr>
      <w:bookmarkStart w:id="73" w:name="_Toc155866637"/>
      <w:bookmarkStart w:id="74" w:name="_Toc152927328"/>
      <w:bookmarkStart w:id="75" w:name="_Toc106639601"/>
      <w:bookmarkEnd w:id="72"/>
      <w:r>
        <w:rPr>
          <w:sz w:val="22"/>
        </w:rPr>
        <w:t>Joint declaration for transfer of payroll tax withholding obligation</w:t>
      </w:r>
    </w:p>
    <w:p w14:paraId="78A51534" w14:textId="10F95120" w:rsidR="004F7F01" w:rsidRPr="004F7F01" w:rsidRDefault="004F7F01" w:rsidP="004F7F01">
      <w:pPr>
        <w:rPr>
          <w:b/>
          <w:bCs/>
          <w:sz w:val="22"/>
          <w:szCs w:val="22"/>
        </w:rPr>
      </w:pPr>
    </w:p>
    <w:p w14:paraId="47B6C4AB" w14:textId="7A287971" w:rsidR="004F7F01" w:rsidRDefault="004F7F01" w:rsidP="004F7F01">
      <w:pPr>
        <w:rPr>
          <w:rFonts w:ascii="Arial" w:hAnsi="Arial" w:cs="Arial"/>
          <w:sz w:val="22"/>
          <w:szCs w:val="22"/>
        </w:rPr>
      </w:pPr>
      <w:r>
        <w:rPr>
          <w:rFonts w:ascii="Arial" w:hAnsi="Arial"/>
          <w:sz w:val="22"/>
        </w:rPr>
        <w:t>If an employee of a foreign group entity comes to work in the Netherlands, the foreign group entity, as the formal employer, may be liable for deducting payroll tax in the Netherlands. Upon request, this obligation to deduct and pay over payroll tax can be transferred to a Dutch group entity.</w:t>
      </w:r>
    </w:p>
    <w:p w14:paraId="49A3B78D" w14:textId="5F7D5E6A" w:rsidR="004F7F01" w:rsidRPr="004F7F01" w:rsidRDefault="004F7F01" w:rsidP="004F7F01">
      <w:pPr>
        <w:rPr>
          <w:rFonts w:ascii="Arial" w:hAnsi="Arial" w:cs="Arial"/>
          <w:sz w:val="22"/>
          <w:szCs w:val="22"/>
        </w:rPr>
      </w:pPr>
      <w:r>
        <w:rPr>
          <w:rFonts w:ascii="Arial" w:hAnsi="Arial"/>
          <w:sz w:val="22"/>
        </w:rPr>
        <w:lastRenderedPageBreak/>
        <w:t>To take advantage of this transfer scheme, a joint request must be made by the Dutch and foreign group entities. This request must include the name and address details of both the Dutch and foreign group entities, as well as their payroll tax numbers (if the latter has one). It must also state the desired date on which the decision on the transfer scheme should take effect.</w:t>
      </w:r>
    </w:p>
    <w:p w14:paraId="540A8C5D" w14:textId="77777777" w:rsidR="004F7F01" w:rsidRDefault="004F7F01" w:rsidP="004F7F01">
      <w:pPr>
        <w:rPr>
          <w:rFonts w:ascii="Arial" w:hAnsi="Arial" w:cs="Arial"/>
          <w:b/>
          <w:bCs/>
          <w:sz w:val="22"/>
          <w:szCs w:val="22"/>
        </w:rPr>
      </w:pPr>
    </w:p>
    <w:p w14:paraId="7807851F" w14:textId="77777777" w:rsidR="0031547A" w:rsidRDefault="004F7F01" w:rsidP="0031547A">
      <w:pPr>
        <w:shd w:val="clear" w:color="auto" w:fill="D9D9D9" w:themeFill="background1" w:themeFillShade="D9"/>
        <w:rPr>
          <w:rFonts w:ascii="Arial" w:hAnsi="Arial" w:cs="Arial"/>
          <w:b/>
          <w:bCs/>
          <w:sz w:val="22"/>
          <w:szCs w:val="22"/>
        </w:rPr>
      </w:pPr>
      <w:r>
        <w:rPr>
          <w:rFonts w:ascii="Arial" w:hAnsi="Arial"/>
          <w:b/>
          <w:sz w:val="22"/>
        </w:rPr>
        <w:t>Please note:</w:t>
      </w:r>
    </w:p>
    <w:p w14:paraId="28C5777D" w14:textId="290320A1" w:rsidR="004F7F01" w:rsidRPr="004F7F01" w:rsidRDefault="004F7F01" w:rsidP="0031547A">
      <w:pPr>
        <w:shd w:val="clear" w:color="auto" w:fill="D9D9D9" w:themeFill="background1" w:themeFillShade="D9"/>
        <w:rPr>
          <w:rFonts w:ascii="Arial" w:hAnsi="Arial" w:cs="Arial"/>
          <w:sz w:val="22"/>
          <w:szCs w:val="22"/>
        </w:rPr>
      </w:pPr>
      <w:r>
        <w:rPr>
          <w:rFonts w:ascii="Arial" w:hAnsi="Arial"/>
          <w:sz w:val="22"/>
        </w:rPr>
        <w:t>You can request a general decision, but also a decision that applies to one or more specific employees. In the latter case you must also include the name and address details and citizen service number (BSN) of the employee(s) concerned in the request.</w:t>
      </w:r>
    </w:p>
    <w:p w14:paraId="2BF9725B" w14:textId="77777777" w:rsidR="004F7F01" w:rsidRDefault="004F7F01" w:rsidP="004F7F01">
      <w:pPr>
        <w:rPr>
          <w:rFonts w:ascii="Arial" w:hAnsi="Arial" w:cs="Arial"/>
          <w:sz w:val="22"/>
          <w:szCs w:val="22"/>
        </w:rPr>
      </w:pPr>
    </w:p>
    <w:p w14:paraId="3631EB5C" w14:textId="57A801E9" w:rsidR="004F7F01" w:rsidRPr="004F7F01" w:rsidRDefault="004F7F01" w:rsidP="004F7F01">
      <w:pPr>
        <w:rPr>
          <w:rFonts w:ascii="Arial" w:hAnsi="Arial" w:cs="Arial"/>
          <w:sz w:val="22"/>
          <w:szCs w:val="22"/>
        </w:rPr>
      </w:pPr>
      <w:r>
        <w:rPr>
          <w:rFonts w:ascii="Arial" w:hAnsi="Arial"/>
          <w:sz w:val="22"/>
        </w:rPr>
        <w:t>The October 2025 version of the Payroll Taxes Handbook includes the new condition that a jointly signed declaration must be enclosed with the joint request. In this declaration both the Dutch and the foreign group entities must agree to the transfer of the withholding obligation.</w:t>
      </w:r>
    </w:p>
    <w:p w14:paraId="4CA109A8" w14:textId="77777777" w:rsidR="004F7F01" w:rsidRDefault="004F7F01" w:rsidP="004F7F01">
      <w:pPr>
        <w:rPr>
          <w:rFonts w:ascii="Arial" w:hAnsi="Arial" w:cs="Arial"/>
          <w:sz w:val="22"/>
          <w:szCs w:val="22"/>
        </w:rPr>
      </w:pPr>
    </w:p>
    <w:p w14:paraId="341EFDC4" w14:textId="4E090F69" w:rsidR="004F7F01" w:rsidRPr="004F7F01" w:rsidRDefault="004F7F01" w:rsidP="004F7F01">
      <w:pPr>
        <w:rPr>
          <w:rFonts w:ascii="Arial" w:hAnsi="Arial" w:cs="Arial"/>
          <w:sz w:val="22"/>
          <w:szCs w:val="22"/>
        </w:rPr>
      </w:pPr>
      <w:r>
        <w:rPr>
          <w:rFonts w:ascii="Arial" w:hAnsi="Arial"/>
          <w:sz w:val="22"/>
        </w:rPr>
        <w:t>The Dutch group entity must also declare that it will comply with all obligations associated with the transfer scheme in full and without reservation. Lastly, the foreign group entity must declare that it will supply all the information required to determine the salary of the employee(s) concerned that is taxable in the Netherlands.</w:t>
      </w:r>
    </w:p>
    <w:p w14:paraId="0DC4F36F" w14:textId="77777777" w:rsidR="004F7F01" w:rsidRDefault="004F7F01" w:rsidP="004F7F01">
      <w:pPr>
        <w:rPr>
          <w:rFonts w:ascii="Arial" w:hAnsi="Arial" w:cs="Arial"/>
          <w:b/>
          <w:bCs/>
          <w:sz w:val="22"/>
          <w:szCs w:val="22"/>
        </w:rPr>
      </w:pPr>
    </w:p>
    <w:p w14:paraId="43F8BDA5" w14:textId="77777777" w:rsidR="0031547A" w:rsidRDefault="004F7F01" w:rsidP="0031547A">
      <w:pPr>
        <w:shd w:val="clear" w:color="auto" w:fill="D9D9D9" w:themeFill="background1" w:themeFillShade="D9"/>
        <w:rPr>
          <w:rFonts w:ascii="Arial" w:hAnsi="Arial" w:cs="Arial"/>
          <w:b/>
          <w:bCs/>
          <w:sz w:val="22"/>
          <w:szCs w:val="22"/>
        </w:rPr>
      </w:pPr>
      <w:r>
        <w:rPr>
          <w:rFonts w:ascii="Arial" w:hAnsi="Arial"/>
          <w:b/>
          <w:sz w:val="22"/>
        </w:rPr>
        <w:t>Tip:</w:t>
      </w:r>
    </w:p>
    <w:p w14:paraId="02CF8569" w14:textId="78252491" w:rsidR="004F7F01" w:rsidRPr="004F7F01" w:rsidRDefault="004F7F01" w:rsidP="0031547A">
      <w:pPr>
        <w:shd w:val="clear" w:color="auto" w:fill="D9D9D9" w:themeFill="background1" w:themeFillShade="D9"/>
        <w:rPr>
          <w:rFonts w:ascii="Arial" w:hAnsi="Arial" w:cs="Arial"/>
          <w:sz w:val="22"/>
          <w:szCs w:val="22"/>
        </w:rPr>
      </w:pPr>
      <w:r>
        <w:rPr>
          <w:rFonts w:ascii="Arial" w:hAnsi="Arial"/>
          <w:sz w:val="22"/>
        </w:rPr>
        <w:t>It is possible to submit a request for several foreign group entities at the same time.</w:t>
      </w:r>
    </w:p>
    <w:p w14:paraId="1E7BF8E9" w14:textId="77777777" w:rsidR="004F7F01" w:rsidRPr="004F7F01" w:rsidRDefault="004F7F01" w:rsidP="004F7F01"/>
    <w:p w14:paraId="0801AF52" w14:textId="21325A9D" w:rsidR="00D82958" w:rsidRDefault="00AA3073" w:rsidP="00957F2F">
      <w:pPr>
        <w:pStyle w:val="Kop2"/>
        <w:ind w:hanging="283"/>
      </w:pPr>
      <w:r>
        <w:t>Social insurance obligation for cross-border teleworkers</w:t>
      </w:r>
      <w:bookmarkEnd w:id="73"/>
    </w:p>
    <w:p w14:paraId="14CE9EF8" w14:textId="77777777" w:rsidR="00C9418C" w:rsidRPr="00C9418C" w:rsidRDefault="00C9418C" w:rsidP="00C9418C">
      <w:pPr>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eastAsia="Calibri" w:hAnsi="Arial" w:cs="Arial"/>
          <w:sz w:val="22"/>
          <w:szCs w:val="22"/>
          <w:lang w:eastAsia="en-US"/>
        </w:rPr>
      </w:pPr>
    </w:p>
    <w:p w14:paraId="3AA84705" w14:textId="62D7AB65" w:rsidR="002A64D2" w:rsidRDefault="002A64D2" w:rsidP="00C9418C">
      <w:pPr>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eastAsia="Calibri" w:hAnsi="Arial" w:cs="Arial"/>
          <w:sz w:val="22"/>
          <w:szCs w:val="22"/>
        </w:rPr>
      </w:pPr>
      <w:r>
        <w:rPr>
          <w:rFonts w:ascii="Arial" w:hAnsi="Arial"/>
          <w:sz w:val="22"/>
        </w:rPr>
        <w:t>Employees who live in another EU country and work for an employer based in the Netherlands can apply to the Social Insurance Bank (SVB) to be granted exceptional status for social insurance purposes if they are teleworking. Under certain conditions, they are then socially insured in the Netherlands instead of their country of residence.</w:t>
      </w:r>
      <w:bookmarkEnd w:id="74"/>
    </w:p>
    <w:p w14:paraId="754477D3" w14:textId="77777777" w:rsidR="000B0C70" w:rsidRDefault="000B0C70" w:rsidP="00C9418C">
      <w:pPr>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eastAsia="Calibri" w:hAnsi="Arial" w:cs="Arial"/>
          <w:sz w:val="22"/>
          <w:szCs w:val="22"/>
          <w:lang w:eastAsia="en-US"/>
        </w:rPr>
      </w:pPr>
    </w:p>
    <w:p w14:paraId="64B96913" w14:textId="77777777" w:rsidR="002A64D2" w:rsidRPr="005652F9" w:rsidRDefault="002A64D2" w:rsidP="005652F9">
      <w:pPr>
        <w:rPr>
          <w:rFonts w:ascii="Arial" w:hAnsi="Arial" w:cs="Arial"/>
          <w:b/>
          <w:bCs/>
          <w:sz w:val="22"/>
          <w:szCs w:val="22"/>
        </w:rPr>
      </w:pPr>
      <w:bookmarkStart w:id="76" w:name="_Toc152927329"/>
      <w:r>
        <w:rPr>
          <w:rFonts w:ascii="Arial" w:hAnsi="Arial"/>
          <w:b/>
          <w:sz w:val="22"/>
        </w:rPr>
        <w:t>Social insurance in country of employment</w:t>
      </w:r>
      <w:bookmarkEnd w:id="76"/>
    </w:p>
    <w:p w14:paraId="3800EB13" w14:textId="112F5E63" w:rsidR="002A64D2" w:rsidRPr="002A64D2" w:rsidRDefault="002A64D2" w:rsidP="002A64D2">
      <w:pPr>
        <w:rPr>
          <w:rFonts w:ascii="Arial" w:hAnsi="Arial" w:cs="Arial"/>
          <w:sz w:val="22"/>
          <w:szCs w:val="22"/>
        </w:rPr>
      </w:pPr>
      <w:r>
        <w:rPr>
          <w:rFonts w:ascii="Arial" w:hAnsi="Arial"/>
          <w:sz w:val="22"/>
        </w:rPr>
        <w:t>For social insurance purposes the general rule is that an employee is covered by social insurance in his/her country of employment. In principle, less than 25% of the employee’s working hours may be worked in his/her country of residence. If this limit is exceeded, the employee is socially insured in his/her country of residence.</w:t>
      </w:r>
    </w:p>
    <w:p w14:paraId="61B2B918" w14:textId="77777777" w:rsidR="002A64D2" w:rsidRPr="002A64D2" w:rsidRDefault="002A64D2" w:rsidP="002A64D2">
      <w:pPr>
        <w:rPr>
          <w:rFonts w:ascii="Arial" w:hAnsi="Arial" w:cs="Arial"/>
          <w:sz w:val="22"/>
          <w:szCs w:val="22"/>
        </w:rPr>
      </w:pPr>
    </w:p>
    <w:p w14:paraId="16470455" w14:textId="2F67DBA5" w:rsidR="002A64D2" w:rsidRPr="005652F9" w:rsidRDefault="00FE0FFF" w:rsidP="005652F9">
      <w:pPr>
        <w:rPr>
          <w:rFonts w:ascii="Arial" w:hAnsi="Arial" w:cs="Arial"/>
          <w:b/>
          <w:bCs/>
          <w:sz w:val="22"/>
          <w:szCs w:val="22"/>
        </w:rPr>
      </w:pPr>
      <w:r>
        <w:rPr>
          <w:rFonts w:ascii="Arial" w:hAnsi="Arial"/>
          <w:b/>
          <w:sz w:val="22"/>
        </w:rPr>
        <w:t>Framework Agreement</w:t>
      </w:r>
    </w:p>
    <w:p w14:paraId="04AAF005" w14:textId="513C6371" w:rsidR="002A64D2" w:rsidRPr="002A64D2" w:rsidRDefault="00DD4196" w:rsidP="002A64D2">
      <w:pPr>
        <w:rPr>
          <w:rFonts w:ascii="Arial" w:hAnsi="Arial" w:cs="Arial"/>
          <w:sz w:val="22"/>
          <w:szCs w:val="22"/>
        </w:rPr>
      </w:pPr>
      <w:r>
        <w:rPr>
          <w:rFonts w:ascii="Arial" w:hAnsi="Arial"/>
          <w:sz w:val="22"/>
        </w:rPr>
        <w:t xml:space="preserve">For cross-border workers who telework for between 25% and 50% of their working hours, EU countries have made agreements and set them out in a </w:t>
      </w:r>
      <w:hyperlink r:id="rId40" w:tooltip="Framework Agreement" w:history="1">
        <w:r>
          <w:rPr>
            <w:rStyle w:val="Hyperlink"/>
            <w:rFonts w:ascii="Arial" w:hAnsi="Arial"/>
            <w:sz w:val="22"/>
          </w:rPr>
          <w:t>Framework Agreement</w:t>
        </w:r>
      </w:hyperlink>
      <w:r>
        <w:rPr>
          <w:rFonts w:ascii="Arial" w:hAnsi="Arial"/>
          <w:sz w:val="22"/>
        </w:rPr>
        <w:t>. A teleworker is therefore able to remain insured in his/her country of employment in exceptional cases. Certain conditions apply to qualify for this exception. One of them is that teleworkers must spend less than 50% of their working hours working in their country of residence, or, in other words, must spend at least 50% of their working hours working in the Netherlands.</w:t>
      </w:r>
    </w:p>
    <w:p w14:paraId="4F23F66C" w14:textId="77777777" w:rsidR="00994FAE" w:rsidRPr="002A64D2" w:rsidRDefault="00994FAE" w:rsidP="002A64D2">
      <w:pPr>
        <w:rPr>
          <w:rFonts w:ascii="Arial" w:hAnsi="Arial" w:cs="Arial"/>
          <w:sz w:val="22"/>
          <w:szCs w:val="22"/>
        </w:rPr>
      </w:pPr>
    </w:p>
    <w:p w14:paraId="2CC6A5C4" w14:textId="43A5A74A" w:rsidR="002A64D2" w:rsidRPr="005652F9" w:rsidRDefault="00B503E7" w:rsidP="005652F9">
      <w:pPr>
        <w:rPr>
          <w:rFonts w:ascii="Arial" w:hAnsi="Arial" w:cs="Arial"/>
          <w:b/>
          <w:bCs/>
          <w:sz w:val="22"/>
          <w:szCs w:val="22"/>
        </w:rPr>
      </w:pPr>
      <w:bookmarkStart w:id="77" w:name="_Toc152927332"/>
      <w:r>
        <w:rPr>
          <w:rFonts w:ascii="Arial" w:hAnsi="Arial"/>
          <w:b/>
          <w:sz w:val="22"/>
        </w:rPr>
        <w:t>Applications</w:t>
      </w:r>
      <w:bookmarkEnd w:id="77"/>
    </w:p>
    <w:p w14:paraId="5BD221A6" w14:textId="6271AAF2" w:rsidR="002A64D2" w:rsidRDefault="002A64D2" w:rsidP="002A64D2">
      <w:pPr>
        <w:rPr>
          <w:rFonts w:ascii="Arial" w:hAnsi="Arial" w:cs="Arial"/>
          <w:sz w:val="22"/>
          <w:szCs w:val="22"/>
        </w:rPr>
      </w:pPr>
      <w:r>
        <w:rPr>
          <w:rFonts w:ascii="Arial" w:hAnsi="Arial"/>
          <w:sz w:val="22"/>
        </w:rPr>
        <w:t xml:space="preserve">Cross-border workers who telework and want to benefit from this exceptional status can request a digital application form from the </w:t>
      </w:r>
      <w:hyperlink r:id="rId41" w:tooltip="SVB" w:history="1">
        <w:r>
          <w:rPr>
            <w:rStyle w:val="Hyperlink"/>
            <w:rFonts w:ascii="Arial" w:hAnsi="Arial"/>
            <w:sz w:val="22"/>
          </w:rPr>
          <w:t>SVB</w:t>
        </w:r>
      </w:hyperlink>
      <w:r>
        <w:rPr>
          <w:rFonts w:ascii="Arial" w:hAnsi="Arial"/>
          <w:sz w:val="22"/>
        </w:rPr>
        <w:t>. They can also do so via their employer. This status can be granted with retroactive effect of up to three months.</w:t>
      </w:r>
    </w:p>
    <w:p w14:paraId="1645A5D4" w14:textId="3066009A" w:rsidR="005C3D39" w:rsidRDefault="005C3D39" w:rsidP="00F04411">
      <w:pPr>
        <w:rPr>
          <w:rFonts w:ascii="Arial" w:hAnsi="Arial" w:cs="Arial"/>
          <w:sz w:val="22"/>
          <w:szCs w:val="22"/>
        </w:rPr>
      </w:pPr>
    </w:p>
    <w:p w14:paraId="72551CFE" w14:textId="77777777" w:rsidR="007C4EBB" w:rsidRPr="00F04411" w:rsidRDefault="007C4EBB" w:rsidP="00F04411">
      <w:pPr>
        <w:rPr>
          <w:rFonts w:ascii="Arial" w:hAnsi="Arial" w:cs="Arial"/>
          <w:sz w:val="22"/>
          <w:szCs w:val="22"/>
        </w:rPr>
      </w:pPr>
    </w:p>
    <w:p w14:paraId="0427AC26" w14:textId="4ABD5214" w:rsidR="007320DD" w:rsidRDefault="007320DD" w:rsidP="00957F2F">
      <w:pPr>
        <w:pStyle w:val="Kop2"/>
        <w:ind w:hanging="283"/>
      </w:pPr>
      <w:bookmarkStart w:id="78" w:name="_Toc152927333"/>
      <w:bookmarkStart w:id="79" w:name="_Toc155866638"/>
      <w:r>
        <w:lastRenderedPageBreak/>
        <w:t>Agreements on cross-border homeworking</w:t>
      </w:r>
    </w:p>
    <w:p w14:paraId="0717455F" w14:textId="77777777" w:rsidR="002B36EB" w:rsidRDefault="002B36EB" w:rsidP="007320DD">
      <w:pPr>
        <w:rPr>
          <w:rFonts w:ascii="Arial" w:hAnsi="Arial" w:cs="Arial"/>
          <w:sz w:val="22"/>
          <w:szCs w:val="22"/>
        </w:rPr>
      </w:pPr>
    </w:p>
    <w:p w14:paraId="1E219217" w14:textId="47F43DA6" w:rsidR="007320DD" w:rsidRPr="006B1EEA" w:rsidRDefault="004B488D" w:rsidP="007320DD">
      <w:pPr>
        <w:rPr>
          <w:rFonts w:ascii="Arial" w:hAnsi="Arial" w:cs="Arial"/>
          <w:b/>
          <w:bCs/>
          <w:sz w:val="22"/>
          <w:szCs w:val="22"/>
        </w:rPr>
      </w:pPr>
      <w:r>
        <w:rPr>
          <w:rFonts w:ascii="Arial" w:hAnsi="Arial"/>
          <w:b/>
          <w:sz w:val="22"/>
        </w:rPr>
        <w:t>Netherlands-Belgium</w:t>
      </w:r>
    </w:p>
    <w:p w14:paraId="24F20688" w14:textId="460A5D14" w:rsidR="004B488D" w:rsidRPr="004B488D" w:rsidRDefault="004B488D" w:rsidP="004B488D">
      <w:pPr>
        <w:rPr>
          <w:rFonts w:ascii="Arial" w:hAnsi="Arial" w:cs="Arial"/>
          <w:sz w:val="22"/>
          <w:szCs w:val="22"/>
        </w:rPr>
      </w:pPr>
      <w:r>
        <w:rPr>
          <w:rFonts w:ascii="Arial" w:hAnsi="Arial"/>
          <w:sz w:val="22"/>
        </w:rPr>
        <w:t>Since 8 December 2023 agreements have been in place with Belgium on the taxation resulting from cross-border homeworking. These agreements relate to the determination of a permanent establishment.</w:t>
      </w:r>
    </w:p>
    <w:p w14:paraId="13808D09" w14:textId="77777777" w:rsidR="004B488D" w:rsidRPr="004B488D" w:rsidRDefault="004B488D" w:rsidP="004B488D">
      <w:pPr>
        <w:rPr>
          <w:rFonts w:ascii="Arial" w:hAnsi="Arial" w:cs="Arial"/>
          <w:sz w:val="22"/>
          <w:szCs w:val="22"/>
        </w:rPr>
      </w:pPr>
    </w:p>
    <w:p w14:paraId="1E04CDDE" w14:textId="4F4554F7" w:rsidR="004B488D" w:rsidRPr="000D6846" w:rsidRDefault="004B488D" w:rsidP="004B488D">
      <w:pPr>
        <w:rPr>
          <w:rFonts w:ascii="Arial" w:hAnsi="Arial" w:cs="Arial"/>
          <w:sz w:val="22"/>
          <w:szCs w:val="22"/>
        </w:rPr>
      </w:pPr>
      <w:r>
        <w:rPr>
          <w:rFonts w:ascii="Arial" w:hAnsi="Arial"/>
          <w:sz w:val="22"/>
          <w:shd w:val="clear" w:color="auto" w:fill="FFFFFF"/>
        </w:rPr>
        <w:t>A permanent establishment may apply if a company has access to a space abroad and this is permanently equipped with sufficient facilities – such as personnel and equipment – to allow it to function as an independent business.</w:t>
      </w:r>
    </w:p>
    <w:p w14:paraId="6CC09EF9" w14:textId="77777777" w:rsidR="004B488D" w:rsidRPr="000D6846" w:rsidRDefault="004B488D" w:rsidP="004B488D">
      <w:pPr>
        <w:rPr>
          <w:rFonts w:ascii="Arial" w:hAnsi="Arial" w:cs="Arial"/>
          <w:sz w:val="22"/>
          <w:szCs w:val="22"/>
        </w:rPr>
      </w:pPr>
    </w:p>
    <w:p w14:paraId="7E02FBD8" w14:textId="6AB6F2A6" w:rsidR="004B488D" w:rsidRPr="000D6846" w:rsidRDefault="004B488D" w:rsidP="004B488D">
      <w:pPr>
        <w:rPr>
          <w:rFonts w:ascii="Arial" w:hAnsi="Arial" w:cs="Arial"/>
          <w:sz w:val="22"/>
          <w:szCs w:val="22"/>
        </w:rPr>
      </w:pPr>
      <w:r>
        <w:rPr>
          <w:rFonts w:ascii="Arial" w:hAnsi="Arial"/>
          <w:sz w:val="22"/>
          <w:shd w:val="clear" w:color="auto" w:fill="FFFFFF"/>
        </w:rPr>
        <w:t>Homeworking by a Belgian employee could lead to the creation of a permanent establishment in Belgium for his/her Dutch employer. In the same way, a permanent establishment could be created in the Netherlands for a Belgian employer as a consequence of a Dutch employee working from home. This is not always desirable. For example, if there is a permanent establishment, a corporation tax liability arises in the employee’s country of residence in relation to the profits generated from this permanent establishment. If a permanent establishment exists, an employer is also required to deduct payroll tax in the homeworking employee’s country of residence.</w:t>
      </w:r>
    </w:p>
    <w:p w14:paraId="1121BFC4" w14:textId="77777777" w:rsidR="004B488D" w:rsidRDefault="004B488D" w:rsidP="004B488D">
      <w:pPr>
        <w:rPr>
          <w:rFonts w:ascii="Arial" w:hAnsi="Arial" w:cs="Arial"/>
          <w:sz w:val="22"/>
          <w:szCs w:val="22"/>
        </w:rPr>
      </w:pPr>
    </w:p>
    <w:p w14:paraId="5D8617D8" w14:textId="3AC396D0" w:rsidR="004B488D" w:rsidRPr="004B488D" w:rsidRDefault="004B488D" w:rsidP="004B488D">
      <w:pPr>
        <w:rPr>
          <w:rFonts w:ascii="Arial" w:hAnsi="Arial" w:cs="Arial"/>
          <w:sz w:val="22"/>
          <w:szCs w:val="22"/>
        </w:rPr>
      </w:pPr>
      <w:r>
        <w:rPr>
          <w:rFonts w:ascii="Arial" w:hAnsi="Arial"/>
          <w:sz w:val="22"/>
        </w:rPr>
        <w:t>An agreement between the Netherlands and Belgium published on 8 December 2023 therefore sets out various factors that can be used to assess whether or not a permanent establishment applies.</w:t>
      </w:r>
    </w:p>
    <w:p w14:paraId="39C261A0" w14:textId="77777777" w:rsidR="005E2B26" w:rsidRDefault="005E2B26" w:rsidP="004B488D">
      <w:pPr>
        <w:rPr>
          <w:rFonts w:ascii="Arial" w:hAnsi="Arial" w:cs="Arial"/>
          <w:sz w:val="22"/>
          <w:szCs w:val="22"/>
        </w:rPr>
      </w:pPr>
    </w:p>
    <w:p w14:paraId="4AF30303" w14:textId="173079EE" w:rsidR="004B488D" w:rsidRPr="004B488D" w:rsidRDefault="004B488D" w:rsidP="004B488D">
      <w:pPr>
        <w:rPr>
          <w:rFonts w:ascii="Arial" w:hAnsi="Arial" w:cs="Arial"/>
          <w:sz w:val="22"/>
          <w:szCs w:val="22"/>
        </w:rPr>
      </w:pPr>
      <w:r>
        <w:rPr>
          <w:rFonts w:ascii="Arial" w:hAnsi="Arial"/>
          <w:sz w:val="22"/>
        </w:rPr>
        <w:t>In addition to these different factors, the following practical guidelines are also provided:</w:t>
      </w:r>
    </w:p>
    <w:p w14:paraId="67C76979" w14:textId="77777777" w:rsidR="004B488D" w:rsidRPr="004B488D" w:rsidRDefault="004B488D" w:rsidP="002F233C">
      <w:pPr>
        <w:numPr>
          <w:ilvl w:val="0"/>
          <w:numId w:val="13"/>
        </w:numPr>
        <w:tabs>
          <w:tab w:val="num" w:pos="720"/>
        </w:tabs>
        <w:rPr>
          <w:rFonts w:ascii="Arial" w:hAnsi="Arial" w:cs="Arial"/>
          <w:sz w:val="22"/>
          <w:szCs w:val="22"/>
        </w:rPr>
      </w:pPr>
      <w:r>
        <w:rPr>
          <w:rFonts w:ascii="Arial" w:hAnsi="Arial"/>
          <w:sz w:val="22"/>
        </w:rPr>
        <w:t>A permanent establishment does not apply if the employee works from home for 50% or less of his/her working hours over the course of a year.</w:t>
      </w:r>
    </w:p>
    <w:p w14:paraId="6826298F" w14:textId="4D26CDBA" w:rsidR="004B488D" w:rsidRPr="004B488D" w:rsidRDefault="004B488D" w:rsidP="002F233C">
      <w:pPr>
        <w:numPr>
          <w:ilvl w:val="0"/>
          <w:numId w:val="13"/>
        </w:numPr>
        <w:tabs>
          <w:tab w:val="num" w:pos="720"/>
        </w:tabs>
        <w:rPr>
          <w:rFonts w:ascii="Arial" w:hAnsi="Arial" w:cs="Arial"/>
          <w:sz w:val="22"/>
          <w:szCs w:val="22"/>
        </w:rPr>
      </w:pPr>
      <w:r>
        <w:rPr>
          <w:rFonts w:ascii="Arial" w:hAnsi="Arial"/>
          <w:sz w:val="22"/>
        </w:rPr>
        <w:t>A permanent establishment may apply if the employee works from home for more than 50% of his/her working hours over the course of a year. Whether a permanent establishment is deemed to exist in this case depends on the factors set out in the agreement.</w:t>
      </w:r>
    </w:p>
    <w:p w14:paraId="07F1BF50" w14:textId="77777777" w:rsidR="004B488D" w:rsidRDefault="004B488D" w:rsidP="004B488D">
      <w:pPr>
        <w:rPr>
          <w:rFonts w:ascii="Arial" w:hAnsi="Arial" w:cs="Arial"/>
          <w:sz w:val="22"/>
          <w:szCs w:val="22"/>
        </w:rPr>
      </w:pPr>
    </w:p>
    <w:p w14:paraId="5118F6AF" w14:textId="42ACAB66" w:rsidR="007320DD" w:rsidRDefault="00CE591A" w:rsidP="004B488D">
      <w:pPr>
        <w:rPr>
          <w:rFonts w:ascii="Arial" w:hAnsi="Arial" w:cs="Arial"/>
          <w:sz w:val="22"/>
          <w:szCs w:val="22"/>
        </w:rPr>
      </w:pPr>
      <w:r>
        <w:rPr>
          <w:rFonts w:ascii="Arial" w:hAnsi="Arial"/>
          <w:sz w:val="22"/>
        </w:rPr>
        <w:t>This means that the agreements relating to social security and taxation have been brought into line for employees who live in Belgium and work in the Netherlands, and vice versa.</w:t>
      </w:r>
    </w:p>
    <w:p w14:paraId="605A4484" w14:textId="77777777" w:rsidR="004B488D" w:rsidRDefault="004B488D" w:rsidP="004B488D">
      <w:pPr>
        <w:rPr>
          <w:rFonts w:ascii="Arial" w:hAnsi="Arial" w:cs="Arial"/>
          <w:sz w:val="22"/>
          <w:szCs w:val="22"/>
        </w:rPr>
      </w:pPr>
    </w:p>
    <w:p w14:paraId="1E1787F0" w14:textId="48E8DA14" w:rsidR="002F05A3" w:rsidRDefault="006B1EEA" w:rsidP="00892146">
      <w:pPr>
        <w:rPr>
          <w:rFonts w:ascii="Arial" w:hAnsi="Arial" w:cs="Arial"/>
          <w:sz w:val="22"/>
          <w:szCs w:val="22"/>
        </w:rPr>
      </w:pPr>
      <w:r>
        <w:rPr>
          <w:rFonts w:ascii="Arial" w:hAnsi="Arial"/>
          <w:b/>
          <w:sz w:val="22"/>
        </w:rPr>
        <w:t>Netherlands-Germany</w:t>
      </w:r>
      <w:r>
        <w:rPr>
          <w:rFonts w:ascii="Arial" w:hAnsi="Arial"/>
          <w:b/>
          <w:sz w:val="22"/>
        </w:rPr>
        <w:br/>
      </w:r>
      <w:r>
        <w:rPr>
          <w:rFonts w:ascii="Arial" w:hAnsi="Arial"/>
          <w:sz w:val="22"/>
        </w:rPr>
        <w:t>The Netherlands and Germany agreed on amendments to their tax treaty on 14 April 2025. These amendments took effect on 1 January 2026. As of that date, the tax treaty includes the provision that a German resident who is working for an employer based in the Netherlands can work from home for a maximum of 34 days in a calendar year with the Netherlands retaining full taxing rights. Conversely, Germany will retain full taxing rights in a situation where a Dutch resident working for an employer based in Germany works from home for no more than 34 days per calendar year.</w:t>
      </w:r>
    </w:p>
    <w:p w14:paraId="033DDF15" w14:textId="77777777" w:rsidR="00A3699D" w:rsidRDefault="00A3699D" w:rsidP="00892146">
      <w:pPr>
        <w:rPr>
          <w:rFonts w:ascii="Arial" w:hAnsi="Arial" w:cs="Arial"/>
          <w:sz w:val="22"/>
          <w:szCs w:val="22"/>
        </w:rPr>
      </w:pPr>
    </w:p>
    <w:p w14:paraId="66ECA132" w14:textId="77777777" w:rsidR="005E2B26" w:rsidRPr="009C1129" w:rsidRDefault="00A3699D" w:rsidP="009C1129">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b/>
          <w:bCs/>
          <w:sz w:val="22"/>
          <w:szCs w:val="22"/>
        </w:rPr>
      </w:pPr>
      <w:r>
        <w:rPr>
          <w:rFonts w:ascii="Arial" w:hAnsi="Arial"/>
          <w:b/>
          <w:sz w:val="22"/>
        </w:rPr>
        <w:t>Please note:</w:t>
      </w:r>
    </w:p>
    <w:p w14:paraId="469EDF81" w14:textId="280315D2" w:rsidR="00A3699D" w:rsidRPr="009C1129" w:rsidRDefault="00A3699D" w:rsidP="009C1129">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r>
        <w:rPr>
          <w:rFonts w:ascii="Arial" w:hAnsi="Arial"/>
          <w:sz w:val="22"/>
        </w:rPr>
        <w:t>The Netherlands and Germany have agreed that a homeworking day will be deemed to apply if an employee spends more than 30 minutes per day working from home.</w:t>
      </w:r>
    </w:p>
    <w:p w14:paraId="3A6D1341" w14:textId="77777777" w:rsidR="00A3699D" w:rsidRDefault="00A3699D" w:rsidP="00892146">
      <w:pPr>
        <w:rPr>
          <w:rFonts w:ascii="Arial" w:hAnsi="Arial" w:cs="Arial"/>
          <w:sz w:val="22"/>
          <w:szCs w:val="22"/>
        </w:rPr>
      </w:pPr>
    </w:p>
    <w:p w14:paraId="212B4C39" w14:textId="77777777" w:rsidR="005E2B26" w:rsidRPr="009C1129" w:rsidRDefault="00A3699D" w:rsidP="009C1129">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b/>
          <w:bCs/>
          <w:sz w:val="22"/>
          <w:szCs w:val="22"/>
        </w:rPr>
      </w:pPr>
      <w:r>
        <w:rPr>
          <w:rFonts w:ascii="Arial" w:hAnsi="Arial"/>
          <w:b/>
          <w:sz w:val="22"/>
        </w:rPr>
        <w:t>Please note:</w:t>
      </w:r>
    </w:p>
    <w:p w14:paraId="4D9C7698" w14:textId="74B46EDD" w:rsidR="00A3699D" w:rsidRPr="009C1129" w:rsidRDefault="00A3699D" w:rsidP="009C1129">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r>
        <w:rPr>
          <w:rFonts w:ascii="Arial" w:hAnsi="Arial"/>
          <w:sz w:val="22"/>
        </w:rPr>
        <w:t xml:space="preserve">If the German resident or Dutch resident spends more than 34 days per calendar year working from home, it is not possible to take advantage of the change. On 14 April 2025, </w:t>
      </w:r>
      <w:r>
        <w:rPr>
          <w:rFonts w:ascii="Arial" w:hAnsi="Arial"/>
          <w:sz w:val="22"/>
        </w:rPr>
        <w:lastRenderedPageBreak/>
        <w:t>however, the Netherlands and Germany signed a declaration of intent with a view to achieving a more comprehensive solution for teleworking cross-border workers.</w:t>
      </w:r>
    </w:p>
    <w:p w14:paraId="10B018E1" w14:textId="77777777" w:rsidR="007C4EBB" w:rsidRDefault="007C4EBB" w:rsidP="006B1EEA">
      <w:pPr>
        <w:rPr>
          <w:rFonts w:ascii="Arial" w:hAnsi="Arial"/>
          <w:b/>
          <w:sz w:val="22"/>
        </w:rPr>
      </w:pPr>
    </w:p>
    <w:p w14:paraId="550D47CC" w14:textId="4646441E" w:rsidR="00FE0FFF" w:rsidRDefault="00FE0FFF" w:rsidP="006B1EEA">
      <w:pPr>
        <w:rPr>
          <w:rFonts w:ascii="Arial" w:hAnsi="Arial" w:cs="Arial"/>
          <w:b/>
          <w:bCs/>
          <w:sz w:val="22"/>
          <w:szCs w:val="22"/>
        </w:rPr>
      </w:pPr>
      <w:r>
        <w:rPr>
          <w:rFonts w:ascii="Arial" w:hAnsi="Arial"/>
          <w:b/>
          <w:sz w:val="22"/>
        </w:rPr>
        <w:t>Future homeworking threshold</w:t>
      </w:r>
    </w:p>
    <w:p w14:paraId="39F552AD" w14:textId="545BAFC2" w:rsidR="00FE0FFF" w:rsidRPr="00FE0FFF" w:rsidRDefault="00400251" w:rsidP="006B1EEA">
      <w:pPr>
        <w:rPr>
          <w:rFonts w:ascii="Arial" w:hAnsi="Arial" w:cs="Arial"/>
          <w:sz w:val="22"/>
          <w:szCs w:val="22"/>
        </w:rPr>
      </w:pPr>
      <w:r>
        <w:rPr>
          <w:rFonts w:ascii="Arial" w:hAnsi="Arial"/>
          <w:sz w:val="22"/>
        </w:rPr>
        <w:t>It is possible that, when future changes are made to tax treaties, a so-called homeworking threshold will be introduced. This should prevent situations in which two countries can each levy tax on a portion of a person’s income from employment. In anticipation of these possible changes to tax treaties, provisions have already been included in the Income Tax Act that will allow tax to be levied in the Netherlands if the Netherlands has been designated as the country of employment.</w:t>
      </w:r>
    </w:p>
    <w:p w14:paraId="7B07D91E" w14:textId="77777777" w:rsidR="004B488D" w:rsidRPr="006B1EEA" w:rsidRDefault="004B488D" w:rsidP="006B1EEA">
      <w:pPr>
        <w:rPr>
          <w:rFonts w:ascii="Arial" w:hAnsi="Arial" w:cs="Arial"/>
          <w:sz w:val="22"/>
          <w:szCs w:val="22"/>
        </w:rPr>
      </w:pPr>
    </w:p>
    <w:p w14:paraId="053D41C0" w14:textId="182CA7A2" w:rsidR="005A7662" w:rsidRPr="00BF5B00" w:rsidRDefault="005A7662" w:rsidP="00957F2F">
      <w:pPr>
        <w:pStyle w:val="Kop2"/>
        <w:ind w:hanging="283"/>
      </w:pPr>
      <w:r>
        <w:t>Ukrainian employees on the payroll</w:t>
      </w:r>
      <w:bookmarkEnd w:id="78"/>
      <w:bookmarkEnd w:id="79"/>
    </w:p>
    <w:p w14:paraId="1A1008BE" w14:textId="77777777" w:rsidR="005A7662" w:rsidRPr="00BF5B00" w:rsidRDefault="005A7662" w:rsidP="005A7662">
      <w:pPr>
        <w:pStyle w:val="Geenafstand1"/>
        <w:rPr>
          <w:rFonts w:ascii="Arial" w:hAnsi="Arial" w:cs="Arial"/>
        </w:rPr>
      </w:pPr>
    </w:p>
    <w:p w14:paraId="742C1805" w14:textId="7F1716DA" w:rsidR="005A7662" w:rsidRPr="00BF5B00" w:rsidRDefault="002315F7" w:rsidP="005A7662">
      <w:pPr>
        <w:pStyle w:val="Geenafstand1"/>
        <w:rPr>
          <w:rFonts w:ascii="Arial" w:hAnsi="Arial" w:cs="Arial"/>
        </w:rPr>
      </w:pPr>
      <w:r>
        <w:rPr>
          <w:rFonts w:ascii="Arial" w:hAnsi="Arial"/>
        </w:rPr>
        <w:t xml:space="preserve">Many employers have taken on Ukrainian employees. Below we set out the most important aspects to be </w:t>
      </w:r>
      <w:proofErr w:type="gramStart"/>
      <w:r>
        <w:rPr>
          <w:rFonts w:ascii="Arial" w:hAnsi="Arial"/>
        </w:rPr>
        <w:t>taken into account</w:t>
      </w:r>
      <w:proofErr w:type="gramEnd"/>
      <w:r>
        <w:rPr>
          <w:rFonts w:ascii="Arial" w:hAnsi="Arial"/>
        </w:rPr>
        <w:t xml:space="preserve"> for this target group.</w:t>
      </w:r>
    </w:p>
    <w:p w14:paraId="5AA25E18" w14:textId="77777777" w:rsidR="005A7662" w:rsidRPr="00BF5B00" w:rsidRDefault="005A7662" w:rsidP="005A7662">
      <w:pPr>
        <w:pStyle w:val="Geenafstand1"/>
        <w:rPr>
          <w:rFonts w:ascii="Arial" w:hAnsi="Arial" w:cs="Arial"/>
        </w:rPr>
      </w:pPr>
    </w:p>
    <w:p w14:paraId="22009650" w14:textId="77777777" w:rsidR="005A7662" w:rsidRPr="00BF5B00" w:rsidRDefault="005A7662" w:rsidP="005A7662">
      <w:pPr>
        <w:pStyle w:val="Geenafstand1"/>
        <w:rPr>
          <w:rFonts w:ascii="Arial" w:hAnsi="Arial" w:cs="Arial"/>
          <w:b/>
          <w:bCs/>
        </w:rPr>
      </w:pPr>
      <w:r>
        <w:rPr>
          <w:rFonts w:ascii="Arial" w:hAnsi="Arial"/>
          <w:b/>
        </w:rPr>
        <w:t>General</w:t>
      </w:r>
    </w:p>
    <w:p w14:paraId="2567AA83" w14:textId="0F05187D" w:rsidR="008F56D7" w:rsidRPr="008F56D7" w:rsidRDefault="005A7662" w:rsidP="008F56D7">
      <w:pPr>
        <w:pStyle w:val="Geenafstand1"/>
        <w:rPr>
          <w:rFonts w:ascii="Arial" w:hAnsi="Arial" w:cs="Arial"/>
        </w:rPr>
      </w:pPr>
      <w:r>
        <w:rPr>
          <w:rFonts w:ascii="Arial" w:hAnsi="Arial"/>
        </w:rPr>
        <w:t xml:space="preserve">When recruiting foreign workers, employers need to comply with certain laws and regulations. Under the Temporary Protection Directive, Ukrainian refugees are able to stay in the European Union until at least 4 March 2027 without having to apply for asylum. The </w:t>
      </w:r>
      <w:hyperlink r:id="rId42" w:history="1">
        <w:r>
          <w:rPr>
            <w:rStyle w:val="Hyperlink"/>
            <w:rFonts w:ascii="Arial" w:hAnsi="Arial"/>
          </w:rPr>
          <w:t>website</w:t>
        </w:r>
      </w:hyperlink>
      <w:r>
        <w:rPr>
          <w:rFonts w:ascii="Arial" w:hAnsi="Arial"/>
        </w:rPr>
        <w:t xml:space="preserve"> of the Immigration and Naturalisation Service (IND) indicates precisely to whom the Temporary Protection Directive applies.</w:t>
      </w:r>
    </w:p>
    <w:p w14:paraId="064B8850" w14:textId="77777777" w:rsidR="005A7662" w:rsidRPr="00BF5B00" w:rsidRDefault="005A7662" w:rsidP="005A7662">
      <w:pPr>
        <w:pStyle w:val="Geenafstand1"/>
        <w:rPr>
          <w:rFonts w:ascii="Arial" w:hAnsi="Arial" w:cs="Arial"/>
        </w:rPr>
      </w:pPr>
    </w:p>
    <w:p w14:paraId="43B29994" w14:textId="2BABA8A3" w:rsidR="005A7662" w:rsidRPr="00BF5B00" w:rsidRDefault="005A7662" w:rsidP="005A7662">
      <w:pPr>
        <w:pStyle w:val="Geenafstand1"/>
        <w:rPr>
          <w:rFonts w:ascii="Arial" w:hAnsi="Arial" w:cs="Arial"/>
        </w:rPr>
      </w:pPr>
      <w:r>
        <w:rPr>
          <w:rFonts w:ascii="Arial" w:hAnsi="Arial"/>
        </w:rPr>
        <w:t>If a Ukrainian is registered with the municipality, the IND will provide proof of residence. This takes the form of a sticker in the person’s passport, a separate piece of paper or a separate pass (O-document). If there is no end date on this proof of residence, it is valid until at least 4 March 2027. If the sticker or pass has a validity date that runs until 4 March 2023, 4 March 2024 or 4 March 2025, the Ukrainian national will have received an extension letter from the IND, which means that the sticker or pass will remain valid until 4 March 2026. In January or February 2026 he/she will receive another extension letter confirming that the sticker or pass will continue to be valid up to 4 March 2027.</w:t>
      </w:r>
    </w:p>
    <w:p w14:paraId="35BA8E72" w14:textId="77777777" w:rsidR="005A7662" w:rsidRPr="00BF5B00" w:rsidRDefault="005A7662" w:rsidP="005A7662">
      <w:pPr>
        <w:pStyle w:val="Geenafstand1"/>
        <w:rPr>
          <w:rFonts w:ascii="Arial" w:hAnsi="Arial" w:cs="Arial"/>
        </w:rPr>
      </w:pPr>
    </w:p>
    <w:p w14:paraId="225F3970" w14:textId="77777777" w:rsidR="006F55C0" w:rsidRDefault="005A7662" w:rsidP="005A7662">
      <w:pPr>
        <w:pStyle w:val="Geenafstand1"/>
        <w:rPr>
          <w:rFonts w:ascii="Arial" w:hAnsi="Arial" w:cs="Arial"/>
        </w:rPr>
      </w:pPr>
      <w:r>
        <w:rPr>
          <w:rFonts w:ascii="Arial" w:hAnsi="Arial"/>
        </w:rPr>
        <w:t>Valid proof of residence, allowing the Ukrainian national to demonstrate that he/she has permission to be in the Netherlands, is required to be able to work.</w:t>
      </w:r>
    </w:p>
    <w:p w14:paraId="5804C860" w14:textId="77777777" w:rsidR="00812737" w:rsidRPr="00BF5B00" w:rsidRDefault="00812737" w:rsidP="005A7662">
      <w:pPr>
        <w:pStyle w:val="Geenafstand1"/>
        <w:rPr>
          <w:rFonts w:ascii="Arial" w:hAnsi="Arial" w:cs="Arial"/>
        </w:rPr>
      </w:pPr>
    </w:p>
    <w:p w14:paraId="15952C4F" w14:textId="77777777" w:rsidR="005A7662" w:rsidRPr="00BF5B00" w:rsidRDefault="005A7662" w:rsidP="005A7662">
      <w:pPr>
        <w:pStyle w:val="Geenafstand1"/>
        <w:rPr>
          <w:rFonts w:ascii="Arial" w:hAnsi="Arial" w:cs="Arial"/>
          <w:b/>
          <w:bCs/>
        </w:rPr>
      </w:pPr>
      <w:r>
        <w:rPr>
          <w:rFonts w:ascii="Arial" w:hAnsi="Arial"/>
          <w:b/>
        </w:rPr>
        <w:t>Work permit</w:t>
      </w:r>
    </w:p>
    <w:p w14:paraId="1122C72C" w14:textId="296C8F68" w:rsidR="00AA7EF5" w:rsidRPr="00BF5B00" w:rsidRDefault="00AF731A" w:rsidP="005A7662">
      <w:pPr>
        <w:pStyle w:val="Geenafstand1"/>
        <w:rPr>
          <w:rFonts w:ascii="Arial" w:hAnsi="Arial" w:cs="Arial"/>
        </w:rPr>
      </w:pPr>
      <w:r>
        <w:rPr>
          <w:rFonts w:ascii="Arial" w:hAnsi="Arial"/>
        </w:rPr>
        <w:t>As an employer, you do not need to apply for a work permit for Ukrainians. Certain conditions apply, however:</w:t>
      </w:r>
    </w:p>
    <w:p w14:paraId="2642A75F" w14:textId="15BB4587" w:rsidR="004064FB" w:rsidRDefault="00AF731A" w:rsidP="00816581">
      <w:pPr>
        <w:pStyle w:val="Geenafstand1"/>
        <w:numPr>
          <w:ilvl w:val="0"/>
          <w:numId w:val="3"/>
        </w:numPr>
        <w:rPr>
          <w:rFonts w:ascii="Arial" w:hAnsi="Arial" w:cs="Arial"/>
        </w:rPr>
      </w:pPr>
      <w:r>
        <w:rPr>
          <w:rFonts w:ascii="Arial" w:hAnsi="Arial"/>
        </w:rPr>
        <w:t>The employee has an employment contract.</w:t>
      </w:r>
    </w:p>
    <w:p w14:paraId="4D5D7C68" w14:textId="0B493604" w:rsidR="005D2C66" w:rsidRDefault="005D2C66" w:rsidP="00816581">
      <w:pPr>
        <w:pStyle w:val="Geenafstand1"/>
        <w:numPr>
          <w:ilvl w:val="0"/>
          <w:numId w:val="3"/>
        </w:numPr>
        <w:rPr>
          <w:rFonts w:ascii="Arial" w:hAnsi="Arial" w:cs="Arial"/>
        </w:rPr>
      </w:pPr>
      <w:r>
        <w:rPr>
          <w:rFonts w:ascii="Arial" w:hAnsi="Arial"/>
        </w:rPr>
        <w:t>The employee has a citizen service number (BSN).</w:t>
      </w:r>
    </w:p>
    <w:p w14:paraId="2423EB61" w14:textId="3C28E98F" w:rsidR="005D2C66" w:rsidRDefault="005D2C66" w:rsidP="00816581">
      <w:pPr>
        <w:pStyle w:val="Geenafstand1"/>
        <w:numPr>
          <w:ilvl w:val="0"/>
          <w:numId w:val="3"/>
        </w:numPr>
        <w:rPr>
          <w:rFonts w:ascii="Arial" w:hAnsi="Arial" w:cs="Arial"/>
        </w:rPr>
      </w:pPr>
      <w:r>
        <w:rPr>
          <w:rFonts w:ascii="Arial" w:hAnsi="Arial"/>
        </w:rPr>
        <w:t xml:space="preserve">The employee has a valid passport, identity card or travel document. The employer must check the authenticity and validity of this document at </w:t>
      </w:r>
      <w:hyperlink r:id="rId43" w:history="1">
        <w:r>
          <w:rPr>
            <w:rStyle w:val="Hyperlink"/>
            <w:rFonts w:ascii="Arial" w:hAnsi="Arial"/>
          </w:rPr>
          <w:t>edisontd.nl</w:t>
        </w:r>
      </w:hyperlink>
      <w:r>
        <w:rPr>
          <w:rFonts w:ascii="Arial" w:hAnsi="Arial"/>
        </w:rPr>
        <w:t>.</w:t>
      </w:r>
    </w:p>
    <w:p w14:paraId="7EFB5F2E" w14:textId="63B9FD6A" w:rsidR="005A7662" w:rsidRDefault="004064FB" w:rsidP="00816581">
      <w:pPr>
        <w:pStyle w:val="Geenafstand1"/>
        <w:numPr>
          <w:ilvl w:val="0"/>
          <w:numId w:val="3"/>
        </w:numPr>
        <w:rPr>
          <w:rFonts w:ascii="Arial" w:hAnsi="Arial" w:cs="Arial"/>
        </w:rPr>
      </w:pPr>
      <w:r>
        <w:rPr>
          <w:rFonts w:ascii="Arial" w:hAnsi="Arial"/>
        </w:rPr>
        <w:t xml:space="preserve">The employee has Ukrainian nationality and is able to present the sticker or pass (O-document), together with the extension letter. </w:t>
      </w:r>
    </w:p>
    <w:p w14:paraId="0E8030A8" w14:textId="600C01F3" w:rsidR="005A7662" w:rsidRPr="00816581" w:rsidRDefault="005A7662" w:rsidP="00816581">
      <w:pPr>
        <w:pStyle w:val="Geenafstand1"/>
        <w:numPr>
          <w:ilvl w:val="0"/>
          <w:numId w:val="3"/>
        </w:numPr>
        <w:rPr>
          <w:rFonts w:ascii="Arial" w:hAnsi="Arial" w:cs="Arial"/>
        </w:rPr>
      </w:pPr>
      <w:r>
        <w:rPr>
          <w:rFonts w:ascii="Arial" w:hAnsi="Arial"/>
        </w:rPr>
        <w:t xml:space="preserve">Employers must register the new employee with </w:t>
      </w:r>
      <w:hyperlink r:id="rId44" w:history="1">
        <w:r>
          <w:rPr>
            <w:rStyle w:val="Hyperlink"/>
            <w:rFonts w:ascii="Arial" w:hAnsi="Arial"/>
          </w:rPr>
          <w:t>the UWV</w:t>
        </w:r>
      </w:hyperlink>
      <w:r>
        <w:t xml:space="preserve"> </w:t>
      </w:r>
      <w:r>
        <w:rPr>
          <w:rFonts w:ascii="Arial" w:hAnsi="Arial"/>
        </w:rPr>
        <w:t>online no later than two working days before his/her first day of work, using the employee hiring notification form (</w:t>
      </w:r>
      <w:r>
        <w:rPr>
          <w:rFonts w:ascii="Arial" w:hAnsi="Arial"/>
          <w:i/>
          <w:iCs/>
        </w:rPr>
        <w:t>‘Melden tewerkstelling werknemer’</w:t>
      </w:r>
      <w:r>
        <w:rPr>
          <w:rFonts w:ascii="Arial" w:hAnsi="Arial"/>
        </w:rPr>
        <w:t>). When registering an employee you must provide information on his/her activities, working hours and place of work.</w:t>
      </w:r>
    </w:p>
    <w:p w14:paraId="6510AB5F" w14:textId="77777777" w:rsidR="00816581" w:rsidRDefault="00816581" w:rsidP="00BF20D1">
      <w:pPr>
        <w:rPr>
          <w:rFonts w:ascii="Arial" w:hAnsi="Arial" w:cs="Arial"/>
          <w:sz w:val="22"/>
          <w:szCs w:val="22"/>
        </w:rPr>
      </w:pPr>
    </w:p>
    <w:p w14:paraId="6408188E" w14:textId="77777777" w:rsidR="007C4EBB" w:rsidRDefault="007C4EBB" w:rsidP="00BF20D1">
      <w:pPr>
        <w:rPr>
          <w:rFonts w:ascii="Arial" w:hAnsi="Arial" w:cs="Arial"/>
          <w:sz w:val="22"/>
          <w:szCs w:val="22"/>
        </w:rPr>
      </w:pPr>
    </w:p>
    <w:p w14:paraId="27331222" w14:textId="77777777" w:rsidR="007C4EBB" w:rsidRDefault="007C4EBB" w:rsidP="00BF20D1">
      <w:pPr>
        <w:rPr>
          <w:rFonts w:ascii="Arial" w:hAnsi="Arial" w:cs="Arial"/>
          <w:sz w:val="22"/>
          <w:szCs w:val="22"/>
        </w:rPr>
      </w:pPr>
    </w:p>
    <w:p w14:paraId="2CF44894" w14:textId="77777777" w:rsidR="005E2B26" w:rsidRPr="009C1129" w:rsidRDefault="005D2C66" w:rsidP="009C1129">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b/>
          <w:bCs/>
          <w:sz w:val="22"/>
          <w:szCs w:val="22"/>
        </w:rPr>
      </w:pPr>
      <w:r>
        <w:rPr>
          <w:rFonts w:ascii="Arial" w:hAnsi="Arial"/>
          <w:b/>
          <w:sz w:val="22"/>
        </w:rPr>
        <w:lastRenderedPageBreak/>
        <w:t>Please note:</w:t>
      </w:r>
    </w:p>
    <w:p w14:paraId="72AC7A5E" w14:textId="6F88AFF8" w:rsidR="005D2C66" w:rsidRDefault="005D2C66" w:rsidP="009C1129">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r>
        <w:rPr>
          <w:rFonts w:ascii="Arial" w:hAnsi="Arial"/>
          <w:sz w:val="22"/>
        </w:rPr>
        <w:t xml:space="preserve">If the period for which you hire a Ukrainian employee is extended or shortened, and/or if he/she takes on a different role, you must inform the UWV of this change online using the </w:t>
      </w:r>
      <w:r>
        <w:rPr>
          <w:rFonts w:ascii="Arial" w:hAnsi="Arial"/>
          <w:i/>
          <w:iCs/>
          <w:sz w:val="22"/>
        </w:rPr>
        <w:t>‘Melden tewerkstelling werknemer’</w:t>
      </w:r>
      <w:r>
        <w:rPr>
          <w:rFonts w:ascii="Arial" w:hAnsi="Arial"/>
          <w:sz w:val="22"/>
        </w:rPr>
        <w:t xml:space="preserve"> notification form.</w:t>
      </w:r>
    </w:p>
    <w:p w14:paraId="33CDECDA" w14:textId="77777777" w:rsidR="005D2C66" w:rsidRDefault="005D2C66" w:rsidP="00BF20D1">
      <w:pPr>
        <w:rPr>
          <w:rFonts w:ascii="Arial" w:hAnsi="Arial" w:cs="Arial"/>
          <w:sz w:val="22"/>
          <w:szCs w:val="22"/>
        </w:rPr>
      </w:pPr>
    </w:p>
    <w:p w14:paraId="402FEF98" w14:textId="27F6E160" w:rsidR="00BF20D1" w:rsidRPr="00754442" w:rsidRDefault="00BF20D1" w:rsidP="00BF20D1">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r>
        <w:rPr>
          <w:rFonts w:ascii="Arial" w:hAnsi="Arial"/>
          <w:b/>
          <w:sz w:val="22"/>
        </w:rPr>
        <w:t>Please note:</w:t>
      </w:r>
      <w:r>
        <w:rPr>
          <w:rFonts w:ascii="Arial" w:hAnsi="Arial"/>
          <w:sz w:val="22"/>
        </w:rPr>
        <w:br/>
        <w:t>Failure to register or register on time constitutes a breach of the Foreign Nationals (Employment) Act.</w:t>
      </w:r>
    </w:p>
    <w:p w14:paraId="076A3770" w14:textId="77777777" w:rsidR="00BF20D1" w:rsidRDefault="00BF20D1" w:rsidP="005A7662">
      <w:pPr>
        <w:pStyle w:val="Geenafstand1"/>
        <w:rPr>
          <w:rFonts w:ascii="Arial" w:hAnsi="Arial" w:cs="Arial"/>
        </w:rPr>
      </w:pPr>
    </w:p>
    <w:p w14:paraId="16F86965" w14:textId="2E5F2F2C" w:rsidR="00DF56B2" w:rsidRDefault="009C4666" w:rsidP="005A7662">
      <w:pPr>
        <w:pStyle w:val="Geenafstand1"/>
        <w:rPr>
          <w:rFonts w:ascii="Arial" w:hAnsi="Arial" w:cs="Arial"/>
        </w:rPr>
      </w:pPr>
      <w:r>
        <w:rPr>
          <w:rFonts w:ascii="Arial" w:hAnsi="Arial"/>
        </w:rPr>
        <w:t xml:space="preserve">For non-Ukrainian nationals who were residing in Ukraine with a temporary residence permit, the temporary protection ended on 4 March 2024. In anticipation of a ruling by the Court of Justice of the EU and the Council of State, their entitlement to temporary protection was extended, but this ended on 4 September 2025. More information about the consequences of this can be found on the </w:t>
      </w:r>
      <w:hyperlink r:id="rId45" w:history="1">
        <w:r>
          <w:rPr>
            <w:rStyle w:val="Hyperlink"/>
            <w:rFonts w:ascii="Arial" w:hAnsi="Arial"/>
          </w:rPr>
          <w:t>website of the IND</w:t>
        </w:r>
      </w:hyperlink>
      <w:r>
        <w:rPr>
          <w:rFonts w:ascii="Arial" w:hAnsi="Arial"/>
        </w:rPr>
        <w:t xml:space="preserve"> (Immigration and Naturalisation Service).</w:t>
      </w:r>
    </w:p>
    <w:p w14:paraId="3CC2FA4F" w14:textId="77777777" w:rsidR="00BF20D1" w:rsidRDefault="00BF20D1" w:rsidP="00BF20D1">
      <w:pPr>
        <w:rPr>
          <w:rFonts w:ascii="Arial" w:hAnsi="Arial" w:cs="Arial"/>
          <w:sz w:val="22"/>
          <w:szCs w:val="22"/>
        </w:rPr>
      </w:pPr>
    </w:p>
    <w:p w14:paraId="79350080" w14:textId="320B1015" w:rsidR="00426F52" w:rsidRPr="00754442" w:rsidRDefault="00BF20D1" w:rsidP="00BF20D1">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r>
        <w:rPr>
          <w:rFonts w:ascii="Arial" w:hAnsi="Arial"/>
          <w:b/>
          <w:sz w:val="22"/>
        </w:rPr>
        <w:t>Please note:</w:t>
      </w:r>
      <w:r>
        <w:rPr>
          <w:rFonts w:ascii="Arial" w:hAnsi="Arial"/>
          <w:sz w:val="22"/>
        </w:rPr>
        <w:br/>
        <w:t xml:space="preserve">Has the employee already been residing in the Netherlands for at least six months and do you have the full address where your employee is living in the Netherlands? If so, for payroll tax you can assume that this address is the place of residence for tax purposes and that the Netherlands is the country of residence for tax purposes. You can apply the payroll tax table for a Dutch resident. The situation may be different when it comes to the Ukrainian’s income tax return, as the place of residence for tax purposes has to be determined and this can differ from the address where he/she is living. </w:t>
      </w:r>
    </w:p>
    <w:p w14:paraId="549641AC" w14:textId="77777777" w:rsidR="000C5C8D" w:rsidRDefault="000C5C8D" w:rsidP="007D4664">
      <w:pPr>
        <w:pStyle w:val="Geenafstand1"/>
        <w:rPr>
          <w:rFonts w:ascii="Arial" w:hAnsi="Arial" w:cs="Arial"/>
          <w:b/>
          <w:bCs/>
        </w:rPr>
      </w:pPr>
    </w:p>
    <w:p w14:paraId="4A3C2550" w14:textId="5EA10E0C" w:rsidR="007D4664" w:rsidRDefault="000C5C8D" w:rsidP="007D4664">
      <w:pPr>
        <w:pStyle w:val="Geenafstand1"/>
        <w:rPr>
          <w:rFonts w:ascii="Arial" w:hAnsi="Arial" w:cs="Arial"/>
          <w:b/>
          <w:bCs/>
        </w:rPr>
      </w:pPr>
      <w:r>
        <w:rPr>
          <w:rFonts w:ascii="Arial" w:hAnsi="Arial"/>
          <w:b/>
        </w:rPr>
        <w:t>Expat scheme?</w:t>
      </w:r>
    </w:p>
    <w:p w14:paraId="45CF349C" w14:textId="0641CD79" w:rsidR="007D4664" w:rsidRPr="007D4664" w:rsidRDefault="007D4664" w:rsidP="00594924">
      <w:pPr>
        <w:pStyle w:val="Geenafstand1"/>
        <w:rPr>
          <w:rFonts w:ascii="Arial" w:hAnsi="Arial" w:cs="Arial"/>
        </w:rPr>
      </w:pPr>
      <w:r>
        <w:rPr>
          <w:rFonts w:ascii="Arial" w:hAnsi="Arial"/>
        </w:rPr>
        <w:t>If you recruit a Ukrainian from outside the Netherlands, you may be entitled to apply the expat scheme. Various court judgments have been published on applying the expat scheme in the case of Ukrainian employees. Whether the expat scheme can be applied depends on the specific facts and circumstances; the question of whether or not the Ukrainian was already living or working in the Netherlands at the time the employment contract was entered into is important here.</w:t>
      </w:r>
    </w:p>
    <w:p w14:paraId="13BFBDE8" w14:textId="77777777" w:rsidR="00892146" w:rsidRPr="00E05DBA" w:rsidRDefault="00892146" w:rsidP="005A7662">
      <w:pPr>
        <w:pStyle w:val="Geenafstand1"/>
        <w:rPr>
          <w:rFonts w:ascii="Arial" w:hAnsi="Arial" w:cs="Arial"/>
        </w:rPr>
      </w:pPr>
    </w:p>
    <w:bookmarkEnd w:id="75"/>
    <w:p w14:paraId="358A9665" w14:textId="77FE101E" w:rsidR="002B36EB" w:rsidRPr="00A35FB8" w:rsidRDefault="00AF0F83" w:rsidP="00957F2F">
      <w:pPr>
        <w:pStyle w:val="Kop2"/>
        <w:ind w:hanging="283"/>
      </w:pPr>
      <w:r>
        <w:t>Work permit for asylum seekers</w:t>
      </w:r>
    </w:p>
    <w:p w14:paraId="20B8663A" w14:textId="77777777" w:rsidR="002B36EB" w:rsidRPr="00A44093" w:rsidRDefault="002B36EB" w:rsidP="002B36EB">
      <w:pPr>
        <w:rPr>
          <w:rFonts w:ascii="Arial" w:hAnsi="Arial" w:cs="Arial"/>
          <w:sz w:val="22"/>
          <w:szCs w:val="22"/>
        </w:rPr>
      </w:pPr>
    </w:p>
    <w:p w14:paraId="5D368820" w14:textId="0C6BCA86" w:rsidR="002B36EB" w:rsidRDefault="00AF0F83" w:rsidP="002B36EB">
      <w:pPr>
        <w:rPr>
          <w:rFonts w:ascii="Arial" w:hAnsi="Arial" w:cs="Arial"/>
          <w:sz w:val="22"/>
          <w:szCs w:val="22"/>
        </w:rPr>
      </w:pPr>
      <w:r>
        <w:rPr>
          <w:rFonts w:ascii="Arial" w:hAnsi="Arial"/>
          <w:sz w:val="22"/>
        </w:rPr>
        <w:t>An asylum seeker for whom you have received a work permit (TWV) is allowed to work for you. There is no limit on the number of weeks per year that the asylum seeker may work. However, asylum seekers can only start work if the processing of their asylum application has been in progress for at least six months.</w:t>
      </w:r>
      <w:r>
        <w:t xml:space="preserve"> </w:t>
      </w:r>
    </w:p>
    <w:p w14:paraId="6581F28E" w14:textId="77777777" w:rsidR="002B4833" w:rsidRDefault="002B4833" w:rsidP="002B36EB">
      <w:pPr>
        <w:rPr>
          <w:rFonts w:ascii="Arial" w:hAnsi="Arial" w:cs="Arial"/>
          <w:sz w:val="22"/>
          <w:szCs w:val="22"/>
        </w:rPr>
      </w:pPr>
    </w:p>
    <w:p w14:paraId="1D6308D7" w14:textId="70FAF7CA" w:rsidR="005F7748" w:rsidRDefault="002B4833" w:rsidP="002B4833">
      <w:pPr>
        <w:rPr>
          <w:rFonts w:ascii="Arial" w:hAnsi="Arial" w:cs="Arial"/>
          <w:sz w:val="22"/>
          <w:szCs w:val="22"/>
        </w:rPr>
      </w:pPr>
      <w:r>
        <w:rPr>
          <w:rFonts w:ascii="Arial" w:hAnsi="Arial"/>
          <w:sz w:val="22"/>
        </w:rPr>
        <w:t>The rules on asylum seekers’ entitlement to work are set to change. At present, asylum seekers who are going through the asylum process are allowed to work after six months, but soon (from 12 June 2026) they will be able to do so after only three months following the start of their asylum procedure. This will only apply to asylum seekers who have a good chance of being allowed to remain in the Netherlands.</w:t>
      </w:r>
    </w:p>
    <w:p w14:paraId="295C97B8" w14:textId="77777777" w:rsidR="005F7748" w:rsidRDefault="005F7748" w:rsidP="002B4833">
      <w:pPr>
        <w:rPr>
          <w:rFonts w:ascii="Arial" w:hAnsi="Arial" w:cs="Arial"/>
          <w:sz w:val="22"/>
          <w:szCs w:val="22"/>
        </w:rPr>
      </w:pPr>
    </w:p>
    <w:p w14:paraId="1382A8FD" w14:textId="415D6E2D" w:rsidR="002B4833" w:rsidRPr="002B4833" w:rsidRDefault="002B4833" w:rsidP="002B4833">
      <w:pPr>
        <w:rPr>
          <w:rFonts w:ascii="Arial" w:hAnsi="Arial" w:cs="Arial"/>
          <w:sz w:val="22"/>
          <w:szCs w:val="22"/>
        </w:rPr>
      </w:pPr>
      <w:r>
        <w:rPr>
          <w:rFonts w:ascii="Arial" w:hAnsi="Arial"/>
          <w:sz w:val="22"/>
        </w:rPr>
        <w:t>The changes to these rules have been prompted by the EU Pact on Migration and Asylum, which will enter into force on 12 June 2026. From that point on, there will be a common European asylum system.</w:t>
      </w:r>
    </w:p>
    <w:p w14:paraId="630AE5A4" w14:textId="77777777" w:rsidR="002B4833" w:rsidRDefault="002B4833" w:rsidP="002B4833">
      <w:pPr>
        <w:rPr>
          <w:rFonts w:ascii="Arial" w:hAnsi="Arial" w:cs="Arial"/>
          <w:sz w:val="22"/>
          <w:szCs w:val="22"/>
        </w:rPr>
      </w:pPr>
      <w:r>
        <w:rPr>
          <w:rFonts w:ascii="Arial" w:hAnsi="Arial"/>
          <w:sz w:val="22"/>
        </w:rPr>
        <w:t xml:space="preserve">The Pact consists of Regulations and a Directive that are designed to reduce the influx of asylum seekers into the Netherlands and the EU. </w:t>
      </w:r>
    </w:p>
    <w:p w14:paraId="75CA7463" w14:textId="77777777" w:rsidR="002B4833" w:rsidRDefault="002B4833" w:rsidP="002B4833">
      <w:pPr>
        <w:rPr>
          <w:rFonts w:ascii="Arial" w:hAnsi="Arial" w:cs="Arial"/>
          <w:sz w:val="22"/>
          <w:szCs w:val="22"/>
        </w:rPr>
      </w:pPr>
    </w:p>
    <w:p w14:paraId="1332C819" w14:textId="35BE76DB" w:rsidR="002B4833" w:rsidRDefault="002B4833" w:rsidP="002B4833">
      <w:pPr>
        <w:rPr>
          <w:rFonts w:ascii="Arial" w:hAnsi="Arial" w:cs="Arial"/>
          <w:sz w:val="22"/>
          <w:szCs w:val="22"/>
        </w:rPr>
      </w:pPr>
      <w:r>
        <w:rPr>
          <w:rFonts w:ascii="Arial" w:hAnsi="Arial"/>
          <w:sz w:val="22"/>
        </w:rPr>
        <w:lastRenderedPageBreak/>
        <w:t>At the same time, the so-called 24-week requirement will be officially removed from the rules. Asylum seekers were previously only allowed to work for 24 weeks in every 52-week period. Following a court judgment in November 2023, in which it was ruled that the ‘24-week requirement’ was no longer applicable, the UWV also stopped applying it.</w:t>
      </w:r>
    </w:p>
    <w:p w14:paraId="21EFF0A4" w14:textId="77777777" w:rsidR="00AF0F83" w:rsidRDefault="00AF0F83" w:rsidP="002B36EB">
      <w:pPr>
        <w:rPr>
          <w:rFonts w:ascii="Arial" w:hAnsi="Arial" w:cs="Arial"/>
          <w:sz w:val="22"/>
          <w:szCs w:val="22"/>
        </w:rPr>
      </w:pPr>
    </w:p>
    <w:p w14:paraId="5C566E99" w14:textId="648DB50F" w:rsidR="002B4833" w:rsidRDefault="002B4833" w:rsidP="002B36EB">
      <w:pPr>
        <w:rPr>
          <w:rFonts w:ascii="Arial" w:hAnsi="Arial" w:cs="Arial"/>
          <w:sz w:val="22"/>
          <w:szCs w:val="22"/>
        </w:rPr>
      </w:pPr>
      <w:r>
        <w:rPr>
          <w:rFonts w:ascii="Arial" w:hAnsi="Arial"/>
          <w:sz w:val="22"/>
        </w:rPr>
        <w:t>To allow the rules outlined above to be introduced, changes have to be made to the Decree implementing the Foreign Nationals (Employment) Act 2022 (</w:t>
      </w:r>
      <w:r>
        <w:rPr>
          <w:rFonts w:ascii="Arial" w:hAnsi="Arial"/>
          <w:i/>
          <w:iCs/>
          <w:sz w:val="22"/>
        </w:rPr>
        <w:t>Besluit uitvoering Wet arbeid vreemdelingen 2022</w:t>
      </w:r>
      <w:r>
        <w:rPr>
          <w:rFonts w:ascii="Arial" w:hAnsi="Arial"/>
          <w:sz w:val="22"/>
        </w:rPr>
        <w:t>) and the Regulation implementing the Foreign Nationals (Employment) Act 2022 (</w:t>
      </w:r>
      <w:r>
        <w:rPr>
          <w:rFonts w:ascii="Arial" w:hAnsi="Arial"/>
          <w:i/>
          <w:iCs/>
          <w:sz w:val="22"/>
        </w:rPr>
        <w:t>Regeling uitvoering Wet arbeid vreemdelingen 2022</w:t>
      </w:r>
      <w:r>
        <w:rPr>
          <w:rFonts w:ascii="Arial" w:hAnsi="Arial"/>
          <w:sz w:val="22"/>
        </w:rPr>
        <w:t>). An online consultation on these proposed changes was launched on 3 November 2025 and ran until 30 November 2025.</w:t>
      </w:r>
    </w:p>
    <w:p w14:paraId="220FDEF4" w14:textId="77777777" w:rsidR="002B4833" w:rsidRDefault="002B4833" w:rsidP="002B36EB">
      <w:pPr>
        <w:rPr>
          <w:rFonts w:ascii="Arial" w:hAnsi="Arial" w:cs="Arial"/>
          <w:sz w:val="22"/>
          <w:szCs w:val="22"/>
        </w:rPr>
      </w:pPr>
    </w:p>
    <w:p w14:paraId="5A1BC13B" w14:textId="2A37265C" w:rsidR="00AF0F83" w:rsidRPr="00A44093" w:rsidRDefault="002B3249" w:rsidP="002B3249">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r>
        <w:rPr>
          <w:rFonts w:ascii="Arial" w:hAnsi="Arial"/>
          <w:b/>
          <w:sz w:val="22"/>
        </w:rPr>
        <w:t>Please note:</w:t>
      </w:r>
      <w:r>
        <w:rPr>
          <w:rFonts w:ascii="Arial" w:hAnsi="Arial"/>
          <w:sz w:val="22"/>
        </w:rPr>
        <w:br/>
        <w:t>You do not need to apply for a work permit for status holders (asylum seekers with a residence permit). The same applies to asylum seekers who will be performing voluntary work. However, in this case the employer has to apply for a declaration from the UWV confirming that the voluntary work meets certain conditions.</w:t>
      </w:r>
    </w:p>
    <w:p w14:paraId="1011114A" w14:textId="77777777" w:rsidR="002B36EB" w:rsidRPr="00A44093" w:rsidRDefault="002B36EB" w:rsidP="002B36EB">
      <w:pPr>
        <w:rPr>
          <w:rFonts w:ascii="Arial" w:hAnsi="Arial" w:cs="Arial"/>
          <w:sz w:val="22"/>
          <w:szCs w:val="22"/>
        </w:rPr>
      </w:pPr>
    </w:p>
    <w:p w14:paraId="79D0F94E" w14:textId="3A495FB0" w:rsidR="002B36EB" w:rsidRDefault="002B36EB" w:rsidP="002B36EB">
      <w:pPr>
        <w:rPr>
          <w:rFonts w:ascii="Arial" w:hAnsi="Arial" w:cs="Arial"/>
          <w:sz w:val="22"/>
          <w:szCs w:val="22"/>
        </w:rPr>
      </w:pPr>
      <w:r>
        <w:rPr>
          <w:rFonts w:ascii="Arial" w:hAnsi="Arial"/>
          <w:sz w:val="22"/>
        </w:rPr>
        <w:t xml:space="preserve">The work permit of an asylum seeker is valid for the duration of the Foreign National Identity Document (W-document). The permit application should be submitted to the </w:t>
      </w:r>
      <w:hyperlink r:id="rId46" w:history="1">
        <w:r>
          <w:rPr>
            <w:rStyle w:val="Hyperlink"/>
            <w:rFonts w:ascii="Arial" w:hAnsi="Arial"/>
            <w:sz w:val="22"/>
          </w:rPr>
          <w:t>UWV</w:t>
        </w:r>
      </w:hyperlink>
      <w:r>
        <w:rPr>
          <w:rFonts w:ascii="Arial" w:hAnsi="Arial"/>
          <w:sz w:val="22"/>
        </w:rPr>
        <w:t>.</w:t>
      </w:r>
    </w:p>
    <w:p w14:paraId="0D4A2468" w14:textId="77777777" w:rsidR="002B36EB" w:rsidRPr="00A44093" w:rsidRDefault="002B36EB" w:rsidP="002B36EB">
      <w:pPr>
        <w:rPr>
          <w:rFonts w:ascii="Arial" w:hAnsi="Arial" w:cs="Arial"/>
          <w:sz w:val="22"/>
          <w:szCs w:val="22"/>
        </w:rPr>
      </w:pPr>
    </w:p>
    <w:p w14:paraId="706350D1" w14:textId="65A680BA" w:rsidR="002B36EB" w:rsidRDefault="002B36EB" w:rsidP="002B36EB">
      <w:pPr>
        <w:rPr>
          <w:rFonts w:ascii="Arial" w:hAnsi="Arial" w:cs="Arial"/>
          <w:sz w:val="22"/>
          <w:szCs w:val="22"/>
        </w:rPr>
      </w:pPr>
      <w:r>
        <w:rPr>
          <w:rFonts w:ascii="Arial" w:hAnsi="Arial"/>
          <w:sz w:val="22"/>
        </w:rPr>
        <w:t>If you have any questions about work permits or foreign employees, the National Labour Migration Advice Centre (</w:t>
      </w:r>
      <w:r>
        <w:rPr>
          <w:rFonts w:ascii="Arial" w:hAnsi="Arial"/>
          <w:i/>
          <w:iCs/>
          <w:sz w:val="22"/>
        </w:rPr>
        <w:t>Landelijk Steunpunt Arbeidsmigratie</w:t>
      </w:r>
      <w:r>
        <w:rPr>
          <w:rFonts w:ascii="Arial" w:hAnsi="Arial"/>
          <w:sz w:val="22"/>
        </w:rPr>
        <w:t xml:space="preserve"> (LSA)) can offer you support. The LSA can support employers from the beginning of the process of looking for new employees.</w:t>
      </w:r>
    </w:p>
    <w:p w14:paraId="1FA7CC7F" w14:textId="77777777" w:rsidR="00510573" w:rsidRDefault="00510573" w:rsidP="002B36EB">
      <w:pPr>
        <w:rPr>
          <w:rFonts w:ascii="Arial" w:hAnsi="Arial" w:cs="Arial"/>
          <w:sz w:val="22"/>
          <w:szCs w:val="22"/>
        </w:rPr>
      </w:pPr>
    </w:p>
    <w:p w14:paraId="4D4FA8D9" w14:textId="6FE6299B" w:rsidR="00510573" w:rsidRDefault="007D4664" w:rsidP="00957F2F">
      <w:pPr>
        <w:pStyle w:val="Kop2"/>
        <w:ind w:hanging="283"/>
      </w:pPr>
      <w:r>
        <w:t>Employer Support Subsidy for the Employment of Status Holders (SOWIS)</w:t>
      </w:r>
    </w:p>
    <w:p w14:paraId="3C42C818" w14:textId="77777777" w:rsidR="007D4664" w:rsidRPr="00594924" w:rsidRDefault="007D4664" w:rsidP="007D4664">
      <w:pPr>
        <w:rPr>
          <w:rFonts w:ascii="Arial" w:hAnsi="Arial" w:cs="Arial"/>
          <w:sz w:val="22"/>
          <w:szCs w:val="22"/>
        </w:rPr>
      </w:pPr>
    </w:p>
    <w:p w14:paraId="2F7A4531" w14:textId="7EDAF7B8" w:rsidR="002C4236" w:rsidRPr="00D03327" w:rsidRDefault="002C4236" w:rsidP="002C4236">
      <w:pPr>
        <w:rPr>
          <w:rFonts w:ascii="Arial" w:hAnsi="Arial" w:cs="Arial"/>
          <w:sz w:val="22"/>
          <w:szCs w:val="22"/>
        </w:rPr>
      </w:pPr>
      <w:r>
        <w:rPr>
          <w:rFonts w:ascii="Arial" w:hAnsi="Arial"/>
          <w:sz w:val="22"/>
        </w:rPr>
        <w:t>In 2026 employers who have taken on status holders who have been in their employment for less than six months will probably be able to apply again for the Employer Support Subsidy for the Employment of Status Holders (</w:t>
      </w:r>
      <w:r>
        <w:rPr>
          <w:rFonts w:ascii="Arial" w:hAnsi="Arial"/>
          <w:i/>
          <w:iCs/>
          <w:sz w:val="22"/>
        </w:rPr>
        <w:t>Subsidie Ondersteuning Werkgevers Inzet Statushouders</w:t>
      </w:r>
      <w:r>
        <w:rPr>
          <w:rFonts w:ascii="Arial" w:hAnsi="Arial"/>
          <w:sz w:val="22"/>
        </w:rPr>
        <w:t xml:space="preserve"> – SOWIS). The application period will be announced no later than three months before applications open. The status holders must have an employment contract for at least twenty hours per week and with a term of at least twelve months. Employers can apply for the SOWIS for activities that aim to help status holders learn the specialist language used in the workplace and teach them about the organisational culture.</w:t>
      </w:r>
    </w:p>
    <w:p w14:paraId="4F566206" w14:textId="77777777" w:rsidR="002C4236" w:rsidRDefault="002C4236" w:rsidP="002C4236">
      <w:pPr>
        <w:rPr>
          <w:rFonts w:ascii="Arial" w:hAnsi="Arial" w:cs="Arial"/>
          <w:sz w:val="22"/>
          <w:szCs w:val="22"/>
        </w:rPr>
      </w:pPr>
    </w:p>
    <w:p w14:paraId="114DB13B" w14:textId="028007FF" w:rsidR="009C1129" w:rsidRPr="00A44093" w:rsidRDefault="009C1129" w:rsidP="009C1129">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r>
        <w:rPr>
          <w:rFonts w:ascii="Arial" w:hAnsi="Arial"/>
          <w:b/>
          <w:sz w:val="22"/>
        </w:rPr>
        <w:t>Tip:</w:t>
      </w:r>
      <w:r>
        <w:rPr>
          <w:rFonts w:ascii="Arial" w:hAnsi="Arial"/>
          <w:sz w:val="22"/>
        </w:rPr>
        <w:br/>
        <w:t xml:space="preserve">The Ministry of Social Affairs and Employment has developed an activity plan </w:t>
      </w:r>
      <w:hyperlink r:id="rId47" w:history="1">
        <w:r>
          <w:rPr>
            <w:rStyle w:val="Hyperlink"/>
            <w:rFonts w:ascii="Arial" w:hAnsi="Arial"/>
            <w:sz w:val="22"/>
            <w:highlight w:val="lightGray"/>
          </w:rPr>
          <w:t>template</w:t>
        </w:r>
      </w:hyperlink>
      <w:r>
        <w:rPr>
          <w:rFonts w:ascii="Arial" w:hAnsi="Arial"/>
          <w:sz w:val="22"/>
        </w:rPr>
        <w:t xml:space="preserve"> and a </w:t>
      </w:r>
      <w:hyperlink r:id="rId48" w:history="1">
        <w:r>
          <w:rPr>
            <w:rStyle w:val="Hyperlink"/>
            <w:rFonts w:ascii="Arial" w:hAnsi="Arial"/>
            <w:sz w:val="22"/>
          </w:rPr>
          <w:t>guide</w:t>
        </w:r>
      </w:hyperlink>
      <w:r>
        <w:rPr>
          <w:rFonts w:ascii="Arial" w:hAnsi="Arial"/>
          <w:sz w:val="22"/>
        </w:rPr>
        <w:t xml:space="preserve"> on supporting status holders in the workplace.</w:t>
      </w:r>
    </w:p>
    <w:p w14:paraId="6C94F1E8" w14:textId="77777777" w:rsidR="009C1129" w:rsidRPr="00A44093" w:rsidRDefault="009C1129" w:rsidP="009C1129">
      <w:pPr>
        <w:rPr>
          <w:rFonts w:ascii="Arial" w:hAnsi="Arial" w:cs="Arial"/>
          <w:sz w:val="22"/>
          <w:szCs w:val="22"/>
        </w:rPr>
      </w:pPr>
    </w:p>
    <w:p w14:paraId="5AD0868A" w14:textId="728ED1E1" w:rsidR="002C4236" w:rsidRDefault="002C4236" w:rsidP="002C4236">
      <w:pPr>
        <w:rPr>
          <w:rFonts w:ascii="Arial" w:hAnsi="Arial" w:cs="Arial"/>
          <w:sz w:val="22"/>
          <w:szCs w:val="22"/>
        </w:rPr>
      </w:pPr>
      <w:r>
        <w:rPr>
          <w:rFonts w:ascii="Arial" w:hAnsi="Arial"/>
          <w:sz w:val="22"/>
        </w:rPr>
        <w:t>Employers can receive a subsidy for a maximum of four status holders. The SOWIS amounts to € 8,000 for the first status holder, € 6,000 for the second and € 5,000 each for the third and fourth.</w:t>
      </w:r>
    </w:p>
    <w:p w14:paraId="5020672A" w14:textId="77777777" w:rsidR="00594924" w:rsidRDefault="00594924" w:rsidP="002C4236">
      <w:pPr>
        <w:rPr>
          <w:rFonts w:ascii="Arial" w:hAnsi="Arial" w:cs="Arial"/>
          <w:sz w:val="22"/>
          <w:szCs w:val="22"/>
        </w:rPr>
      </w:pPr>
    </w:p>
    <w:p w14:paraId="5D6E3012" w14:textId="076F705B" w:rsidR="009C1129" w:rsidRPr="00A44093" w:rsidRDefault="009C1129" w:rsidP="009C1129">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r>
        <w:rPr>
          <w:rFonts w:ascii="Arial" w:hAnsi="Arial"/>
          <w:b/>
          <w:sz w:val="22"/>
        </w:rPr>
        <w:t>Please note:</w:t>
      </w:r>
      <w:r>
        <w:rPr>
          <w:rFonts w:ascii="Arial" w:hAnsi="Arial"/>
          <w:sz w:val="22"/>
        </w:rPr>
        <w:br/>
        <w:t xml:space="preserve">Once the application period has opened, it will be possible to apply for the SOWIS </w:t>
      </w:r>
      <w:hyperlink r:id="rId49" w:history="1">
        <w:r>
          <w:rPr>
            <w:rStyle w:val="Hyperlink"/>
            <w:rFonts w:ascii="Arial" w:hAnsi="Arial"/>
            <w:sz w:val="22"/>
            <w:highlight w:val="lightGray"/>
          </w:rPr>
          <w:t>here</w:t>
        </w:r>
      </w:hyperlink>
      <w:r>
        <w:rPr>
          <w:rFonts w:ascii="Arial" w:hAnsi="Arial"/>
          <w:sz w:val="22"/>
        </w:rPr>
        <w:t>. Make sure you apply for the subsidy promptly. A total amount of € 9,500,000 has been made available for 2024, 2025 and 2026. For 2024 the available budget was € 2,500,000 and a sum of € 3,000,000 was made available in 2025.</w:t>
      </w:r>
    </w:p>
    <w:p w14:paraId="4462DC90" w14:textId="54A300FC" w:rsidR="006E7C81" w:rsidRDefault="006E7C81">
      <w:pPr>
        <w:rPr>
          <w:rFonts w:ascii="Arial" w:hAnsi="Arial" w:cs="Arial"/>
          <w:sz w:val="22"/>
          <w:szCs w:val="22"/>
        </w:rPr>
      </w:pPr>
    </w:p>
    <w:p w14:paraId="4C82EDAB" w14:textId="6EBB2021" w:rsidR="00594924" w:rsidRPr="00447380" w:rsidRDefault="00594924" w:rsidP="00957F2F">
      <w:pPr>
        <w:pStyle w:val="Kop2"/>
        <w:ind w:hanging="283"/>
        <w:rPr>
          <w:szCs w:val="24"/>
        </w:rPr>
      </w:pPr>
      <w:r>
        <w:lastRenderedPageBreak/>
        <w:t>Online notification of hiring of employees from outside EU</w:t>
      </w:r>
    </w:p>
    <w:p w14:paraId="5B1B4DE1" w14:textId="1BCC7F89" w:rsidR="00594924" w:rsidRDefault="00594924" w:rsidP="002B36EB">
      <w:pPr>
        <w:rPr>
          <w:rFonts w:ascii="Arial" w:hAnsi="Arial" w:cs="Arial"/>
          <w:sz w:val="22"/>
          <w:szCs w:val="22"/>
        </w:rPr>
      </w:pPr>
    </w:p>
    <w:p w14:paraId="6053D120" w14:textId="7679434F" w:rsidR="005E2B26" w:rsidRDefault="00594924" w:rsidP="006E7C81">
      <w:pPr>
        <w:rPr>
          <w:rFonts w:ascii="Arial" w:hAnsi="Arial" w:cs="Arial"/>
          <w:sz w:val="22"/>
          <w:szCs w:val="22"/>
        </w:rPr>
      </w:pPr>
      <w:r>
        <w:rPr>
          <w:rFonts w:ascii="Arial" w:hAnsi="Arial"/>
          <w:sz w:val="22"/>
        </w:rPr>
        <w:t>Employers do not have to apply for a work permit for certain employees from outside the EU. However, they do have to provide notification of their employment. Since 12 March 2025 it has only been possible to do this online for the following employees:</w:t>
      </w:r>
    </w:p>
    <w:p w14:paraId="7CC0BBDF" w14:textId="2ED545FE" w:rsidR="00594924" w:rsidRDefault="00594924" w:rsidP="002F233C">
      <w:pPr>
        <w:pStyle w:val="Lijstalinea"/>
        <w:numPr>
          <w:ilvl w:val="0"/>
          <w:numId w:val="22"/>
        </w:numPr>
        <w:rPr>
          <w:rFonts w:ascii="Arial" w:hAnsi="Arial" w:cs="Arial"/>
        </w:rPr>
      </w:pPr>
      <w:r>
        <w:rPr>
          <w:rFonts w:ascii="Arial" w:hAnsi="Arial"/>
        </w:rPr>
        <w:t xml:space="preserve">employees with an </w:t>
      </w:r>
      <w:hyperlink r:id="rId50" w:history="1">
        <w:r>
          <w:rPr>
            <w:rStyle w:val="Hyperlink"/>
            <w:rFonts w:ascii="Arial" w:hAnsi="Arial"/>
          </w:rPr>
          <w:t>‘intra-corporate transferee’ (ICT) work permit (ind.nl)</w:t>
        </w:r>
      </w:hyperlink>
      <w:r>
        <w:rPr>
          <w:rFonts w:ascii="Arial" w:hAnsi="Arial"/>
        </w:rPr>
        <w:t xml:space="preserve"> who work for the employer for a maximum of 90 days in a 180-day period;</w:t>
      </w:r>
    </w:p>
    <w:p w14:paraId="08F456FF" w14:textId="3A039A57" w:rsidR="00594924" w:rsidRDefault="00594924" w:rsidP="002F233C">
      <w:pPr>
        <w:pStyle w:val="Lijstalinea"/>
        <w:numPr>
          <w:ilvl w:val="0"/>
          <w:numId w:val="22"/>
        </w:numPr>
        <w:rPr>
          <w:rFonts w:ascii="Arial" w:hAnsi="Arial" w:cs="Arial"/>
        </w:rPr>
      </w:pPr>
      <w:r>
        <w:rPr>
          <w:rFonts w:ascii="Arial" w:hAnsi="Arial"/>
        </w:rPr>
        <w:t xml:space="preserve">Ukrainian employees who fall under the </w:t>
      </w:r>
      <w:hyperlink r:id="rId51" w:history="1">
        <w:r>
          <w:rPr>
            <w:rStyle w:val="Hyperlink"/>
            <w:rFonts w:ascii="Arial" w:hAnsi="Arial"/>
          </w:rPr>
          <w:t>Temporary Protection Directive</w:t>
        </w:r>
      </w:hyperlink>
      <w:r>
        <w:rPr>
          <w:rFonts w:ascii="Arial" w:hAnsi="Arial"/>
        </w:rPr>
        <w:t>;</w:t>
      </w:r>
    </w:p>
    <w:p w14:paraId="20BA2737" w14:textId="644D8F9D" w:rsidR="00594924" w:rsidRPr="00594924" w:rsidRDefault="00594924" w:rsidP="002F233C">
      <w:pPr>
        <w:pStyle w:val="Lijstalinea"/>
        <w:numPr>
          <w:ilvl w:val="0"/>
          <w:numId w:val="22"/>
        </w:numPr>
        <w:rPr>
          <w:rFonts w:ascii="Arial" w:hAnsi="Arial" w:cs="Arial"/>
        </w:rPr>
      </w:pPr>
      <w:r>
        <w:rPr>
          <w:rFonts w:ascii="Arial" w:hAnsi="Arial"/>
        </w:rPr>
        <w:t>employees who are architecture students from outside the European Economic Area (EEA), who are studying at an architectural academy and who have to acquire work experience as part of their training.</w:t>
      </w:r>
    </w:p>
    <w:p w14:paraId="4AA815B1" w14:textId="0E8B5753" w:rsidR="00594924" w:rsidRDefault="00594924" w:rsidP="00594924">
      <w:pPr>
        <w:rPr>
          <w:rFonts w:ascii="Arial" w:hAnsi="Arial" w:cs="Arial"/>
          <w:sz w:val="22"/>
          <w:szCs w:val="22"/>
        </w:rPr>
      </w:pPr>
    </w:p>
    <w:p w14:paraId="7F15AFD5" w14:textId="77777777" w:rsidR="00816581" w:rsidRDefault="00816581" w:rsidP="00594924">
      <w:pPr>
        <w:rPr>
          <w:rFonts w:ascii="Arial" w:hAnsi="Arial" w:cs="Arial"/>
          <w:sz w:val="22"/>
          <w:szCs w:val="22"/>
        </w:rPr>
      </w:pPr>
    </w:p>
    <w:p w14:paraId="3D86F1C3" w14:textId="62ECCEB8" w:rsidR="005E2B26" w:rsidRPr="00CA7FF4" w:rsidRDefault="00594924" w:rsidP="00CA7FF4">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b/>
          <w:bCs/>
          <w:sz w:val="22"/>
          <w:szCs w:val="22"/>
        </w:rPr>
      </w:pPr>
      <w:r>
        <w:rPr>
          <w:rFonts w:ascii="Arial" w:hAnsi="Arial"/>
          <w:b/>
          <w:sz w:val="22"/>
        </w:rPr>
        <w:t>Please note:</w:t>
      </w:r>
    </w:p>
    <w:p w14:paraId="4AF17DF4" w14:textId="2BB99B8C" w:rsidR="00594924" w:rsidRPr="00CA7FF4" w:rsidRDefault="00594924" w:rsidP="00CA7FF4">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r>
        <w:rPr>
          <w:rFonts w:ascii="Arial" w:hAnsi="Arial"/>
          <w:sz w:val="22"/>
        </w:rPr>
        <w:t>Notifications of employment for these employees that are sent by post will no longer be processed by the UWV from 12 March 2025.</w:t>
      </w:r>
    </w:p>
    <w:p w14:paraId="3B76A68F" w14:textId="0A912114" w:rsidR="00594924" w:rsidRDefault="00594924" w:rsidP="002B36EB">
      <w:pPr>
        <w:rPr>
          <w:rFonts w:ascii="Arial" w:hAnsi="Arial" w:cs="Arial"/>
          <w:sz w:val="22"/>
          <w:szCs w:val="22"/>
        </w:rPr>
      </w:pPr>
    </w:p>
    <w:p w14:paraId="56CA78B7" w14:textId="536D09C5" w:rsidR="00594924" w:rsidRDefault="00594924" w:rsidP="002B36EB">
      <w:pPr>
        <w:rPr>
          <w:rFonts w:ascii="Arial" w:hAnsi="Arial" w:cs="Arial"/>
          <w:sz w:val="22"/>
          <w:szCs w:val="22"/>
        </w:rPr>
      </w:pPr>
      <w:r>
        <w:rPr>
          <w:rFonts w:ascii="Arial" w:hAnsi="Arial"/>
          <w:sz w:val="22"/>
        </w:rPr>
        <w:t>It is not yet possible to submit an online notification of employment for workers hired under the International Trade Regulation (</w:t>
      </w:r>
      <w:r>
        <w:rPr>
          <w:rFonts w:ascii="Arial" w:hAnsi="Arial"/>
          <w:i/>
          <w:iCs/>
          <w:sz w:val="22"/>
        </w:rPr>
        <w:t>Regeling internationaal handelsverkeer</w:t>
      </w:r>
      <w:r>
        <w:rPr>
          <w:rFonts w:ascii="Arial" w:hAnsi="Arial"/>
          <w:sz w:val="22"/>
        </w:rPr>
        <w:t>). This means that a</w:t>
      </w:r>
      <w:r>
        <w:t xml:space="preserve"> </w:t>
      </w:r>
      <w:hyperlink r:id="rId52" w:history="1">
        <w:r>
          <w:rPr>
            <w:rStyle w:val="Hyperlink"/>
            <w:rFonts w:ascii="Arial" w:hAnsi="Arial"/>
            <w:sz w:val="22"/>
          </w:rPr>
          <w:t>paper form</w:t>
        </w:r>
      </w:hyperlink>
      <w:r>
        <w:rPr>
          <w:rFonts w:ascii="Arial" w:hAnsi="Arial"/>
          <w:sz w:val="22"/>
        </w:rPr>
        <w:t xml:space="preserve"> must continue to be used for this purpose.</w:t>
      </w:r>
    </w:p>
    <w:p w14:paraId="0C6BBE79" w14:textId="77777777" w:rsidR="004827B9" w:rsidRDefault="004827B9" w:rsidP="002B36EB">
      <w:pPr>
        <w:rPr>
          <w:rFonts w:ascii="Arial" w:hAnsi="Arial" w:cs="Arial"/>
          <w:sz w:val="22"/>
          <w:szCs w:val="22"/>
        </w:rPr>
      </w:pPr>
    </w:p>
    <w:p w14:paraId="1BA11A20" w14:textId="1A651A5B" w:rsidR="004827B9" w:rsidRDefault="004827B9" w:rsidP="00957F2F">
      <w:pPr>
        <w:pStyle w:val="Kop2"/>
        <w:ind w:hanging="283"/>
      </w:pPr>
      <w:r>
        <w:t>Costs of applying for combined residence and work permit partly regarded as salary</w:t>
      </w:r>
    </w:p>
    <w:p w14:paraId="4128095C" w14:textId="77777777" w:rsidR="004827B9" w:rsidRPr="004827B9" w:rsidRDefault="004827B9" w:rsidP="004827B9">
      <w:pPr>
        <w:rPr>
          <w:rFonts w:ascii="Arial" w:hAnsi="Arial" w:cs="Arial"/>
          <w:sz w:val="22"/>
          <w:szCs w:val="22"/>
        </w:rPr>
      </w:pPr>
    </w:p>
    <w:p w14:paraId="669D8289" w14:textId="0B232CAC" w:rsidR="004827B9" w:rsidRDefault="004827B9" w:rsidP="004827B9">
      <w:pPr>
        <w:rPr>
          <w:rFonts w:ascii="Arial" w:hAnsi="Arial" w:cs="Arial"/>
          <w:sz w:val="22"/>
          <w:szCs w:val="22"/>
        </w:rPr>
      </w:pPr>
      <w:r>
        <w:rPr>
          <w:rFonts w:ascii="Arial" w:hAnsi="Arial"/>
          <w:sz w:val="22"/>
        </w:rPr>
        <w:t>A person from outside the EU, EEA or Switzerland who wants to stay in the Netherlands for more than three months and wants to work for you is allowed to do so – provided that he/she meets the relevant conditions – after being granted a combined residence and work permit (GVVA), also known as a single permit. In such a case the residence permit and work permit can be applied for and issued together.</w:t>
      </w:r>
    </w:p>
    <w:p w14:paraId="6B665B6B" w14:textId="77777777" w:rsidR="004827B9" w:rsidRPr="004827B9" w:rsidRDefault="004827B9" w:rsidP="004827B9">
      <w:pPr>
        <w:rPr>
          <w:rFonts w:ascii="Arial" w:hAnsi="Arial" w:cs="Arial"/>
          <w:sz w:val="22"/>
          <w:szCs w:val="22"/>
        </w:rPr>
      </w:pPr>
    </w:p>
    <w:p w14:paraId="43A5AD97" w14:textId="77777777" w:rsidR="004827B9" w:rsidRPr="004827B9" w:rsidRDefault="004827B9" w:rsidP="004827B9">
      <w:pPr>
        <w:rPr>
          <w:rFonts w:ascii="Arial" w:hAnsi="Arial" w:cs="Arial"/>
          <w:sz w:val="22"/>
          <w:szCs w:val="22"/>
        </w:rPr>
      </w:pPr>
      <w:r>
        <w:rPr>
          <w:rFonts w:ascii="Arial" w:hAnsi="Arial"/>
          <w:sz w:val="22"/>
        </w:rPr>
        <w:t>Although both the employer and employee can apply for the GVVA, it is generally the employer who does so.</w:t>
      </w:r>
    </w:p>
    <w:p w14:paraId="655221CF" w14:textId="77777777" w:rsidR="004827B9" w:rsidRDefault="004827B9" w:rsidP="004827B9">
      <w:pPr>
        <w:rPr>
          <w:rFonts w:ascii="Arial" w:hAnsi="Arial" w:cs="Arial"/>
          <w:b/>
          <w:bCs/>
          <w:sz w:val="22"/>
          <w:szCs w:val="22"/>
        </w:rPr>
      </w:pPr>
    </w:p>
    <w:p w14:paraId="00845FFB" w14:textId="77777777" w:rsidR="005E2B26" w:rsidRPr="00DF3887" w:rsidRDefault="004827B9" w:rsidP="00DF3887">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b/>
          <w:bCs/>
          <w:sz w:val="22"/>
          <w:szCs w:val="22"/>
        </w:rPr>
      </w:pPr>
      <w:r>
        <w:rPr>
          <w:rFonts w:ascii="Arial" w:hAnsi="Arial"/>
          <w:b/>
          <w:sz w:val="22"/>
        </w:rPr>
        <w:t>Please note:</w:t>
      </w:r>
    </w:p>
    <w:p w14:paraId="4601624E" w14:textId="5F756D91" w:rsidR="004827B9" w:rsidRPr="00DF3887" w:rsidRDefault="004827B9" w:rsidP="00DF3887">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r>
        <w:rPr>
          <w:rFonts w:ascii="Arial" w:hAnsi="Arial"/>
          <w:sz w:val="22"/>
        </w:rPr>
        <w:t>Managers, specialists and trainees who are not EU, EEA or Swiss nationals and are being transferred within a group to a Dutch branch can apply for an intra-corporate transferee (ICT) permit. This is a special form of GVVA. The information provided below about the GVVA therefore also applies to the ICT.</w:t>
      </w:r>
    </w:p>
    <w:p w14:paraId="5A1C8FEB" w14:textId="77777777" w:rsidR="004827B9" w:rsidRDefault="004827B9" w:rsidP="004827B9">
      <w:pPr>
        <w:rPr>
          <w:rFonts w:ascii="Arial" w:hAnsi="Arial" w:cs="Arial"/>
          <w:sz w:val="22"/>
          <w:szCs w:val="22"/>
        </w:rPr>
      </w:pPr>
    </w:p>
    <w:p w14:paraId="431E0CAA" w14:textId="77777777" w:rsidR="004827B9" w:rsidRDefault="004827B9" w:rsidP="004827B9">
      <w:pPr>
        <w:rPr>
          <w:rFonts w:ascii="Arial" w:hAnsi="Arial" w:cs="Arial"/>
          <w:b/>
          <w:bCs/>
          <w:sz w:val="22"/>
          <w:szCs w:val="22"/>
        </w:rPr>
      </w:pPr>
      <w:r>
        <w:rPr>
          <w:rFonts w:ascii="Arial" w:hAnsi="Arial"/>
          <w:b/>
          <w:sz w:val="22"/>
        </w:rPr>
        <w:t>Costs of permit</w:t>
      </w:r>
    </w:p>
    <w:p w14:paraId="1D43FB8D" w14:textId="4EECF988" w:rsidR="004827B9" w:rsidRDefault="004827B9" w:rsidP="004827B9">
      <w:pPr>
        <w:rPr>
          <w:rFonts w:ascii="Arial" w:hAnsi="Arial" w:cs="Arial"/>
          <w:sz w:val="22"/>
          <w:szCs w:val="22"/>
        </w:rPr>
      </w:pPr>
      <w:r>
        <w:rPr>
          <w:rFonts w:ascii="Arial" w:hAnsi="Arial"/>
          <w:sz w:val="22"/>
        </w:rPr>
        <w:t>When applying for the permit you incur costs (man-hours and advisory costs). Fees are also payable in connection with the GVVA application. Officially, these are owed by the employee, but they are generally charged to you as the employer.</w:t>
      </w:r>
    </w:p>
    <w:p w14:paraId="1771F4C7" w14:textId="77777777" w:rsidR="004827B9" w:rsidRPr="004827B9" w:rsidRDefault="004827B9" w:rsidP="004827B9">
      <w:pPr>
        <w:rPr>
          <w:rFonts w:ascii="Arial" w:hAnsi="Arial" w:cs="Arial"/>
          <w:sz w:val="22"/>
          <w:szCs w:val="22"/>
        </w:rPr>
      </w:pPr>
    </w:p>
    <w:p w14:paraId="5F0E09E0" w14:textId="77777777" w:rsidR="004827B9" w:rsidRDefault="004827B9" w:rsidP="004827B9">
      <w:pPr>
        <w:rPr>
          <w:rFonts w:ascii="Arial" w:hAnsi="Arial" w:cs="Arial"/>
          <w:b/>
          <w:bCs/>
          <w:sz w:val="22"/>
          <w:szCs w:val="22"/>
        </w:rPr>
      </w:pPr>
      <w:r>
        <w:rPr>
          <w:rFonts w:ascii="Arial" w:hAnsi="Arial"/>
          <w:b/>
          <w:sz w:val="22"/>
        </w:rPr>
        <w:t>Part salary, part not salary</w:t>
      </w:r>
    </w:p>
    <w:p w14:paraId="54161169" w14:textId="1336FBBA" w:rsidR="004827B9" w:rsidRDefault="004827B9" w:rsidP="004827B9">
      <w:pPr>
        <w:rPr>
          <w:rFonts w:ascii="Arial" w:hAnsi="Arial" w:cs="Arial"/>
          <w:sz w:val="22"/>
          <w:szCs w:val="22"/>
        </w:rPr>
      </w:pPr>
      <w:r>
        <w:rPr>
          <w:rFonts w:ascii="Arial" w:hAnsi="Arial"/>
          <w:sz w:val="22"/>
        </w:rPr>
        <w:t xml:space="preserve">The Tax and Customs Administration has taken the view that the costs you incur as an employer for the GVVA application are business expenses. Some of these business expenses constitute a benefit for the employee, i.e. those that relate to the residence permit. This benefit must be treated as part of the employee’s salary, on the basis of the fair value. If </w:t>
      </w:r>
      <w:r>
        <w:rPr>
          <w:rFonts w:ascii="Arial" w:hAnsi="Arial"/>
          <w:sz w:val="22"/>
        </w:rPr>
        <w:lastRenderedPageBreak/>
        <w:t>the application is submitted by your advisor, the benefit corresponds to the invoice value, insofar as this relates to the residence permit.</w:t>
      </w:r>
    </w:p>
    <w:p w14:paraId="22696E99" w14:textId="77777777" w:rsidR="004827B9" w:rsidRPr="004827B9" w:rsidRDefault="004827B9" w:rsidP="004827B9">
      <w:pPr>
        <w:rPr>
          <w:rFonts w:ascii="Arial" w:hAnsi="Arial" w:cs="Arial"/>
          <w:sz w:val="22"/>
          <w:szCs w:val="22"/>
        </w:rPr>
      </w:pPr>
    </w:p>
    <w:p w14:paraId="46E0379F" w14:textId="77777777" w:rsidR="004827B9" w:rsidRDefault="004827B9" w:rsidP="004827B9">
      <w:pPr>
        <w:rPr>
          <w:rFonts w:ascii="Arial" w:hAnsi="Arial" w:cs="Arial"/>
          <w:b/>
          <w:bCs/>
          <w:sz w:val="22"/>
          <w:szCs w:val="22"/>
        </w:rPr>
      </w:pPr>
      <w:r>
        <w:rPr>
          <w:rFonts w:ascii="Arial" w:hAnsi="Arial"/>
          <w:b/>
          <w:sz w:val="22"/>
        </w:rPr>
        <w:t>Certain costs are not salary</w:t>
      </w:r>
    </w:p>
    <w:p w14:paraId="6DA6C408" w14:textId="79AC1963" w:rsidR="004827B9" w:rsidRDefault="004827B9" w:rsidP="004827B9">
      <w:pPr>
        <w:rPr>
          <w:rFonts w:ascii="Arial" w:hAnsi="Arial" w:cs="Arial"/>
          <w:sz w:val="22"/>
          <w:szCs w:val="22"/>
        </w:rPr>
      </w:pPr>
      <w:r>
        <w:rPr>
          <w:rFonts w:ascii="Arial" w:hAnsi="Arial"/>
          <w:sz w:val="22"/>
        </w:rPr>
        <w:t>When applying for the GVVA you are always required to supply certain information and documents. This is the case regardless of whether the permit is applied for by you or the employee. These costs therefore do not constitute salary for your employee. The same applies to costs related to the work permit.</w:t>
      </w:r>
    </w:p>
    <w:p w14:paraId="7130FA47" w14:textId="77777777" w:rsidR="004827B9" w:rsidRPr="004827B9" w:rsidRDefault="004827B9" w:rsidP="004827B9">
      <w:pPr>
        <w:rPr>
          <w:rFonts w:ascii="Arial" w:hAnsi="Arial" w:cs="Arial"/>
          <w:sz w:val="22"/>
          <w:szCs w:val="22"/>
        </w:rPr>
      </w:pPr>
    </w:p>
    <w:p w14:paraId="051F4294" w14:textId="77777777" w:rsidR="004827B9" w:rsidRDefault="004827B9" w:rsidP="004827B9">
      <w:pPr>
        <w:rPr>
          <w:rFonts w:ascii="Arial" w:hAnsi="Arial" w:cs="Arial"/>
          <w:b/>
          <w:bCs/>
          <w:sz w:val="22"/>
          <w:szCs w:val="22"/>
        </w:rPr>
      </w:pPr>
      <w:r>
        <w:rPr>
          <w:rFonts w:ascii="Arial" w:hAnsi="Arial"/>
          <w:b/>
          <w:sz w:val="22"/>
        </w:rPr>
        <w:t>Costs of residence permit are salary</w:t>
      </w:r>
    </w:p>
    <w:p w14:paraId="31BB4D69" w14:textId="28331DC4" w:rsidR="004827B9" w:rsidRDefault="004827B9" w:rsidP="004827B9">
      <w:pPr>
        <w:rPr>
          <w:rFonts w:ascii="Arial" w:hAnsi="Arial" w:cs="Arial"/>
          <w:sz w:val="22"/>
          <w:szCs w:val="22"/>
        </w:rPr>
      </w:pPr>
      <w:r>
        <w:rPr>
          <w:rFonts w:ascii="Arial" w:hAnsi="Arial"/>
          <w:sz w:val="22"/>
        </w:rPr>
        <w:t>Costs relating to the residence permit are considered to be salary, however. The fees associated with a GVVA relate entirely to the residence permit and are therefore regarded as salary for your employee in their entirety.</w:t>
      </w:r>
    </w:p>
    <w:p w14:paraId="304ED8E8" w14:textId="77777777" w:rsidR="004827B9" w:rsidRDefault="004827B9" w:rsidP="004827B9">
      <w:pPr>
        <w:rPr>
          <w:rFonts w:ascii="Arial" w:hAnsi="Arial" w:cs="Arial"/>
          <w:sz w:val="22"/>
          <w:szCs w:val="22"/>
        </w:rPr>
      </w:pPr>
    </w:p>
    <w:p w14:paraId="0ABE5F11" w14:textId="4F850D2B" w:rsidR="004827B9" w:rsidRDefault="00E47468" w:rsidP="004827B9">
      <w:pPr>
        <w:rPr>
          <w:rFonts w:ascii="Arial" w:hAnsi="Arial" w:cs="Arial"/>
          <w:b/>
          <w:bCs/>
          <w:sz w:val="22"/>
          <w:szCs w:val="22"/>
        </w:rPr>
      </w:pPr>
      <w:r>
        <w:rPr>
          <w:rFonts w:ascii="Arial" w:hAnsi="Arial"/>
          <w:b/>
          <w:sz w:val="22"/>
        </w:rPr>
        <w:t>Specific exemption</w:t>
      </w:r>
    </w:p>
    <w:p w14:paraId="79957B33" w14:textId="06640212" w:rsidR="004827B9" w:rsidRDefault="004827B9" w:rsidP="004827B9">
      <w:pPr>
        <w:rPr>
          <w:rFonts w:ascii="Arial" w:hAnsi="Arial" w:cs="Arial"/>
          <w:sz w:val="22"/>
          <w:szCs w:val="22"/>
        </w:rPr>
      </w:pPr>
      <w:r>
        <w:rPr>
          <w:rFonts w:ascii="Arial" w:hAnsi="Arial"/>
          <w:sz w:val="22"/>
        </w:rPr>
        <w:t>The costs that are regarded as salary can, however, also fall under the specific exemption that applies to additional costs incurred in connection with a temporary stay outside the employee’s country of origin as part of the employment relationship (extraterritorial costs). In such a case these costs therefore do not form part of your employee’s taxable salary and are exempt from tax.</w:t>
      </w:r>
    </w:p>
    <w:p w14:paraId="3ED6CA31" w14:textId="77777777" w:rsidR="004827B9" w:rsidRPr="004827B9" w:rsidRDefault="004827B9" w:rsidP="004827B9">
      <w:pPr>
        <w:rPr>
          <w:rFonts w:ascii="Arial" w:hAnsi="Arial" w:cs="Arial"/>
          <w:sz w:val="22"/>
          <w:szCs w:val="22"/>
        </w:rPr>
      </w:pPr>
    </w:p>
    <w:p w14:paraId="2937EA9D" w14:textId="77777777" w:rsidR="005E2B26" w:rsidRPr="00DF3887" w:rsidRDefault="004827B9" w:rsidP="00DF3887">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b/>
          <w:bCs/>
          <w:sz w:val="22"/>
          <w:szCs w:val="22"/>
        </w:rPr>
      </w:pPr>
      <w:r>
        <w:rPr>
          <w:rFonts w:ascii="Arial" w:hAnsi="Arial"/>
          <w:b/>
          <w:sz w:val="22"/>
        </w:rPr>
        <w:t>Please note:</w:t>
      </w:r>
    </w:p>
    <w:p w14:paraId="76A44D5C" w14:textId="65DD5BF8" w:rsidR="004827B9" w:rsidRPr="00DF3887" w:rsidRDefault="004827B9" w:rsidP="00DF3887">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r>
        <w:rPr>
          <w:rFonts w:ascii="Arial" w:hAnsi="Arial"/>
          <w:sz w:val="22"/>
        </w:rPr>
        <w:t>You cannot take advantage of this exemption if you are already applying the 30% scheme for your employee. However, you can allocate the costs to your fixed budget as salary for final levy purposes. In such a case they are also not considered to be part of your employee’s individual taxable salary and he/she pays no payroll tax on them. You will only pay a final levy if you exceed the fixed budget in a particular year.</w:t>
      </w:r>
    </w:p>
    <w:p w14:paraId="6EB4753A" w14:textId="77777777" w:rsidR="004827B9" w:rsidRPr="004827B9" w:rsidRDefault="004827B9" w:rsidP="004827B9">
      <w:pPr>
        <w:rPr>
          <w:rFonts w:ascii="Arial" w:hAnsi="Arial" w:cs="Arial"/>
          <w:sz w:val="22"/>
          <w:szCs w:val="22"/>
        </w:rPr>
      </w:pPr>
    </w:p>
    <w:p w14:paraId="42F06541" w14:textId="6D3FED04" w:rsidR="00CC357B" w:rsidRPr="004827B9" w:rsidRDefault="004827B9" w:rsidP="004827B9">
      <w:pPr>
        <w:rPr>
          <w:rFonts w:ascii="Arial" w:hAnsi="Arial" w:cs="Arial"/>
          <w:sz w:val="22"/>
          <w:szCs w:val="22"/>
        </w:rPr>
      </w:pPr>
      <w:r>
        <w:rPr>
          <w:rFonts w:ascii="Arial" w:hAnsi="Arial"/>
          <w:b/>
          <w:sz w:val="22"/>
        </w:rPr>
        <w:t>Any questions?</w:t>
      </w:r>
      <w:r>
        <w:rPr>
          <w:rFonts w:ascii="Arial" w:hAnsi="Arial"/>
          <w:b/>
          <w:sz w:val="22"/>
        </w:rPr>
        <w:br/>
      </w:r>
      <w:r>
        <w:rPr>
          <w:rFonts w:ascii="Arial" w:hAnsi="Arial"/>
          <w:sz w:val="22"/>
        </w:rPr>
        <w:t>The system described above is not straightforward. You will also come up against the same problem in relation to the highly skilled migrants scheme. If you have any questions about the GVVA, ICT or the highly skilled migrants scheme, please therefore always get in touch with one of our advisors.</w:t>
      </w:r>
    </w:p>
    <w:p w14:paraId="4D7E45E8" w14:textId="77FEB32B" w:rsidR="009C73A4" w:rsidRDefault="009C73A4">
      <w:r>
        <w:br w:type="page"/>
      </w:r>
    </w:p>
    <w:p w14:paraId="156FBEAC" w14:textId="691551E8" w:rsidR="0003397D" w:rsidRPr="00754442" w:rsidRDefault="0003397D" w:rsidP="006009D4">
      <w:pPr>
        <w:pStyle w:val="Kop1"/>
      </w:pPr>
      <w:bookmarkStart w:id="80" w:name="_Toc106639624"/>
      <w:bookmarkStart w:id="81" w:name="_Toc152927335"/>
      <w:bookmarkStart w:id="82" w:name="_Toc155866640"/>
      <w:r>
        <w:lastRenderedPageBreak/>
        <w:t>Employment law and social security law – miscellaneous</w:t>
      </w:r>
      <w:bookmarkEnd w:id="80"/>
      <w:bookmarkEnd w:id="81"/>
      <w:bookmarkEnd w:id="82"/>
    </w:p>
    <w:p w14:paraId="7AF27C10" w14:textId="77777777" w:rsidR="0003397D" w:rsidRDefault="0003397D" w:rsidP="0003397D">
      <w:pPr>
        <w:rPr>
          <w:rFonts w:ascii="Arial" w:hAnsi="Arial" w:cs="Arial"/>
          <w:sz w:val="20"/>
          <w:szCs w:val="20"/>
        </w:rPr>
      </w:pPr>
    </w:p>
    <w:p w14:paraId="047D4854" w14:textId="77777777" w:rsidR="00B15B01" w:rsidRPr="00754442" w:rsidRDefault="00B15B01" w:rsidP="0003397D">
      <w:pPr>
        <w:rPr>
          <w:rFonts w:ascii="Arial" w:hAnsi="Arial" w:cs="Arial"/>
          <w:sz w:val="20"/>
          <w:szCs w:val="20"/>
        </w:rPr>
      </w:pPr>
    </w:p>
    <w:p w14:paraId="1F1914FD" w14:textId="2D10807F" w:rsidR="00D553D9" w:rsidRDefault="002C275F" w:rsidP="00957F2F">
      <w:pPr>
        <w:pStyle w:val="Kop2"/>
        <w:tabs>
          <w:tab w:val="clear" w:pos="539"/>
          <w:tab w:val="left" w:pos="567"/>
        </w:tabs>
        <w:ind w:hanging="283"/>
        <w:rPr>
          <w:rFonts w:cs="Arial"/>
        </w:rPr>
      </w:pPr>
      <w:bookmarkStart w:id="83" w:name="_Toc152927336"/>
      <w:bookmarkStart w:id="84" w:name="_Toc155866641"/>
      <w:bookmarkStart w:id="85" w:name="_Toc61425012"/>
      <w:r>
        <w:t>Increase in statutory minimum hourly wage</w:t>
      </w:r>
      <w:bookmarkEnd w:id="83"/>
      <w:bookmarkEnd w:id="84"/>
    </w:p>
    <w:p w14:paraId="4856B6E5" w14:textId="77777777" w:rsidR="00094E0D" w:rsidRPr="00094E0D" w:rsidRDefault="00094E0D" w:rsidP="00094E0D"/>
    <w:p w14:paraId="1DDB95BF" w14:textId="42CCF3A3" w:rsidR="002C275F" w:rsidRDefault="008E41E6" w:rsidP="00D553D9">
      <w:pPr>
        <w:rPr>
          <w:rFonts w:ascii="Arial" w:hAnsi="Arial" w:cs="Arial"/>
          <w:bCs/>
          <w:color w:val="000000"/>
          <w:sz w:val="22"/>
          <w:szCs w:val="22"/>
        </w:rPr>
      </w:pPr>
      <w:r>
        <w:rPr>
          <w:rFonts w:ascii="Arial" w:hAnsi="Arial"/>
          <w:color w:val="000000"/>
          <w:sz w:val="22"/>
        </w:rPr>
        <w:t>The statutory minimum wage is indexed twice a year: on 1 January and 1 July. From 1 January 2026 the statutory gross minimum hourly wage for employees aged 21 or above is increasing to € 14.71 (compared to € 14.06 on 1 January 2025 and € 14.40 on 1 July 2025).</w:t>
      </w:r>
    </w:p>
    <w:p w14:paraId="2AB05129" w14:textId="77777777" w:rsidR="00D553D9" w:rsidRPr="008E41E6" w:rsidRDefault="00D553D9" w:rsidP="00D553D9">
      <w:pPr>
        <w:rPr>
          <w:rFonts w:ascii="Arial" w:hAnsi="Arial" w:cs="Arial"/>
          <w:sz w:val="22"/>
          <w:szCs w:val="22"/>
        </w:rPr>
      </w:pPr>
    </w:p>
    <w:p w14:paraId="3313C0F8" w14:textId="77777777" w:rsidR="00D553D9" w:rsidRPr="005652F9" w:rsidRDefault="00D553D9" w:rsidP="005652F9">
      <w:pPr>
        <w:pStyle w:val="Geenafstand1"/>
        <w:rPr>
          <w:rFonts w:ascii="Arial" w:hAnsi="Arial" w:cs="Arial"/>
          <w:b/>
          <w:bCs/>
        </w:rPr>
      </w:pPr>
      <w:bookmarkStart w:id="86" w:name="_Toc152927337"/>
      <w:r>
        <w:rPr>
          <w:rFonts w:ascii="Arial" w:hAnsi="Arial"/>
          <w:b/>
        </w:rPr>
        <w:t>Practical</w:t>
      </w:r>
      <w:bookmarkEnd w:id="86"/>
    </w:p>
    <w:p w14:paraId="5899734A" w14:textId="082DE66E" w:rsidR="00D553D9" w:rsidRPr="008E41E6" w:rsidRDefault="00D553D9" w:rsidP="002F233C">
      <w:pPr>
        <w:pStyle w:val="Lijstalinea"/>
        <w:numPr>
          <w:ilvl w:val="0"/>
          <w:numId w:val="7"/>
        </w:numPr>
        <w:spacing w:line="240" w:lineRule="auto"/>
        <w:ind w:left="357" w:hanging="357"/>
        <w:rPr>
          <w:rFonts w:ascii="Arial" w:hAnsi="Arial" w:cs="Arial"/>
        </w:rPr>
      </w:pPr>
      <w:r>
        <w:rPr>
          <w:rFonts w:ascii="Arial" w:hAnsi="Arial"/>
        </w:rPr>
        <w:t>The minimum wage per period (week, four weeks or month) can be calculated by multiplying the number of hours worked in that period by the statutory minimum hourly wage.</w:t>
      </w:r>
    </w:p>
    <w:p w14:paraId="11E8B148" w14:textId="5D89443C" w:rsidR="00D553D9" w:rsidRPr="008E41E6" w:rsidRDefault="00D553D9" w:rsidP="002F233C">
      <w:pPr>
        <w:pStyle w:val="Lijstalinea"/>
        <w:numPr>
          <w:ilvl w:val="0"/>
          <w:numId w:val="7"/>
        </w:numPr>
        <w:spacing w:line="240" w:lineRule="auto"/>
        <w:ind w:left="357" w:hanging="357"/>
        <w:rPr>
          <w:rFonts w:ascii="Arial" w:hAnsi="Arial" w:cs="Arial"/>
        </w:rPr>
      </w:pPr>
      <w:r>
        <w:rPr>
          <w:rFonts w:ascii="Arial" w:hAnsi="Arial"/>
        </w:rPr>
        <w:t>For employees between the ages of 15 and 20 minimum youth hourly wages apply, which have been derived from the statutory minimum hourly wage. </w:t>
      </w:r>
    </w:p>
    <w:p w14:paraId="13FF5E4B" w14:textId="7E0EFC54" w:rsidR="00A47A72" w:rsidRDefault="00D553D9" w:rsidP="002F233C">
      <w:pPr>
        <w:pStyle w:val="Lijstalinea"/>
        <w:numPr>
          <w:ilvl w:val="0"/>
          <w:numId w:val="7"/>
        </w:numPr>
        <w:spacing w:line="240" w:lineRule="auto"/>
        <w:ind w:left="357" w:hanging="357"/>
        <w:rPr>
          <w:rFonts w:ascii="Arial" w:hAnsi="Arial" w:cs="Arial"/>
        </w:rPr>
      </w:pPr>
      <w:r>
        <w:rPr>
          <w:rFonts w:ascii="Arial" w:hAnsi="Arial"/>
        </w:rPr>
        <w:t>The statutory minimum hourly wage that applies, in view of the employee’s age, must be indicated on the payslip, along with the period to which the payslip relates.</w:t>
      </w:r>
    </w:p>
    <w:p w14:paraId="3F0CFE50" w14:textId="23BC1523" w:rsidR="002D6A1B" w:rsidRDefault="002C275F" w:rsidP="002F233C">
      <w:pPr>
        <w:pStyle w:val="Lijstalinea"/>
        <w:numPr>
          <w:ilvl w:val="0"/>
          <w:numId w:val="7"/>
        </w:numPr>
        <w:spacing w:line="240" w:lineRule="auto"/>
        <w:ind w:left="357" w:hanging="357"/>
        <w:rPr>
          <w:rFonts w:ascii="Arial" w:hAnsi="Arial" w:cs="Arial"/>
        </w:rPr>
      </w:pPr>
      <w:r>
        <w:rPr>
          <w:rFonts w:ascii="Arial" w:hAnsi="Arial"/>
        </w:rPr>
        <w:t>The gross amounts of the minimum hourly wage applicable from 1 January 2026 and 1 July 2026 for all age groups and for people following the work-based learning pathway (BBL) can be found at the end of this document.</w:t>
      </w:r>
    </w:p>
    <w:p w14:paraId="76D9B8DB" w14:textId="77777777" w:rsidR="00C447B0" w:rsidRPr="00C447B0" w:rsidRDefault="00C447B0" w:rsidP="00C447B0">
      <w:pPr>
        <w:pStyle w:val="Geenafstand"/>
        <w:rPr>
          <w:rFonts w:ascii="Arial" w:hAnsi="Arial" w:cs="Arial"/>
        </w:rPr>
      </w:pPr>
    </w:p>
    <w:p w14:paraId="7A7265BE" w14:textId="77777777" w:rsidR="00F266F3" w:rsidRPr="00DF3887" w:rsidRDefault="00081382" w:rsidP="00DF3887">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b/>
          <w:bCs/>
          <w:sz w:val="22"/>
          <w:szCs w:val="22"/>
        </w:rPr>
      </w:pPr>
      <w:r>
        <w:rPr>
          <w:rFonts w:ascii="Arial" w:hAnsi="Arial"/>
          <w:b/>
          <w:sz w:val="22"/>
        </w:rPr>
        <w:t>Please note:</w:t>
      </w:r>
    </w:p>
    <w:p w14:paraId="0D67B466" w14:textId="5DBDD3FB" w:rsidR="000B4126" w:rsidRPr="00DF3887" w:rsidRDefault="0011620F" w:rsidP="00DF3887">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r>
        <w:rPr>
          <w:rFonts w:ascii="Arial" w:hAnsi="Arial"/>
          <w:sz w:val="22"/>
        </w:rPr>
        <w:t xml:space="preserve">The minimum youth wage (for young people aged 16 to 20) is set to increase from 1 January 2027. In an </w:t>
      </w:r>
      <w:hyperlink r:id="rId53" w:history="1">
        <w:r>
          <w:rPr>
            <w:rStyle w:val="Hyperlink"/>
            <w:rFonts w:ascii="Arial" w:hAnsi="Arial"/>
            <w:sz w:val="22"/>
          </w:rPr>
          <w:t>online consultation</w:t>
        </w:r>
      </w:hyperlink>
      <w:r>
        <w:t xml:space="preserve">, </w:t>
      </w:r>
      <w:r>
        <w:rPr>
          <w:rFonts w:ascii="Arial" w:hAnsi="Arial"/>
          <w:sz w:val="22"/>
        </w:rPr>
        <w:t>ending on 14 January 2026, it has been proposed that the rate for a 20 year old should be increased from 80% to 87.5%, for a 19 year old from 60% to 75%, for an 18 year old from 50% to 62.5%, for a 17 year old from 39.5% to 50% and for a 16 year old from 34.5% to 40% of the statutory minimum wage applicable to employees aged 21 and above. For a 15 year old the rate will remain at 30%. The online consultation also includes a proposal to abolish the lower rates for workers following the work-based learning pathway (BBL) with effect from 1 January 2027. From that date on, the wage of a BBL student would then be the same as the regular minimum youth wage.</w:t>
      </w:r>
    </w:p>
    <w:p w14:paraId="12D557F6" w14:textId="77777777" w:rsidR="00F266F3" w:rsidRPr="00F266F3" w:rsidRDefault="00F266F3" w:rsidP="00F266F3">
      <w:pPr>
        <w:pStyle w:val="Geenafstand"/>
        <w:rPr>
          <w:rFonts w:ascii="Arial" w:hAnsi="Arial" w:cs="Arial"/>
          <w:sz w:val="22"/>
          <w:szCs w:val="22"/>
        </w:rPr>
      </w:pPr>
    </w:p>
    <w:p w14:paraId="19ABC352" w14:textId="35351995" w:rsidR="007C7276" w:rsidRDefault="001D7713" w:rsidP="00957F2F">
      <w:pPr>
        <w:pStyle w:val="Kop2"/>
        <w:ind w:hanging="283"/>
      </w:pPr>
      <w:r>
        <w:t>Possibility of deducting accommodation costs from minimum wage will not yet be phased out</w:t>
      </w:r>
    </w:p>
    <w:p w14:paraId="0D0C1933" w14:textId="77777777" w:rsidR="00F266F3" w:rsidRPr="00F266F3" w:rsidRDefault="00F266F3" w:rsidP="00F266F3"/>
    <w:p w14:paraId="42901FD7" w14:textId="5DDB2CE8" w:rsidR="00711C90" w:rsidRDefault="007C7276" w:rsidP="00F266F3">
      <w:pPr>
        <w:pStyle w:val="Geenafstand"/>
        <w:rPr>
          <w:rFonts w:ascii="Arial" w:hAnsi="Arial" w:cs="Arial"/>
          <w:sz w:val="22"/>
          <w:szCs w:val="22"/>
        </w:rPr>
      </w:pPr>
      <w:r>
        <w:rPr>
          <w:rFonts w:ascii="Arial" w:hAnsi="Arial"/>
          <w:sz w:val="22"/>
        </w:rPr>
        <w:t>In 2026 employers will again be able to deduct up to 25% from an employee’s statutory minimum wage for the costs of providing the employee with accommodation. The plan to reduce this rate by 5% per year from 2026 and eventually ban such deductions from 2030 has been put on hold for the time being.</w:t>
      </w:r>
    </w:p>
    <w:p w14:paraId="7216E168" w14:textId="77777777" w:rsidR="00711C90" w:rsidRDefault="00711C90" w:rsidP="00F266F3">
      <w:pPr>
        <w:pStyle w:val="Geenafstand"/>
        <w:rPr>
          <w:rFonts w:ascii="Arial" w:hAnsi="Arial" w:cs="Arial"/>
          <w:sz w:val="22"/>
          <w:szCs w:val="22"/>
        </w:rPr>
      </w:pPr>
    </w:p>
    <w:p w14:paraId="2A33DCFC" w14:textId="0F077FE6" w:rsidR="00711C90" w:rsidRDefault="00711C90" w:rsidP="00F266F3">
      <w:pPr>
        <w:pStyle w:val="Geenafstand"/>
        <w:rPr>
          <w:rFonts w:ascii="Arial" w:hAnsi="Arial" w:cs="Arial"/>
          <w:sz w:val="22"/>
          <w:szCs w:val="22"/>
        </w:rPr>
      </w:pPr>
      <w:r>
        <w:rPr>
          <w:rFonts w:ascii="Arial" w:hAnsi="Arial"/>
          <w:sz w:val="22"/>
        </w:rPr>
        <w:t>At the end of 2025 the government concluded that phasing out the deduction would actually have more downsides than upsides for a migrant worker. The current scheme makes it easier for employers and migrant workers to arrange accommodation. If the scheme is abolished, the government would lose its oversight over the quality of the accommodation provided. For this reason, the government has decided not to implement the planned phase-out of the deduction for the time being.</w:t>
      </w:r>
    </w:p>
    <w:p w14:paraId="7A043403" w14:textId="77777777" w:rsidR="00711C90" w:rsidRDefault="00711C90" w:rsidP="00F266F3">
      <w:pPr>
        <w:pStyle w:val="Geenafstand"/>
        <w:rPr>
          <w:rFonts w:ascii="Arial" w:hAnsi="Arial" w:cs="Arial"/>
          <w:sz w:val="22"/>
          <w:szCs w:val="22"/>
        </w:rPr>
      </w:pPr>
    </w:p>
    <w:p w14:paraId="011241F8" w14:textId="6E73DAEF" w:rsidR="00711C90" w:rsidRDefault="00711C90" w:rsidP="00F266F3">
      <w:pPr>
        <w:pStyle w:val="Geenafstand"/>
        <w:rPr>
          <w:rFonts w:ascii="Arial" w:hAnsi="Arial"/>
          <w:sz w:val="22"/>
        </w:rPr>
      </w:pPr>
      <w:r>
        <w:rPr>
          <w:rFonts w:ascii="Arial" w:hAnsi="Arial"/>
          <w:sz w:val="22"/>
        </w:rPr>
        <w:t xml:space="preserve">Various motions have been passed in the Lower House that are encouraging the government to come up with a proposal as quickly as possible to abolish the deduction of accommodation </w:t>
      </w:r>
      <w:r>
        <w:rPr>
          <w:rFonts w:ascii="Arial" w:hAnsi="Arial"/>
          <w:sz w:val="22"/>
        </w:rPr>
        <w:lastRenderedPageBreak/>
        <w:t>costs from the minimum wage in a carefully considered way, alongside the introduction of the Migrant Worker (Tenant Protection) Act (</w:t>
      </w:r>
      <w:r>
        <w:rPr>
          <w:rFonts w:ascii="Arial" w:hAnsi="Arial"/>
          <w:i/>
          <w:iCs/>
          <w:sz w:val="22"/>
        </w:rPr>
        <w:t xml:space="preserve">Wet </w:t>
      </w:r>
      <w:proofErr w:type="spellStart"/>
      <w:r>
        <w:rPr>
          <w:rFonts w:ascii="Arial" w:hAnsi="Arial"/>
          <w:i/>
          <w:iCs/>
          <w:sz w:val="22"/>
        </w:rPr>
        <w:t>huurdersbescherming</w:t>
      </w:r>
      <w:proofErr w:type="spellEnd"/>
      <w:r>
        <w:rPr>
          <w:rFonts w:ascii="Arial" w:hAnsi="Arial"/>
          <w:i/>
          <w:iCs/>
          <w:sz w:val="22"/>
        </w:rPr>
        <w:t xml:space="preserve"> van </w:t>
      </w:r>
      <w:proofErr w:type="spellStart"/>
      <w:r>
        <w:rPr>
          <w:rFonts w:ascii="Arial" w:hAnsi="Arial"/>
          <w:i/>
          <w:iCs/>
          <w:sz w:val="22"/>
        </w:rPr>
        <w:t>arbeidsmigranten</w:t>
      </w:r>
      <w:proofErr w:type="spellEnd"/>
      <w:r>
        <w:rPr>
          <w:rFonts w:ascii="Arial" w:hAnsi="Arial"/>
          <w:sz w:val="22"/>
        </w:rPr>
        <w:t>).</w:t>
      </w:r>
    </w:p>
    <w:p w14:paraId="5A155583" w14:textId="77777777" w:rsidR="00B15B01" w:rsidRDefault="00B15B01" w:rsidP="00F266F3">
      <w:pPr>
        <w:pStyle w:val="Geenafstand"/>
        <w:rPr>
          <w:rFonts w:ascii="Arial" w:hAnsi="Arial" w:cs="Arial"/>
          <w:sz w:val="22"/>
          <w:szCs w:val="22"/>
        </w:rPr>
      </w:pPr>
    </w:p>
    <w:p w14:paraId="06DC1D05" w14:textId="2B496013" w:rsidR="00386BC8" w:rsidRDefault="00386BC8" w:rsidP="00957F2F">
      <w:pPr>
        <w:pStyle w:val="Kop2"/>
        <w:ind w:hanging="283"/>
        <w:rPr>
          <w:rFonts w:eastAsia="Calibri"/>
        </w:rPr>
      </w:pPr>
      <w:bookmarkStart w:id="87" w:name="_Toc106639626"/>
      <w:bookmarkStart w:id="88" w:name="_Toc152927339"/>
      <w:bookmarkStart w:id="89" w:name="_Toc155866643"/>
      <w:r>
        <w:t>Transition payment</w:t>
      </w:r>
      <w:bookmarkEnd w:id="85"/>
      <w:bookmarkEnd w:id="87"/>
      <w:bookmarkEnd w:id="88"/>
      <w:bookmarkEnd w:id="89"/>
    </w:p>
    <w:p w14:paraId="540A162A" w14:textId="77777777" w:rsidR="005652F9" w:rsidRPr="005652F9" w:rsidRDefault="005652F9" w:rsidP="005652F9">
      <w:pPr>
        <w:rPr>
          <w:rFonts w:eastAsia="Calibri"/>
        </w:rPr>
      </w:pPr>
    </w:p>
    <w:p w14:paraId="77EEFC65" w14:textId="38CF4432" w:rsidR="00386BC8" w:rsidRDefault="00386BC8" w:rsidP="00386BC8">
      <w:pPr>
        <w:tabs>
          <w:tab w:val="left" w:pos="283"/>
          <w:tab w:val="left" w:pos="567"/>
          <w:tab w:val="left" w:pos="5102"/>
          <w:tab w:val="right" w:pos="6236"/>
          <w:tab w:val="left" w:pos="6520"/>
          <w:tab w:val="right" w:pos="7654"/>
          <w:tab w:val="left" w:pos="7937"/>
          <w:tab w:val="right" w:pos="9071"/>
        </w:tabs>
        <w:rPr>
          <w:rFonts w:ascii="Arial" w:eastAsia="Arial" w:hAnsi="Arial" w:cs="Arial"/>
          <w:sz w:val="22"/>
          <w:szCs w:val="22"/>
        </w:rPr>
      </w:pPr>
      <w:r>
        <w:rPr>
          <w:rFonts w:ascii="Arial" w:hAnsi="Arial"/>
          <w:sz w:val="22"/>
        </w:rPr>
        <w:t>An employee is entitled to a transition payment if he/she is made redundant at the employer’s initiative. The level of the transition payment depends on the employee’s salary and the number of years of service. In 2026 the maximum transition payment is € 102,000 (2025: € 98,000), or a year’s salary if higher.</w:t>
      </w:r>
    </w:p>
    <w:p w14:paraId="7427B6CE" w14:textId="77777777" w:rsidR="00E61937" w:rsidRDefault="00E61937" w:rsidP="00386BC8">
      <w:pPr>
        <w:tabs>
          <w:tab w:val="left" w:pos="283"/>
          <w:tab w:val="left" w:pos="567"/>
          <w:tab w:val="left" w:pos="5102"/>
          <w:tab w:val="right" w:pos="6236"/>
          <w:tab w:val="left" w:pos="6520"/>
          <w:tab w:val="right" w:pos="7654"/>
          <w:tab w:val="left" w:pos="7937"/>
          <w:tab w:val="right" w:pos="9071"/>
        </w:tabs>
        <w:rPr>
          <w:rFonts w:ascii="Arial" w:eastAsia="Arial" w:hAnsi="Arial" w:cs="Arial"/>
          <w:sz w:val="22"/>
          <w:szCs w:val="22"/>
        </w:rPr>
      </w:pPr>
    </w:p>
    <w:p w14:paraId="16976D34" w14:textId="77777777" w:rsidR="00E61937" w:rsidRPr="0064332C" w:rsidRDefault="00E61937" w:rsidP="00652351">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eastAsia="Arial" w:hAnsi="Arial" w:cs="Arial"/>
          <w:b/>
          <w:bCs/>
          <w:sz w:val="22"/>
          <w:szCs w:val="22"/>
        </w:rPr>
      </w:pPr>
      <w:r>
        <w:rPr>
          <w:rFonts w:ascii="Arial" w:hAnsi="Arial"/>
          <w:b/>
          <w:sz w:val="22"/>
        </w:rPr>
        <w:t>Tip:</w:t>
      </w:r>
    </w:p>
    <w:p w14:paraId="5C7E4523" w14:textId="5AB30073" w:rsidR="00C37B9D" w:rsidRPr="00C37B9D" w:rsidRDefault="00E61937" w:rsidP="00C37B9D">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eastAsia="Arial" w:hAnsi="Arial" w:cs="Arial"/>
          <w:sz w:val="22"/>
          <w:szCs w:val="22"/>
        </w:rPr>
      </w:pPr>
      <w:r>
        <w:rPr>
          <w:rFonts w:ascii="Arial" w:hAnsi="Arial"/>
          <w:sz w:val="22"/>
        </w:rPr>
        <w:t xml:space="preserve">As an employer, you may be able to obtain compensation from the UWV for the transition payment. You will find the conditions for compensation of the transition payment in the event of long-term incapacity for work </w:t>
      </w:r>
      <w:hyperlink r:id="rId54" w:history="1">
        <w:r>
          <w:rPr>
            <w:rStyle w:val="Hyperlink"/>
            <w:rFonts w:ascii="Arial" w:hAnsi="Arial"/>
            <w:sz w:val="22"/>
          </w:rPr>
          <w:t>here</w:t>
        </w:r>
      </w:hyperlink>
      <w:r>
        <w:rPr>
          <w:rFonts w:ascii="Arial" w:hAnsi="Arial"/>
          <w:sz w:val="22"/>
        </w:rPr>
        <w:t xml:space="preserve"> and the conditions for compensation of the transition payment in the event of discontinuation of a business </w:t>
      </w:r>
      <w:hyperlink r:id="rId55" w:history="1">
        <w:r>
          <w:rPr>
            <w:rStyle w:val="Hyperlink"/>
            <w:rFonts w:ascii="Arial" w:hAnsi="Arial"/>
            <w:sz w:val="22"/>
          </w:rPr>
          <w:t>here</w:t>
        </w:r>
      </w:hyperlink>
      <w:r>
        <w:rPr>
          <w:rFonts w:ascii="Arial" w:hAnsi="Arial"/>
          <w:sz w:val="22"/>
        </w:rPr>
        <w:t>.</w:t>
      </w:r>
    </w:p>
    <w:p w14:paraId="6C502444" w14:textId="024EDAEB" w:rsidR="00C37B9D" w:rsidRDefault="00C37B9D" w:rsidP="005652F9">
      <w:bookmarkStart w:id="90" w:name="_Toc152927341"/>
    </w:p>
    <w:p w14:paraId="682B657C" w14:textId="77777777" w:rsidR="00F266F3" w:rsidRDefault="008757D6" w:rsidP="00994FAE">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b/>
          <w:bCs/>
          <w:sz w:val="22"/>
          <w:szCs w:val="22"/>
        </w:rPr>
      </w:pPr>
      <w:r>
        <w:rPr>
          <w:rFonts w:ascii="Arial" w:hAnsi="Arial"/>
          <w:b/>
          <w:sz w:val="22"/>
        </w:rPr>
        <w:t>Please note:</w:t>
      </w:r>
    </w:p>
    <w:p w14:paraId="228B472E" w14:textId="02780078" w:rsidR="008757D6" w:rsidRPr="00994FAE" w:rsidRDefault="00CA3695" w:rsidP="00994FAE">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bookmarkStart w:id="91" w:name="_Hlk216261682"/>
      <w:r>
        <w:rPr>
          <w:rFonts w:ascii="Arial" w:hAnsi="Arial"/>
          <w:sz w:val="22"/>
        </w:rPr>
        <w:t xml:space="preserve">On 5 December 2025 the legislative proposal ‘Restriction of transition payment compensation scheme to small employers in cases of redundancy due to long-term incapacity for work’ was submitted to the Lower House. Under this proposal the compensation for the transition payment in cases of redundancy due to long-term incapacity for work will be restricted to small employers from 1 July 2026. The proposal defines a small employer as one whose wage bill is up to 25 times the average salary on which contributions are payable per employee per calendar year. The wage bill for national insurance purposes from two years ago (t-2) is referred to for this purpose. In 2026 an employer is therefore regarded as small if the total wage bill on which contributions were payable for 2024 was no higher than € 1,082,500. </w:t>
      </w:r>
    </w:p>
    <w:p w14:paraId="173EDB0D" w14:textId="09391104" w:rsidR="00C81112" w:rsidRPr="00C81112" w:rsidRDefault="00C81112" w:rsidP="00C81112">
      <w:pPr>
        <w:rPr>
          <w:rFonts w:ascii="Arial" w:hAnsi="Arial" w:cs="Arial"/>
          <w:sz w:val="22"/>
          <w:szCs w:val="22"/>
        </w:rPr>
      </w:pPr>
      <w:bookmarkStart w:id="92" w:name="_Toc155866644"/>
      <w:bookmarkEnd w:id="91"/>
    </w:p>
    <w:p w14:paraId="752C199D" w14:textId="75669896" w:rsidR="00227081" w:rsidRDefault="00F0136E" w:rsidP="00957F2F">
      <w:pPr>
        <w:pStyle w:val="Kop2"/>
        <w:ind w:hanging="283"/>
      </w:pPr>
      <w:r>
        <w:t xml:space="preserve">Measures relating to incapacity for work benefit </w:t>
      </w:r>
      <w:bookmarkEnd w:id="90"/>
      <w:bookmarkEnd w:id="92"/>
    </w:p>
    <w:p w14:paraId="21AC1C3F" w14:textId="77777777" w:rsidR="005652F9" w:rsidRPr="005652F9" w:rsidRDefault="005652F9" w:rsidP="005652F9"/>
    <w:p w14:paraId="3230EFFF" w14:textId="69EA8AC5" w:rsidR="00F0136E" w:rsidRDefault="00227081" w:rsidP="00227081">
      <w:pPr>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r>
        <w:rPr>
          <w:rFonts w:ascii="Arial" w:hAnsi="Arial"/>
          <w:sz w:val="22"/>
        </w:rPr>
        <w:t>The UWV is facing backlogs when it comes to assessing applications for incapacity for work benefit (WIA applications). These backlogs are expected to increase further. To limit them as much as possible, a number of measures have been introduced.</w:t>
      </w:r>
    </w:p>
    <w:p w14:paraId="3888BCE7" w14:textId="77777777" w:rsidR="00F0136E" w:rsidRDefault="00F0136E" w:rsidP="00227081">
      <w:pPr>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p>
    <w:p w14:paraId="31FAB8BE" w14:textId="47CEEA39" w:rsidR="00F0136E" w:rsidRPr="006F1EFC" w:rsidRDefault="00DB22B4" w:rsidP="00227081">
      <w:pPr>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b/>
          <w:bCs/>
          <w:sz w:val="22"/>
          <w:szCs w:val="22"/>
        </w:rPr>
      </w:pPr>
      <w:r>
        <w:rPr>
          <w:rFonts w:ascii="Arial" w:hAnsi="Arial"/>
          <w:b/>
          <w:sz w:val="22"/>
        </w:rPr>
        <w:t>Simplified assessment for people over 60</w:t>
      </w:r>
    </w:p>
    <w:p w14:paraId="6F13CDB3" w14:textId="77777777" w:rsidR="007C55AD" w:rsidRDefault="00227081" w:rsidP="00DB22B4">
      <w:pPr>
        <w:rPr>
          <w:rFonts w:ascii="Arial" w:hAnsi="Arial" w:cs="Arial"/>
          <w:sz w:val="22"/>
          <w:szCs w:val="22"/>
        </w:rPr>
      </w:pPr>
      <w:r>
        <w:rPr>
          <w:rFonts w:ascii="Arial" w:hAnsi="Arial"/>
          <w:sz w:val="22"/>
        </w:rPr>
        <w:t>To address the problem of a shortage of insurers’ medical advisors, a simplified assessment was previously introduced (in October 2022) for employees who are 60 or over at the end of the regular 104-week waiting period. This ran until the end of 2024, but was reintroduced from September 2025.</w:t>
      </w:r>
    </w:p>
    <w:p w14:paraId="34BE769F" w14:textId="77777777" w:rsidR="007C55AD" w:rsidRDefault="007C55AD" w:rsidP="00DB22B4">
      <w:pPr>
        <w:rPr>
          <w:rFonts w:ascii="Arial" w:hAnsi="Arial" w:cs="Arial"/>
          <w:sz w:val="22"/>
          <w:szCs w:val="22"/>
        </w:rPr>
      </w:pPr>
    </w:p>
    <w:p w14:paraId="0ADCE830" w14:textId="37F7B3EE" w:rsidR="00DB22B4" w:rsidRDefault="00227081" w:rsidP="00DB22B4">
      <w:pPr>
        <w:rPr>
          <w:rFonts w:ascii="Arial" w:hAnsi="Arial" w:cs="Arial"/>
          <w:sz w:val="22"/>
          <w:szCs w:val="22"/>
        </w:rPr>
      </w:pPr>
      <w:r>
        <w:rPr>
          <w:rFonts w:ascii="Arial" w:hAnsi="Arial"/>
          <w:sz w:val="22"/>
        </w:rPr>
        <w:t xml:space="preserve">This simplified assessment means that – if the employer and employee agree to it – a sick employee over the age of 60 will be granted a benefit based on 80%-100% incapacity at the end of the waiting period, until he/she reaches state-pension age. For purposes of this simplified assessment, the employer and employee only visit the occupational health and safety expert. An insurer’s medical advisor is not involved. </w:t>
      </w:r>
    </w:p>
    <w:p w14:paraId="183F2A64" w14:textId="77777777" w:rsidR="00DB22B4" w:rsidRDefault="00DB22B4" w:rsidP="00DB22B4">
      <w:pPr>
        <w:rPr>
          <w:rFonts w:ascii="Arial" w:hAnsi="Arial" w:cs="Arial"/>
          <w:sz w:val="22"/>
          <w:szCs w:val="22"/>
        </w:rPr>
      </w:pPr>
    </w:p>
    <w:p w14:paraId="335F2C6F" w14:textId="3BC42877" w:rsidR="00DB22B4" w:rsidRDefault="00DB22B4" w:rsidP="00DB22B4">
      <w:pPr>
        <w:rPr>
          <w:rFonts w:ascii="Arial" w:hAnsi="Arial" w:cs="Arial"/>
          <w:sz w:val="22"/>
          <w:szCs w:val="22"/>
        </w:rPr>
      </w:pPr>
      <w:r>
        <w:rPr>
          <w:rFonts w:ascii="Arial" w:hAnsi="Arial"/>
          <w:sz w:val="22"/>
        </w:rPr>
        <w:t>The intention is that this simplified assessment scheme will run for two years and will therefore end on 31 August 2027. Simplifying the assessment process will free up capacity amongst insurers’ medical advisors, allowing the UWV to use them to perform other assessments.</w:t>
      </w:r>
    </w:p>
    <w:p w14:paraId="5D18B86D" w14:textId="6F51375E" w:rsidR="00227081" w:rsidRDefault="00227081" w:rsidP="00227081">
      <w:pPr>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p>
    <w:p w14:paraId="29F0A464" w14:textId="77777777" w:rsidR="00816581" w:rsidRDefault="00F0136E" w:rsidP="00816581">
      <w:pPr>
        <w:shd w:val="clear" w:color="auto" w:fill="D9D9D9" w:themeFill="background1" w:themeFillShade="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r>
        <w:rPr>
          <w:rFonts w:ascii="Arial" w:hAnsi="Arial"/>
          <w:b/>
          <w:sz w:val="22"/>
        </w:rPr>
        <w:t>Please note:</w:t>
      </w:r>
    </w:p>
    <w:p w14:paraId="58919459" w14:textId="46060744" w:rsidR="00F0136E" w:rsidRDefault="00F0136E" w:rsidP="00816581">
      <w:pPr>
        <w:shd w:val="clear" w:color="auto" w:fill="D9D9D9" w:themeFill="background1" w:themeFillShade="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r>
        <w:rPr>
          <w:rFonts w:ascii="Arial" w:hAnsi="Arial"/>
          <w:sz w:val="22"/>
        </w:rPr>
        <w:t>This benefit, paid under the Return to Work (Partially Disabled) Regulations (WGA), will be funded from the basic contribution under the Invalidity Insurance Act (WAO)/Work and Income (Capacity for Work) Act (WIA), which is paid into the Invalidity Insurance Fund (Aof). It will therefore not be borne by individual employers.</w:t>
      </w:r>
    </w:p>
    <w:p w14:paraId="07132BAF" w14:textId="77777777" w:rsidR="00C9189A" w:rsidRDefault="00C9189A" w:rsidP="00227081">
      <w:pPr>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p>
    <w:p w14:paraId="55532B6A" w14:textId="7E9B3500" w:rsidR="00DB22B4" w:rsidRDefault="00DB22B4" w:rsidP="00227081">
      <w:pPr>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b/>
          <w:bCs/>
          <w:color w:val="000000"/>
          <w:sz w:val="22"/>
          <w:szCs w:val="22"/>
        </w:rPr>
      </w:pPr>
      <w:r>
        <w:rPr>
          <w:rFonts w:ascii="Arial" w:hAnsi="Arial"/>
          <w:b/>
          <w:color w:val="000000"/>
          <w:sz w:val="22"/>
        </w:rPr>
        <w:t>Practical assessment</w:t>
      </w:r>
    </w:p>
    <w:p w14:paraId="6D33D86E" w14:textId="6D44FF75" w:rsidR="007C55AD" w:rsidRDefault="00D9433E" w:rsidP="00227081">
      <w:pPr>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color w:val="000000"/>
          <w:sz w:val="22"/>
          <w:szCs w:val="22"/>
        </w:rPr>
      </w:pPr>
      <w:r>
        <w:rPr>
          <w:rFonts w:ascii="Arial" w:hAnsi="Arial"/>
          <w:color w:val="000000"/>
          <w:sz w:val="22"/>
        </w:rPr>
        <w:t>Under the rules that applied up to 1 July 2024, employees who still had income from employment were subject to both a practical and a theoretical assessment (an estimate of what the employee could still earn in theory). Whether or not incapacity for work benefit was granted was then determined on the basis of the assessment that resulted in the lowest level of incapacity for work.</w:t>
      </w:r>
    </w:p>
    <w:p w14:paraId="22F79213" w14:textId="77777777" w:rsidR="007C55AD" w:rsidRDefault="007C55AD" w:rsidP="00227081">
      <w:pPr>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color w:val="000000"/>
          <w:sz w:val="22"/>
          <w:szCs w:val="22"/>
        </w:rPr>
      </w:pPr>
    </w:p>
    <w:p w14:paraId="0770C7E3" w14:textId="49C1982B" w:rsidR="00D9433E" w:rsidRDefault="00D9433E" w:rsidP="00227081">
      <w:pPr>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r>
        <w:rPr>
          <w:rFonts w:ascii="Arial" w:hAnsi="Arial"/>
          <w:color w:val="000000"/>
          <w:sz w:val="22"/>
        </w:rPr>
        <w:t>The ‘practical assessment’ measure means that the theoretical estimate is dispensed with, in cases where a practical assessment is possible. This is expected to allow around 2,000 to 3,000 additional incapacity for work claims to be assessed each year. The measure took effect on 1 July 2024 and will run until at least 1 July 2027. However, the plan is that it will continue after that date.</w:t>
      </w:r>
    </w:p>
    <w:p w14:paraId="09C06A77" w14:textId="77777777" w:rsidR="00D9433E" w:rsidRPr="00227081" w:rsidRDefault="00D9433E" w:rsidP="00227081">
      <w:pPr>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p>
    <w:p w14:paraId="2B59DF6E" w14:textId="1C915EB4" w:rsidR="00930140" w:rsidRDefault="00930140" w:rsidP="00930140">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eastAsia="Arial" w:hAnsi="Arial" w:cs="Arial"/>
          <w:b/>
          <w:bCs/>
          <w:sz w:val="22"/>
          <w:szCs w:val="22"/>
        </w:rPr>
      </w:pPr>
      <w:r>
        <w:rPr>
          <w:rFonts w:ascii="Arial" w:hAnsi="Arial"/>
          <w:b/>
          <w:sz w:val="22"/>
        </w:rPr>
        <w:t>Please note:</w:t>
      </w:r>
    </w:p>
    <w:p w14:paraId="40F5707F" w14:textId="0E08F3CF" w:rsidR="00930140" w:rsidRPr="00C37B9D" w:rsidRDefault="00CC5A0D" w:rsidP="00CC5A0D">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eastAsia="Arial" w:hAnsi="Arial" w:cs="Arial"/>
          <w:sz w:val="22"/>
          <w:szCs w:val="22"/>
        </w:rPr>
      </w:pPr>
      <w:r>
        <w:rPr>
          <w:rFonts w:ascii="Arial" w:hAnsi="Arial"/>
          <w:sz w:val="22"/>
        </w:rPr>
        <w:t>The ‘practical assessment’ approach applies to all WIA assessments relating to a date or a period that falls on or after 1 July 2024. It therefore applies to an assessment of an incapacity for work benefit claim, a reassessment of such a claim, an assessment of the reinstatement of an incapacity for work benefit entitlement that has ended and an assessment of whether such an entitlement has arisen after the end of the waiting period.</w:t>
      </w:r>
    </w:p>
    <w:p w14:paraId="389368C6" w14:textId="77777777" w:rsidR="00DB22B4" w:rsidRDefault="00DB22B4" w:rsidP="00DB22B4"/>
    <w:p w14:paraId="26FC2597" w14:textId="2287517B" w:rsidR="006C352D" w:rsidRDefault="006C352D" w:rsidP="00DB22B4">
      <w:pPr>
        <w:rPr>
          <w:rFonts w:ascii="Arial" w:hAnsi="Arial" w:cs="Arial"/>
          <w:b/>
          <w:bCs/>
          <w:sz w:val="22"/>
          <w:szCs w:val="22"/>
        </w:rPr>
      </w:pPr>
      <w:r>
        <w:rPr>
          <w:rFonts w:ascii="Arial" w:hAnsi="Arial"/>
          <w:b/>
          <w:sz w:val="22"/>
        </w:rPr>
        <w:t>Temporary extension of decision-making period for WIA assessments</w:t>
      </w:r>
    </w:p>
    <w:p w14:paraId="6023180A" w14:textId="4F0FBAFD" w:rsidR="006C352D" w:rsidRPr="006F1EFC" w:rsidRDefault="006C352D" w:rsidP="00DB22B4">
      <w:pPr>
        <w:rPr>
          <w:rFonts w:ascii="Arial" w:hAnsi="Arial" w:cs="Arial"/>
          <w:sz w:val="22"/>
          <w:szCs w:val="22"/>
        </w:rPr>
      </w:pPr>
      <w:r>
        <w:rPr>
          <w:rFonts w:ascii="Arial" w:hAnsi="Arial"/>
          <w:sz w:val="22"/>
        </w:rPr>
        <w:t xml:space="preserve">With effect from 1 January 2026 the UWV is temporarily extending the decision-making period for WIA assessments from eight to </w:t>
      </w:r>
      <w:hyperlink r:id="rId56" w:history="1">
        <w:r>
          <w:rPr>
            <w:rStyle w:val="Hyperlink"/>
            <w:rFonts w:ascii="Arial" w:hAnsi="Arial"/>
            <w:sz w:val="22"/>
          </w:rPr>
          <w:t>sixteen weeks</w:t>
        </w:r>
      </w:hyperlink>
      <w:r>
        <w:rPr>
          <w:rFonts w:ascii="Arial" w:hAnsi="Arial"/>
          <w:sz w:val="22"/>
        </w:rPr>
        <w:t>.</w:t>
      </w:r>
    </w:p>
    <w:p w14:paraId="29D4F449" w14:textId="77777777" w:rsidR="006C352D" w:rsidRDefault="006C352D" w:rsidP="00DB22B4">
      <w:pPr>
        <w:rPr>
          <w:rFonts w:ascii="Arial" w:hAnsi="Arial" w:cs="Arial"/>
          <w:b/>
          <w:bCs/>
          <w:sz w:val="22"/>
          <w:szCs w:val="22"/>
        </w:rPr>
      </w:pPr>
    </w:p>
    <w:p w14:paraId="15AD0AFF" w14:textId="260EF5E5" w:rsidR="00DB22B4" w:rsidRPr="006F1EFC" w:rsidRDefault="00DB22B4" w:rsidP="00DB22B4">
      <w:pPr>
        <w:rPr>
          <w:rFonts w:ascii="Arial" w:hAnsi="Arial" w:cs="Arial"/>
          <w:b/>
          <w:bCs/>
          <w:sz w:val="22"/>
          <w:szCs w:val="22"/>
        </w:rPr>
      </w:pPr>
      <w:r>
        <w:rPr>
          <w:rFonts w:ascii="Arial" w:hAnsi="Arial"/>
          <w:b/>
          <w:sz w:val="22"/>
        </w:rPr>
        <w:t>Policy on waiving WIA advance payments to become permanent</w:t>
      </w:r>
    </w:p>
    <w:p w14:paraId="544876D7" w14:textId="7B495F4A" w:rsidR="00DB22B4" w:rsidRDefault="006C352D" w:rsidP="00DB22B4">
      <w:pPr>
        <w:rPr>
          <w:rFonts w:ascii="Arial" w:hAnsi="Arial" w:cs="Arial"/>
          <w:sz w:val="22"/>
          <w:szCs w:val="22"/>
        </w:rPr>
      </w:pPr>
      <w:r>
        <w:rPr>
          <w:rFonts w:ascii="Arial" w:hAnsi="Arial"/>
          <w:sz w:val="22"/>
        </w:rPr>
        <w:t xml:space="preserve">In October 2025 the legislative proposal ‘assessment of re-integration efforts and WIA advance payment scheme’ was put out to an </w:t>
      </w:r>
      <w:hyperlink r:id="rId57" w:history="1">
        <w:r>
          <w:rPr>
            <w:rStyle w:val="Hyperlink"/>
            <w:rFonts w:ascii="Arial" w:hAnsi="Arial"/>
            <w:sz w:val="22"/>
          </w:rPr>
          <w:t>online consultation</w:t>
        </w:r>
      </w:hyperlink>
      <w:r>
        <w:rPr>
          <w:rFonts w:ascii="Arial" w:hAnsi="Arial"/>
          <w:sz w:val="22"/>
        </w:rPr>
        <w:t>. In this legislative proposal the existing policy on the waiving of WIA advance payments is made permanent. This means that people who receive an advance payment in anticipation of their WIA assessment will have the certainty of knowing that they will not have to pay back this advance if it subsequently becomes clear that they are not entitled to a benefit.</w:t>
      </w:r>
    </w:p>
    <w:p w14:paraId="2DA591EA" w14:textId="77777777" w:rsidR="00DB22B4" w:rsidRPr="006F1EFC" w:rsidRDefault="00DB22B4" w:rsidP="00DB22B4">
      <w:pPr>
        <w:rPr>
          <w:rFonts w:ascii="Arial" w:hAnsi="Arial" w:cs="Arial"/>
          <w:sz w:val="22"/>
          <w:szCs w:val="22"/>
        </w:rPr>
      </w:pPr>
    </w:p>
    <w:p w14:paraId="7B6579A8" w14:textId="77777777" w:rsidR="00816581" w:rsidRDefault="00DB22B4" w:rsidP="00816581">
      <w:pPr>
        <w:shd w:val="clear" w:color="auto" w:fill="D9D9D9" w:themeFill="background1" w:themeFillShade="D9"/>
        <w:rPr>
          <w:rFonts w:ascii="Arial" w:hAnsi="Arial" w:cs="Arial"/>
          <w:b/>
          <w:bCs/>
          <w:sz w:val="22"/>
          <w:szCs w:val="22"/>
        </w:rPr>
      </w:pPr>
      <w:r>
        <w:rPr>
          <w:rFonts w:ascii="Arial" w:hAnsi="Arial"/>
          <w:b/>
          <w:sz w:val="22"/>
        </w:rPr>
        <w:t>Please note:</w:t>
      </w:r>
    </w:p>
    <w:p w14:paraId="7B0408D1" w14:textId="05146B4F" w:rsidR="00DB22B4" w:rsidRDefault="00DB22B4" w:rsidP="00816581">
      <w:pPr>
        <w:shd w:val="clear" w:color="auto" w:fill="D9D9D9" w:themeFill="background1" w:themeFillShade="D9"/>
        <w:rPr>
          <w:rFonts w:ascii="Arial" w:hAnsi="Arial" w:cs="Arial"/>
          <w:sz w:val="22"/>
          <w:szCs w:val="22"/>
        </w:rPr>
      </w:pPr>
      <w:r>
        <w:rPr>
          <w:rFonts w:ascii="Arial" w:hAnsi="Arial"/>
          <w:sz w:val="22"/>
        </w:rPr>
        <w:t>If, following the WIA assessment, it emerges that there was an entitlement to a benefit under the Return to Work (Partially Disabled) Regulations (WGA) or Unemployment Insurance Act (WW) during the advance payment period, the advance can, however, be offset against these benefits.</w:t>
      </w:r>
    </w:p>
    <w:p w14:paraId="5ACB1F19" w14:textId="77777777" w:rsidR="00DB22B4" w:rsidRDefault="00DB22B4" w:rsidP="00DB22B4">
      <w:pPr>
        <w:rPr>
          <w:rFonts w:ascii="Arial" w:hAnsi="Arial" w:cs="Arial"/>
          <w:sz w:val="22"/>
          <w:szCs w:val="22"/>
        </w:rPr>
      </w:pPr>
    </w:p>
    <w:p w14:paraId="08461569" w14:textId="55579C24" w:rsidR="00DB22B4" w:rsidRPr="006F1EFC" w:rsidRDefault="00DB22B4" w:rsidP="006F1EFC">
      <w:pPr>
        <w:rPr>
          <w:rFonts w:ascii="Arial" w:hAnsi="Arial" w:cs="Arial"/>
          <w:b/>
          <w:bCs/>
          <w:sz w:val="22"/>
          <w:szCs w:val="22"/>
        </w:rPr>
      </w:pPr>
      <w:r>
        <w:rPr>
          <w:rFonts w:ascii="Arial" w:hAnsi="Arial"/>
          <w:b/>
          <w:sz w:val="22"/>
        </w:rPr>
        <w:t>Medical opinion of company doctor decisive for assessment of reintegration efforts</w:t>
      </w:r>
    </w:p>
    <w:p w14:paraId="49868FD8" w14:textId="7C796F5E" w:rsidR="006C352D" w:rsidRDefault="006C352D" w:rsidP="00DB22B4">
      <w:pPr>
        <w:rPr>
          <w:rFonts w:ascii="Arial" w:hAnsi="Arial" w:cs="Arial"/>
          <w:sz w:val="22"/>
          <w:szCs w:val="22"/>
        </w:rPr>
      </w:pPr>
      <w:r>
        <w:rPr>
          <w:rFonts w:ascii="Arial" w:hAnsi="Arial"/>
          <w:sz w:val="22"/>
        </w:rPr>
        <w:t>The legislative proposal put out to an online consultation also includes the proposal to make the medical opinion of the company doctor decisive when assessing whether sufficient efforts have been made to reintegrate the employee.</w:t>
      </w:r>
    </w:p>
    <w:p w14:paraId="79622B50" w14:textId="77777777" w:rsidR="006C352D" w:rsidRDefault="006C352D" w:rsidP="00DB22B4">
      <w:pPr>
        <w:rPr>
          <w:rFonts w:ascii="Arial" w:hAnsi="Arial" w:cs="Arial"/>
          <w:sz w:val="22"/>
          <w:szCs w:val="22"/>
        </w:rPr>
      </w:pPr>
    </w:p>
    <w:p w14:paraId="29B16137" w14:textId="7C519E9F" w:rsidR="006C352D" w:rsidRDefault="006C352D" w:rsidP="006C352D">
      <w:pPr>
        <w:rPr>
          <w:rFonts w:ascii="Arial" w:hAnsi="Arial" w:cs="Arial"/>
          <w:sz w:val="22"/>
          <w:szCs w:val="22"/>
        </w:rPr>
      </w:pPr>
      <w:r>
        <w:rPr>
          <w:rFonts w:ascii="Arial" w:hAnsi="Arial"/>
          <w:sz w:val="22"/>
        </w:rPr>
        <w:lastRenderedPageBreak/>
        <w:t xml:space="preserve">Before the end of the period during which the employer has to continue salary payments (in principle 104 weeks) – known as the waiting period – the UWV determines whether the employer has done enough to try to reintegrate the employee who has been affected by long-term incapacity for work. This assessment is known as the </w:t>
      </w:r>
      <w:r>
        <w:rPr>
          <w:rFonts w:ascii="Arial" w:hAnsi="Arial"/>
          <w:i/>
          <w:iCs/>
          <w:sz w:val="22"/>
        </w:rPr>
        <w:t>poortwachterstoets</w:t>
      </w:r>
      <w:r>
        <w:rPr>
          <w:rFonts w:ascii="Arial" w:hAnsi="Arial"/>
          <w:sz w:val="22"/>
        </w:rPr>
        <w:t xml:space="preserve"> or </w:t>
      </w:r>
      <w:r>
        <w:rPr>
          <w:rFonts w:ascii="Arial" w:hAnsi="Arial"/>
          <w:i/>
          <w:iCs/>
          <w:sz w:val="22"/>
        </w:rPr>
        <w:t>RIV-toets</w:t>
      </w:r>
      <w:r>
        <w:rPr>
          <w:rFonts w:ascii="Arial" w:hAnsi="Arial"/>
          <w:sz w:val="22"/>
        </w:rPr>
        <w:t>. If the UWV’s opinion is that too little has been done to reintegrate the employee, the UWV can impose a penalty, which extends the obligation to continue paying the employee’s salary by 52 weeks as standard. If the employer takes steps to address the shortcomings identified in the area of reintegration, it can ask for the duration of the penalty to be reduced.</w:t>
      </w:r>
    </w:p>
    <w:p w14:paraId="6BBDA60E" w14:textId="77777777" w:rsidR="007C55AD" w:rsidRDefault="006C352D" w:rsidP="00DB22B4">
      <w:pPr>
        <w:rPr>
          <w:rFonts w:ascii="Arial" w:hAnsi="Arial" w:cs="Arial"/>
          <w:sz w:val="22"/>
          <w:szCs w:val="22"/>
        </w:rPr>
      </w:pPr>
      <w:r>
        <w:rPr>
          <w:rFonts w:ascii="Arial" w:hAnsi="Arial"/>
          <w:sz w:val="22"/>
        </w:rPr>
        <w:t>At present, such a penalty can also be imposed when there is a difference of opinion between the company doctor and the insurer’s medical advisor regarding the employee’s employability, even though the employer relied on the company doctor’s opinion in good faith. To remove this uncertainty, it is being proposed that the company doctor’s opinion should be decisive with regard to the assessment of reintegration efforts.</w:t>
      </w:r>
    </w:p>
    <w:p w14:paraId="43B7C9B5" w14:textId="4599B5E1" w:rsidR="00DB22B4" w:rsidRPr="006F1EFC" w:rsidRDefault="00DB22B4" w:rsidP="00DB22B4"/>
    <w:p w14:paraId="2AE1ABAD" w14:textId="389FDC13" w:rsidR="00D4170A" w:rsidRPr="00131537" w:rsidRDefault="00745434" w:rsidP="00D4170A">
      <w:pPr>
        <w:rPr>
          <w:rFonts w:ascii="Arial" w:hAnsi="Arial" w:cs="Arial"/>
          <w:b/>
          <w:bCs/>
          <w:sz w:val="22"/>
          <w:szCs w:val="22"/>
        </w:rPr>
      </w:pPr>
      <w:r>
        <w:rPr>
          <w:rFonts w:ascii="Arial" w:hAnsi="Arial"/>
          <w:b/>
          <w:sz w:val="22"/>
        </w:rPr>
        <w:t>Interdepartmental Policy Study (IBO) on the WIA</w:t>
      </w:r>
    </w:p>
    <w:p w14:paraId="174ECEF9" w14:textId="73FD9B0F" w:rsidR="00745434" w:rsidRPr="00131537" w:rsidRDefault="001162DA" w:rsidP="00D4170A">
      <w:pPr>
        <w:rPr>
          <w:rFonts w:ascii="Arial" w:hAnsi="Arial" w:cs="Arial"/>
          <w:sz w:val="22"/>
          <w:szCs w:val="22"/>
        </w:rPr>
      </w:pPr>
      <w:r>
        <w:rPr>
          <w:rFonts w:ascii="Arial" w:hAnsi="Arial"/>
          <w:sz w:val="22"/>
        </w:rPr>
        <w:t>The Interdepartmental Policy Study on the WIA also notes that the incapacity for work system is in gridlock and that changes are urgently needed. The report ‘</w:t>
      </w:r>
      <w:r>
        <w:rPr>
          <w:rFonts w:ascii="Arial" w:hAnsi="Arial"/>
          <w:i/>
          <w:iCs/>
          <w:sz w:val="22"/>
        </w:rPr>
        <w:t>Werk aan de WIA – naar een stelsel dat weer werkt</w:t>
      </w:r>
      <w:r>
        <w:rPr>
          <w:rFonts w:ascii="Arial" w:hAnsi="Arial"/>
          <w:sz w:val="22"/>
        </w:rPr>
        <w:t>’ (‘Working on the WIA –</w:t>
      </w:r>
      <w:r w:rsidR="00954090">
        <w:rPr>
          <w:rFonts w:ascii="Arial" w:hAnsi="Arial"/>
          <w:sz w:val="22"/>
        </w:rPr>
        <w:t xml:space="preserve"> </w:t>
      </w:r>
      <w:r>
        <w:rPr>
          <w:rFonts w:ascii="Arial" w:hAnsi="Arial"/>
          <w:sz w:val="22"/>
        </w:rPr>
        <w:t>getting back to a system that works’), which was presented to the Lower House on 12 December 2025, makes the following recommendations, amongst others:</w:t>
      </w:r>
    </w:p>
    <w:p w14:paraId="5C103402" w14:textId="194773D1" w:rsidR="00745434" w:rsidRPr="00131537" w:rsidRDefault="001162DA" w:rsidP="002F233C">
      <w:pPr>
        <w:pStyle w:val="Lijstalinea"/>
        <w:numPr>
          <w:ilvl w:val="0"/>
          <w:numId w:val="33"/>
        </w:numPr>
        <w:rPr>
          <w:rFonts w:ascii="Arial" w:hAnsi="Arial" w:cs="Arial"/>
        </w:rPr>
      </w:pPr>
      <w:r>
        <w:rPr>
          <w:rFonts w:ascii="Arial" w:hAnsi="Arial"/>
        </w:rPr>
        <w:t>socio-medical assessments should no longer be performed solely by insurers’ medical advisors,</w:t>
      </w:r>
    </w:p>
    <w:p w14:paraId="20D37337" w14:textId="67CFF315" w:rsidR="00745434" w:rsidRPr="00131537" w:rsidRDefault="001162DA" w:rsidP="002F233C">
      <w:pPr>
        <w:pStyle w:val="Lijstalinea"/>
        <w:numPr>
          <w:ilvl w:val="0"/>
          <w:numId w:val="33"/>
        </w:numPr>
        <w:rPr>
          <w:rFonts w:ascii="Arial" w:hAnsi="Arial" w:cs="Arial"/>
        </w:rPr>
      </w:pPr>
      <w:r>
        <w:rPr>
          <w:rFonts w:ascii="Arial" w:hAnsi="Arial"/>
        </w:rPr>
        <w:t>strict conditions should apply to requests for reassessment,</w:t>
      </w:r>
    </w:p>
    <w:p w14:paraId="2872089F" w14:textId="7FCE81F6" w:rsidR="001162DA" w:rsidRPr="00131537" w:rsidRDefault="001162DA" w:rsidP="002F233C">
      <w:pPr>
        <w:pStyle w:val="Lijstalinea"/>
        <w:numPr>
          <w:ilvl w:val="0"/>
          <w:numId w:val="33"/>
        </w:numPr>
        <w:rPr>
          <w:rFonts w:ascii="Arial" w:hAnsi="Arial" w:cs="Arial"/>
        </w:rPr>
      </w:pPr>
      <w:r>
        <w:rPr>
          <w:rFonts w:ascii="Arial" w:hAnsi="Arial"/>
        </w:rPr>
        <w:t>benefits under the Full Invalidity Benefit Regulations (IVA) should be abolished for new cases, and</w:t>
      </w:r>
    </w:p>
    <w:p w14:paraId="0D30F83F" w14:textId="79CAF7FD" w:rsidR="001162DA" w:rsidRPr="00131537" w:rsidRDefault="001162DA" w:rsidP="002F233C">
      <w:pPr>
        <w:pStyle w:val="Lijstalinea"/>
        <w:numPr>
          <w:ilvl w:val="0"/>
          <w:numId w:val="33"/>
        </w:numPr>
        <w:rPr>
          <w:rFonts w:ascii="Arial" w:hAnsi="Arial" w:cs="Arial"/>
        </w:rPr>
      </w:pPr>
      <w:r>
        <w:rPr>
          <w:rFonts w:ascii="Arial" w:hAnsi="Arial"/>
        </w:rPr>
        <w:t>there should be a focus on prevention and activation, for example by stepping up the monitoring of and increasing support for reintegration under the WIA.</w:t>
      </w:r>
    </w:p>
    <w:p w14:paraId="3A0EE425" w14:textId="77777777" w:rsidR="00F266F3" w:rsidRPr="00417522" w:rsidRDefault="00F266F3" w:rsidP="00417522">
      <w:pPr>
        <w:rPr>
          <w:rFonts w:ascii="Arial" w:eastAsia="Arial" w:hAnsi="Arial" w:cs="Arial"/>
          <w:sz w:val="22"/>
          <w:szCs w:val="22"/>
        </w:rPr>
      </w:pPr>
      <w:bookmarkStart w:id="93" w:name="_Toc152927222"/>
      <w:bookmarkStart w:id="94" w:name="_Toc152927345"/>
      <w:bookmarkStart w:id="95" w:name="_Toc152927352"/>
      <w:bookmarkStart w:id="96" w:name="_Toc155866645"/>
      <w:bookmarkEnd w:id="93"/>
      <w:bookmarkEnd w:id="94"/>
    </w:p>
    <w:p w14:paraId="1D219B51" w14:textId="3B35FAA9" w:rsidR="00510573" w:rsidRDefault="00CA3695" w:rsidP="00957F2F">
      <w:pPr>
        <w:pStyle w:val="Kop2"/>
        <w:ind w:hanging="283"/>
        <w:rPr>
          <w:rFonts w:eastAsia="Arial"/>
        </w:rPr>
      </w:pPr>
      <w:r>
        <w:t>Legislative proposal to increase security for flexiworkers</w:t>
      </w:r>
    </w:p>
    <w:p w14:paraId="6997B100" w14:textId="77777777" w:rsidR="00510573" w:rsidRDefault="00510573" w:rsidP="00510573">
      <w:pPr>
        <w:rPr>
          <w:rFonts w:eastAsia="Arial"/>
        </w:rPr>
      </w:pPr>
    </w:p>
    <w:p w14:paraId="74A5C2CB" w14:textId="43B09A8E" w:rsidR="00CA3695" w:rsidRPr="00CA3695" w:rsidRDefault="00CA3695" w:rsidP="00CA3695">
      <w:pPr>
        <w:rPr>
          <w:rFonts w:ascii="Arial" w:eastAsia="Arial" w:hAnsi="Arial" w:cs="Arial"/>
          <w:sz w:val="22"/>
          <w:szCs w:val="22"/>
        </w:rPr>
      </w:pPr>
      <w:r>
        <w:rPr>
          <w:rFonts w:ascii="Arial" w:hAnsi="Arial"/>
          <w:sz w:val="22"/>
        </w:rPr>
        <w:t>On 19 May 2025 the legislative proposal ‘</w:t>
      </w:r>
      <w:r>
        <w:rPr>
          <w:rFonts w:ascii="Arial" w:hAnsi="Arial"/>
          <w:i/>
          <w:iCs/>
          <w:sz w:val="22"/>
        </w:rPr>
        <w:t>Meer zekerheid voor flexwerkers</w:t>
      </w:r>
      <w:r>
        <w:rPr>
          <w:rFonts w:ascii="Arial" w:hAnsi="Arial"/>
          <w:sz w:val="22"/>
        </w:rPr>
        <w:t>’ (‘More security for flexiworkers’) was submitted to the Lower House. Its aim is to offer greater security to workers who are employed under a temporary employment contract or on-call contract, for example. The plan is to introduce the new law on 1 January 2027.</w:t>
      </w:r>
    </w:p>
    <w:p w14:paraId="162EC92E" w14:textId="77777777" w:rsidR="00CA3695" w:rsidRPr="00CA3695" w:rsidRDefault="00CA3695" w:rsidP="00CA3695">
      <w:pPr>
        <w:rPr>
          <w:rFonts w:ascii="Arial" w:eastAsia="Arial" w:hAnsi="Arial" w:cs="Arial"/>
          <w:sz w:val="22"/>
          <w:szCs w:val="22"/>
        </w:rPr>
      </w:pPr>
    </w:p>
    <w:p w14:paraId="1BE89EB0" w14:textId="77777777" w:rsidR="00CA3695" w:rsidRPr="00CA3695" w:rsidRDefault="00CA3695" w:rsidP="00CA3695">
      <w:pPr>
        <w:rPr>
          <w:rFonts w:ascii="Arial" w:eastAsia="Arial" w:hAnsi="Arial" w:cs="Arial"/>
          <w:sz w:val="22"/>
          <w:szCs w:val="22"/>
        </w:rPr>
      </w:pPr>
      <w:r>
        <w:rPr>
          <w:rFonts w:ascii="Arial" w:hAnsi="Arial"/>
          <w:sz w:val="22"/>
        </w:rPr>
        <w:t>This is the first major legislative proposal from the labour market package to be brought before the Lower House. What are its key components?</w:t>
      </w:r>
    </w:p>
    <w:p w14:paraId="461C8986" w14:textId="77777777" w:rsidR="00CA3695" w:rsidRPr="00CA3695" w:rsidRDefault="00CA3695" w:rsidP="00CA3695">
      <w:pPr>
        <w:rPr>
          <w:rFonts w:ascii="Arial" w:eastAsia="Arial" w:hAnsi="Arial" w:cs="Arial"/>
          <w:sz w:val="22"/>
          <w:szCs w:val="22"/>
        </w:rPr>
      </w:pPr>
    </w:p>
    <w:p w14:paraId="4FD4AD60" w14:textId="77777777" w:rsidR="00CA3695" w:rsidRPr="00C414CA" w:rsidRDefault="00CA3695" w:rsidP="00CA3695">
      <w:pPr>
        <w:rPr>
          <w:rFonts w:ascii="Arial" w:eastAsia="Arial" w:hAnsi="Arial" w:cs="Arial"/>
          <w:b/>
          <w:bCs/>
          <w:sz w:val="22"/>
          <w:szCs w:val="22"/>
        </w:rPr>
      </w:pPr>
      <w:r>
        <w:rPr>
          <w:rFonts w:ascii="Arial" w:hAnsi="Arial"/>
          <w:b/>
          <w:sz w:val="22"/>
        </w:rPr>
        <w:t>Same employment conditions</w:t>
      </w:r>
    </w:p>
    <w:p w14:paraId="2D0C1198" w14:textId="77777777" w:rsidR="00CA3695" w:rsidRPr="00CA3695" w:rsidRDefault="00CA3695" w:rsidP="00CA3695">
      <w:pPr>
        <w:rPr>
          <w:rFonts w:ascii="Arial" w:eastAsia="Arial" w:hAnsi="Arial" w:cs="Arial"/>
          <w:sz w:val="22"/>
          <w:szCs w:val="22"/>
        </w:rPr>
      </w:pPr>
      <w:r>
        <w:rPr>
          <w:rFonts w:ascii="Arial" w:hAnsi="Arial"/>
          <w:sz w:val="22"/>
        </w:rPr>
        <w:t>Temporary workers will be legally entitled to at least the same employment conditions as regular employees of the company that hires them.</w:t>
      </w:r>
    </w:p>
    <w:p w14:paraId="430BC644" w14:textId="77777777" w:rsidR="00CA3695" w:rsidRPr="00CA3695" w:rsidRDefault="00CA3695" w:rsidP="00CA3695">
      <w:pPr>
        <w:rPr>
          <w:rFonts w:ascii="Arial" w:eastAsia="Arial" w:hAnsi="Arial" w:cs="Arial"/>
          <w:sz w:val="22"/>
          <w:szCs w:val="22"/>
        </w:rPr>
      </w:pPr>
    </w:p>
    <w:p w14:paraId="35C1F492" w14:textId="2CAB2587" w:rsidR="00CA3695" w:rsidRPr="00CA3695" w:rsidRDefault="00CA3695" w:rsidP="00CA3695">
      <w:pPr>
        <w:rPr>
          <w:rFonts w:ascii="Arial" w:eastAsia="Arial" w:hAnsi="Arial" w:cs="Arial"/>
          <w:sz w:val="22"/>
          <w:szCs w:val="22"/>
        </w:rPr>
      </w:pPr>
      <w:r>
        <w:rPr>
          <w:rFonts w:ascii="Arial" w:hAnsi="Arial"/>
          <w:sz w:val="22"/>
        </w:rPr>
        <w:t xml:space="preserve">The first phase of temporary employment (phase A for ABU employment agencies and phase 1/2 for NBBU employment agencies) will be shortened: from a maximum of eighteen to a maximum of twelve months. During this first phase a temporary worker has little security. Shortening this phase will allow this target group to benefit from greater security and put a stop to the exploitation of migrant workers, for example. </w:t>
      </w:r>
    </w:p>
    <w:p w14:paraId="6CD06505" w14:textId="77777777" w:rsidR="00CA3695" w:rsidRDefault="00CA3695" w:rsidP="00CA3695">
      <w:pPr>
        <w:rPr>
          <w:rFonts w:ascii="Arial" w:eastAsia="Arial" w:hAnsi="Arial" w:cs="Arial"/>
          <w:sz w:val="22"/>
          <w:szCs w:val="22"/>
        </w:rPr>
      </w:pPr>
    </w:p>
    <w:p w14:paraId="03331DA0" w14:textId="77777777" w:rsidR="007C4EBB" w:rsidRDefault="007C4EBB" w:rsidP="00CA3695">
      <w:pPr>
        <w:rPr>
          <w:rFonts w:ascii="Arial" w:eastAsia="Arial" w:hAnsi="Arial" w:cs="Arial"/>
          <w:sz w:val="22"/>
          <w:szCs w:val="22"/>
        </w:rPr>
      </w:pPr>
    </w:p>
    <w:p w14:paraId="4A4B13A8" w14:textId="77777777" w:rsidR="007C4EBB" w:rsidRPr="00CA3695" w:rsidRDefault="007C4EBB" w:rsidP="00CA3695">
      <w:pPr>
        <w:rPr>
          <w:rFonts w:ascii="Arial" w:eastAsia="Arial" w:hAnsi="Arial" w:cs="Arial"/>
          <w:sz w:val="22"/>
          <w:szCs w:val="22"/>
        </w:rPr>
      </w:pPr>
    </w:p>
    <w:p w14:paraId="0A3C53A1" w14:textId="77777777" w:rsidR="00F266F3" w:rsidRPr="00DF3887" w:rsidRDefault="00C414CA" w:rsidP="00DF3887">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eastAsia="Arial" w:hAnsi="Arial" w:cs="Arial"/>
          <w:b/>
          <w:bCs/>
          <w:sz w:val="22"/>
          <w:szCs w:val="22"/>
        </w:rPr>
      </w:pPr>
      <w:r>
        <w:rPr>
          <w:rFonts w:ascii="Arial" w:hAnsi="Arial"/>
          <w:b/>
          <w:sz w:val="22"/>
        </w:rPr>
        <w:lastRenderedPageBreak/>
        <w:t>Please note:</w:t>
      </w:r>
    </w:p>
    <w:p w14:paraId="0E438EA0" w14:textId="476B6E0C" w:rsidR="00CA3695" w:rsidRPr="00DF3887" w:rsidRDefault="00C414CA" w:rsidP="00DF3887">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eastAsia="Arial" w:hAnsi="Arial" w:cs="Arial"/>
          <w:sz w:val="22"/>
          <w:szCs w:val="22"/>
        </w:rPr>
      </w:pPr>
      <w:r>
        <w:rPr>
          <w:rFonts w:ascii="Arial" w:hAnsi="Arial"/>
          <w:sz w:val="22"/>
        </w:rPr>
        <w:t>An exception will apply to social development companies. These companies must be able to continue paying workers with an occupational disability on the basis of their own collective labour agreement, even if they are loaned out to other companies.</w:t>
      </w:r>
    </w:p>
    <w:p w14:paraId="0FA5F8B5" w14:textId="77777777" w:rsidR="00DF3887" w:rsidRDefault="00DF3887" w:rsidP="00CA3695">
      <w:pPr>
        <w:rPr>
          <w:rFonts w:ascii="Arial" w:eastAsia="Arial" w:hAnsi="Arial" w:cs="Arial"/>
          <w:b/>
          <w:bCs/>
          <w:sz w:val="22"/>
          <w:szCs w:val="22"/>
        </w:rPr>
      </w:pPr>
    </w:p>
    <w:p w14:paraId="50C347A5" w14:textId="7F698F28" w:rsidR="00CA3695" w:rsidRPr="00C414CA" w:rsidRDefault="00CA3695" w:rsidP="00CA3695">
      <w:pPr>
        <w:rPr>
          <w:rFonts w:ascii="Arial" w:eastAsia="Arial" w:hAnsi="Arial" w:cs="Arial"/>
          <w:b/>
          <w:bCs/>
          <w:sz w:val="22"/>
          <w:szCs w:val="22"/>
        </w:rPr>
      </w:pPr>
      <w:r>
        <w:rPr>
          <w:rFonts w:ascii="Arial" w:hAnsi="Arial"/>
          <w:b/>
          <w:sz w:val="22"/>
        </w:rPr>
        <w:t>Permanent employment offered sooner</w:t>
      </w:r>
    </w:p>
    <w:p w14:paraId="6EA075A2" w14:textId="0AF15C81" w:rsidR="00CA3695" w:rsidRPr="00CA3695" w:rsidRDefault="00CA3695" w:rsidP="00CA3695">
      <w:pPr>
        <w:rPr>
          <w:rFonts w:ascii="Arial" w:eastAsia="Arial" w:hAnsi="Arial" w:cs="Arial"/>
          <w:sz w:val="22"/>
          <w:szCs w:val="22"/>
        </w:rPr>
      </w:pPr>
      <w:r>
        <w:rPr>
          <w:rFonts w:ascii="Arial" w:hAnsi="Arial"/>
          <w:sz w:val="22"/>
        </w:rPr>
        <w:t>The intention is for workers to be offered permanent employment sooner, after their temporary contract has ended. At the moment, after three temporary contracts a period of more than six months must pass before a worker is offered a new temporary contract. This six-month period is being extended to five years to combat so-called revolving-door arrangements. Only a limited number of exceptions may be included in a collective labour agreement.</w:t>
      </w:r>
    </w:p>
    <w:p w14:paraId="18D4C8A3" w14:textId="77777777" w:rsidR="00CA3695" w:rsidRPr="00C414CA" w:rsidRDefault="00CA3695" w:rsidP="00CA3695">
      <w:pPr>
        <w:rPr>
          <w:rFonts w:ascii="Arial" w:eastAsia="Arial" w:hAnsi="Arial" w:cs="Arial"/>
          <w:b/>
          <w:bCs/>
          <w:sz w:val="22"/>
          <w:szCs w:val="22"/>
        </w:rPr>
      </w:pPr>
      <w:r>
        <w:rPr>
          <w:rFonts w:ascii="Arial" w:hAnsi="Arial"/>
          <w:b/>
          <w:sz w:val="22"/>
        </w:rPr>
        <w:t>On-call contract to become permanent basic contract</w:t>
      </w:r>
    </w:p>
    <w:p w14:paraId="3621C339" w14:textId="1DC2517F" w:rsidR="00CA3695" w:rsidRPr="00CA3695" w:rsidRDefault="00CA3695" w:rsidP="00CA3695">
      <w:pPr>
        <w:rPr>
          <w:rFonts w:ascii="Arial" w:eastAsia="Arial" w:hAnsi="Arial" w:cs="Arial"/>
          <w:sz w:val="22"/>
          <w:szCs w:val="22"/>
        </w:rPr>
      </w:pPr>
      <w:r>
        <w:rPr>
          <w:rFonts w:ascii="Arial" w:hAnsi="Arial"/>
          <w:sz w:val="22"/>
        </w:rPr>
        <w:t>If the government gets its way, on-call contracts will become permanent basic contracts. These will include a minimum number of hours that a person will be scheduled to work as standard. If they end up working consistently more hours than this, after a year the employer must offer to adjust the number of hours. In this way, workers will always know what their minimum earnings will be and where they stand.</w:t>
      </w:r>
    </w:p>
    <w:p w14:paraId="484B296A" w14:textId="77777777" w:rsidR="00CA3695" w:rsidRPr="00CA3695" w:rsidRDefault="00CA3695" w:rsidP="00CA3695">
      <w:pPr>
        <w:rPr>
          <w:rFonts w:ascii="Arial" w:eastAsia="Arial" w:hAnsi="Arial" w:cs="Arial"/>
          <w:sz w:val="22"/>
          <w:szCs w:val="22"/>
        </w:rPr>
      </w:pPr>
    </w:p>
    <w:p w14:paraId="06809AD5" w14:textId="1E42832A" w:rsidR="00CA3695" w:rsidRPr="00CA3695" w:rsidRDefault="00CA3695" w:rsidP="00CA3695">
      <w:pPr>
        <w:rPr>
          <w:rFonts w:ascii="Arial" w:eastAsia="Arial" w:hAnsi="Arial" w:cs="Arial"/>
          <w:sz w:val="22"/>
          <w:szCs w:val="22"/>
        </w:rPr>
      </w:pPr>
      <w:r>
        <w:rPr>
          <w:rFonts w:ascii="Arial" w:hAnsi="Arial"/>
          <w:sz w:val="22"/>
        </w:rPr>
        <w:t>School pupils and students can continue to work on the basis of an on-call contract, provided that it is a part-time job for a maximum of sixteen hours a week and they are under 18 years of age or registered with an educational institution. For other workers flexibility can be achieved through their basic contract or by agreeing on standard annual hours, for example. Under the basic contract a person’s working hours can be increased to up to 130% of the standard hours. This means that if a contract for ten hours is agreed, the worker may be scheduled for a maximum of thirteen hours.</w:t>
      </w:r>
    </w:p>
    <w:p w14:paraId="0EC09042" w14:textId="77777777" w:rsidR="00CA3695" w:rsidRPr="00CA3695" w:rsidRDefault="00CA3695" w:rsidP="00CA3695">
      <w:pPr>
        <w:rPr>
          <w:rFonts w:ascii="Arial" w:eastAsia="Arial" w:hAnsi="Arial" w:cs="Arial"/>
          <w:sz w:val="22"/>
          <w:szCs w:val="22"/>
        </w:rPr>
      </w:pPr>
    </w:p>
    <w:p w14:paraId="502D10DC" w14:textId="77777777" w:rsidR="00F266F3" w:rsidRDefault="00CA3695" w:rsidP="00C414CA">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eastAsia="Arial" w:hAnsi="Arial" w:cs="Arial"/>
          <w:sz w:val="22"/>
          <w:szCs w:val="22"/>
        </w:rPr>
      </w:pPr>
      <w:r>
        <w:rPr>
          <w:rFonts w:ascii="Arial" w:hAnsi="Arial"/>
          <w:b/>
          <w:sz w:val="22"/>
        </w:rPr>
        <w:t>Please note:</w:t>
      </w:r>
    </w:p>
    <w:p w14:paraId="271F8C7B" w14:textId="1C420FEF" w:rsidR="00C414CA" w:rsidRPr="00994FAE" w:rsidRDefault="00CA3695" w:rsidP="00C414CA">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r>
        <w:rPr>
          <w:rFonts w:ascii="Arial" w:hAnsi="Arial"/>
          <w:sz w:val="22"/>
        </w:rPr>
        <w:t>This legislative proposal is yet to be approved by the Lower and Upper House.</w:t>
      </w:r>
    </w:p>
    <w:bookmarkEnd w:id="95"/>
    <w:bookmarkEnd w:id="96"/>
    <w:p w14:paraId="0DC37EA3" w14:textId="6E7CC728" w:rsidR="00602DDA" w:rsidRPr="00602DDA" w:rsidRDefault="00602DDA" w:rsidP="00602DDA">
      <w:pPr>
        <w:rPr>
          <w:rFonts w:ascii="Arial" w:hAnsi="Arial" w:cs="Arial"/>
          <w:sz w:val="22"/>
          <w:szCs w:val="22"/>
        </w:rPr>
      </w:pPr>
    </w:p>
    <w:p w14:paraId="4F2C4CE5" w14:textId="6C458562" w:rsidR="001A5ED1" w:rsidRDefault="0028645C" w:rsidP="00957F2F">
      <w:pPr>
        <w:pStyle w:val="Kop2"/>
        <w:ind w:hanging="283"/>
        <w:rPr>
          <w:sz w:val="22"/>
        </w:rPr>
      </w:pPr>
      <w:bookmarkStart w:id="97" w:name="_Toc155866648"/>
      <w:bookmarkStart w:id="98" w:name="_Toc152927355"/>
      <w:r>
        <w:t xml:space="preserve">Accreditation system for employment agencies </w:t>
      </w:r>
      <w:bookmarkEnd w:id="97"/>
    </w:p>
    <w:p w14:paraId="398767E7" w14:textId="77777777" w:rsidR="00F07767" w:rsidRDefault="00F07767" w:rsidP="001A5ED1">
      <w:pPr>
        <w:pStyle w:val="Normaalweb"/>
        <w:spacing w:before="0" w:beforeAutospacing="0" w:after="0" w:afterAutospacing="0"/>
        <w:rPr>
          <w:rFonts w:ascii="Arial" w:hAnsi="Arial" w:cs="Arial"/>
          <w:sz w:val="22"/>
          <w:szCs w:val="22"/>
          <w:lang w:val="nl-NL"/>
        </w:rPr>
      </w:pPr>
    </w:p>
    <w:bookmarkEnd w:id="98"/>
    <w:p w14:paraId="0BE9A16E" w14:textId="121AFF87" w:rsidR="001A5ED1" w:rsidRDefault="00E91A96" w:rsidP="001A5ED1">
      <w:pPr>
        <w:pStyle w:val="Normaalweb"/>
        <w:spacing w:before="0" w:beforeAutospacing="0" w:after="0" w:afterAutospacing="0"/>
        <w:rPr>
          <w:rFonts w:ascii="Arial" w:hAnsi="Arial" w:cs="Arial"/>
          <w:sz w:val="22"/>
          <w:szCs w:val="22"/>
        </w:rPr>
      </w:pPr>
      <w:r>
        <w:rPr>
          <w:rFonts w:ascii="Arial" w:hAnsi="Arial"/>
          <w:sz w:val="22"/>
        </w:rPr>
        <w:t>From 1 January 2028 suppliers of personnel (i.e. employment agencies and other companies that hire out staff) will only be able to engage in this activity if they hold accreditation (a permit).</w:t>
      </w:r>
    </w:p>
    <w:p w14:paraId="63A49EB1" w14:textId="4B29F040" w:rsidR="00F27EBA" w:rsidRDefault="0028645C" w:rsidP="007E183B">
      <w:pPr>
        <w:pStyle w:val="Normaalweb"/>
        <w:rPr>
          <w:rFonts w:ascii="Arial" w:hAnsi="Arial" w:cs="Arial"/>
          <w:sz w:val="22"/>
          <w:szCs w:val="22"/>
        </w:rPr>
      </w:pPr>
      <w:r>
        <w:rPr>
          <w:rFonts w:ascii="Arial" w:hAnsi="Arial"/>
          <w:b/>
          <w:sz w:val="22"/>
        </w:rPr>
        <w:t>Accreditation system</w:t>
      </w:r>
      <w:r>
        <w:rPr>
          <w:rFonts w:ascii="Arial" w:hAnsi="Arial"/>
          <w:b/>
          <w:sz w:val="22"/>
        </w:rPr>
        <w:br/>
      </w:r>
      <w:r>
        <w:rPr>
          <w:rFonts w:ascii="Arial" w:hAnsi="Arial"/>
          <w:sz w:val="22"/>
        </w:rPr>
        <w:t>The Provision of Personnel Accreditation Act (Wtta) was passed by the Upper House on 11 November 2025. It introduces an accreditation system for parties that hire out personnel (suppliers). Both the Act and the accreditation system will enter into force on 1 January 2027. Companies that want to continue hiring out staff will need to register with the Dutch Temporary Employment Authority (</w:t>
      </w:r>
      <w:r>
        <w:rPr>
          <w:rFonts w:ascii="Arial" w:hAnsi="Arial"/>
          <w:i/>
          <w:iCs/>
          <w:sz w:val="22"/>
        </w:rPr>
        <w:t>Nederlandse Autoriteit Uitleenmarkt</w:t>
      </w:r>
      <w:r>
        <w:rPr>
          <w:rFonts w:ascii="Arial" w:hAnsi="Arial"/>
          <w:sz w:val="22"/>
        </w:rPr>
        <w:t xml:space="preserve"> – NAU) before that date.</w:t>
      </w:r>
    </w:p>
    <w:p w14:paraId="264BFA28" w14:textId="2CE3E663" w:rsidR="0028645C" w:rsidRDefault="00811740" w:rsidP="007E183B">
      <w:pPr>
        <w:pStyle w:val="Normaalweb"/>
        <w:rPr>
          <w:rFonts w:ascii="Arial" w:hAnsi="Arial" w:cs="Arial"/>
          <w:sz w:val="22"/>
          <w:szCs w:val="22"/>
        </w:rPr>
      </w:pPr>
      <w:r>
        <w:rPr>
          <w:rFonts w:ascii="Arial" w:hAnsi="Arial"/>
          <w:sz w:val="22"/>
        </w:rPr>
        <w:t>The Netherlands Labour Authority will start enforcing the rules on 1 January 2028. From that date, suppliers who are operating on the labour market without accreditation will receive a fine. This fine will also apply to companies (hirers) that use non-accredited employment agencies. From 1 January 2028 suppliers will only be permitted to make workers available if they hold the necessary accreditation.</w:t>
      </w:r>
    </w:p>
    <w:p w14:paraId="3A318A45" w14:textId="77777777" w:rsidR="001A5ED1" w:rsidRPr="005652F9" w:rsidRDefault="001A5ED1" w:rsidP="001A5ED1">
      <w:pPr>
        <w:rPr>
          <w:rFonts w:ascii="Arial" w:eastAsia="Calibri" w:hAnsi="Arial" w:cs="Arial"/>
          <w:b/>
          <w:bCs/>
          <w:sz w:val="22"/>
          <w:szCs w:val="22"/>
        </w:rPr>
      </w:pPr>
      <w:bookmarkStart w:id="99" w:name="_Toc152927358"/>
      <w:r>
        <w:rPr>
          <w:rFonts w:ascii="Arial" w:hAnsi="Arial"/>
          <w:b/>
          <w:sz w:val="22"/>
        </w:rPr>
        <w:lastRenderedPageBreak/>
        <w:t>Who are regarded as suppliers?</w:t>
      </w:r>
      <w:bookmarkEnd w:id="99"/>
    </w:p>
    <w:p w14:paraId="070C9116" w14:textId="59845995" w:rsidR="001A5ED1" w:rsidRDefault="001A5ED1" w:rsidP="001A5ED1">
      <w:pPr>
        <w:rPr>
          <w:rFonts w:ascii="Arial" w:hAnsi="Arial" w:cs="Arial"/>
          <w:sz w:val="22"/>
          <w:szCs w:val="22"/>
        </w:rPr>
      </w:pPr>
      <w:r>
        <w:rPr>
          <w:rFonts w:ascii="Arial" w:hAnsi="Arial"/>
          <w:sz w:val="22"/>
        </w:rPr>
        <w:t>The legislation focuses on parties that make workers – including freelancers – available to third parties (as referred to in the Placement of Personnel by Intermediaries Act (WAADI)). Suppliers are considered to include:</w:t>
      </w:r>
    </w:p>
    <w:p w14:paraId="08269C96" w14:textId="77777777" w:rsidR="001A5ED1" w:rsidRPr="000C1443" w:rsidRDefault="001A5ED1" w:rsidP="002F233C">
      <w:pPr>
        <w:pStyle w:val="Lijstalinea"/>
        <w:numPr>
          <w:ilvl w:val="0"/>
          <w:numId w:val="5"/>
        </w:numPr>
        <w:spacing w:after="160" w:line="256" w:lineRule="auto"/>
        <w:rPr>
          <w:rFonts w:ascii="Arial" w:hAnsi="Arial" w:cs="Arial"/>
        </w:rPr>
      </w:pPr>
      <w:r>
        <w:rPr>
          <w:rFonts w:ascii="Arial" w:hAnsi="Arial"/>
        </w:rPr>
        <w:t>Employment agencies</w:t>
      </w:r>
    </w:p>
    <w:p w14:paraId="4C51E4AF" w14:textId="77777777" w:rsidR="001A5ED1" w:rsidRPr="000C1443" w:rsidRDefault="001A5ED1" w:rsidP="002F233C">
      <w:pPr>
        <w:pStyle w:val="Lijstalinea"/>
        <w:numPr>
          <w:ilvl w:val="0"/>
          <w:numId w:val="5"/>
        </w:numPr>
        <w:spacing w:after="160" w:line="256" w:lineRule="auto"/>
        <w:rPr>
          <w:rFonts w:ascii="Arial" w:hAnsi="Arial" w:cs="Arial"/>
        </w:rPr>
      </w:pPr>
      <w:r>
        <w:rPr>
          <w:rFonts w:ascii="Arial" w:hAnsi="Arial"/>
        </w:rPr>
        <w:t>Secondment companies</w:t>
      </w:r>
    </w:p>
    <w:p w14:paraId="7CBEDE45" w14:textId="77777777" w:rsidR="001A5ED1" w:rsidRDefault="001A5ED1" w:rsidP="002F233C">
      <w:pPr>
        <w:pStyle w:val="Lijstalinea"/>
        <w:numPr>
          <w:ilvl w:val="0"/>
          <w:numId w:val="5"/>
        </w:numPr>
        <w:spacing w:line="240" w:lineRule="auto"/>
        <w:rPr>
          <w:rFonts w:ascii="Arial" w:hAnsi="Arial" w:cs="Arial"/>
        </w:rPr>
      </w:pPr>
      <w:r>
        <w:rPr>
          <w:rFonts w:ascii="Arial" w:hAnsi="Arial"/>
        </w:rPr>
        <w:t>Suppliers of freelancers</w:t>
      </w:r>
    </w:p>
    <w:p w14:paraId="1C1EE6E5" w14:textId="77777777" w:rsidR="00E91A96" w:rsidRDefault="00E91A96" w:rsidP="00E91A96">
      <w:pPr>
        <w:ind w:left="60"/>
        <w:rPr>
          <w:rFonts w:ascii="Arial" w:hAnsi="Arial" w:cs="Arial"/>
        </w:rPr>
      </w:pPr>
    </w:p>
    <w:p w14:paraId="09121CFD" w14:textId="77777777" w:rsidR="00131537" w:rsidRDefault="00E91A96" w:rsidP="00816581">
      <w:pPr>
        <w:shd w:val="clear" w:color="auto" w:fill="D9D9D9" w:themeFill="background1" w:themeFillShade="D9"/>
        <w:ind w:left="60"/>
        <w:rPr>
          <w:rFonts w:ascii="Arial" w:hAnsi="Arial" w:cs="Arial"/>
          <w:sz w:val="22"/>
          <w:szCs w:val="22"/>
        </w:rPr>
      </w:pPr>
      <w:r>
        <w:rPr>
          <w:rFonts w:ascii="Arial" w:hAnsi="Arial"/>
          <w:b/>
          <w:sz w:val="22"/>
        </w:rPr>
        <w:t>Tip:</w:t>
      </w:r>
    </w:p>
    <w:p w14:paraId="0C20768B" w14:textId="3E0A3664" w:rsidR="00E91A96" w:rsidRPr="002938CD" w:rsidRDefault="00E91A96" w:rsidP="00816581">
      <w:pPr>
        <w:shd w:val="clear" w:color="auto" w:fill="D9D9D9" w:themeFill="background1" w:themeFillShade="D9"/>
        <w:ind w:left="60"/>
        <w:rPr>
          <w:rFonts w:ascii="Arial" w:hAnsi="Arial" w:cs="Arial"/>
          <w:sz w:val="22"/>
          <w:szCs w:val="22"/>
        </w:rPr>
      </w:pPr>
      <w:r>
        <w:rPr>
          <w:rFonts w:ascii="Arial" w:hAnsi="Arial"/>
          <w:sz w:val="22"/>
        </w:rPr>
        <w:t>The supply of personnel on a non-profit basis or the supply and hiring of workers within a group will not fall under the accreditation system.</w:t>
      </w:r>
    </w:p>
    <w:p w14:paraId="4161EEF5" w14:textId="77777777" w:rsidR="001A5ED1" w:rsidRPr="000D203E" w:rsidRDefault="001A5ED1" w:rsidP="001A5ED1">
      <w:pPr>
        <w:ind w:left="60"/>
        <w:rPr>
          <w:rFonts w:ascii="Arial" w:hAnsi="Arial" w:cs="Arial"/>
        </w:rPr>
      </w:pPr>
    </w:p>
    <w:p w14:paraId="65190A70" w14:textId="41EC6A23" w:rsidR="001A5ED1" w:rsidRPr="002938CD" w:rsidRDefault="002938CD" w:rsidP="001A5ED1">
      <w:pPr>
        <w:rPr>
          <w:rFonts w:ascii="Arial" w:eastAsia="Calibri" w:hAnsi="Arial" w:cs="Arial"/>
          <w:b/>
          <w:bCs/>
          <w:sz w:val="22"/>
          <w:szCs w:val="22"/>
        </w:rPr>
      </w:pPr>
      <w:r>
        <w:rPr>
          <w:rFonts w:ascii="Arial" w:hAnsi="Arial"/>
          <w:b/>
          <w:sz w:val="22"/>
        </w:rPr>
        <w:t>Exemption</w:t>
      </w:r>
    </w:p>
    <w:p w14:paraId="0CB257F0" w14:textId="4951555A" w:rsidR="001A5ED1" w:rsidRDefault="001A5ED1" w:rsidP="001A5ED1">
      <w:pPr>
        <w:rPr>
          <w:rFonts w:ascii="Arial" w:hAnsi="Arial" w:cs="Arial"/>
          <w:sz w:val="22"/>
          <w:szCs w:val="22"/>
        </w:rPr>
      </w:pPr>
      <w:r>
        <w:rPr>
          <w:rFonts w:ascii="Arial" w:hAnsi="Arial"/>
          <w:sz w:val="22"/>
        </w:rPr>
        <w:t>Companies that make workers available on a very limited basis can apply for an exemption, subject to the following conditions:</w:t>
      </w:r>
    </w:p>
    <w:p w14:paraId="00AC2EC2" w14:textId="526AEE15" w:rsidR="001A5ED1" w:rsidRDefault="002938CD" w:rsidP="00816581">
      <w:pPr>
        <w:pStyle w:val="Lijstalinea"/>
        <w:numPr>
          <w:ilvl w:val="0"/>
          <w:numId w:val="40"/>
        </w:numPr>
        <w:rPr>
          <w:rFonts w:ascii="Arial" w:hAnsi="Arial" w:cs="Arial"/>
        </w:rPr>
      </w:pPr>
      <w:r>
        <w:rPr>
          <w:rFonts w:ascii="Arial" w:hAnsi="Arial"/>
        </w:rPr>
        <w:t>the income from supplying personnel amounts to less than 10% of the total annual income, and;</w:t>
      </w:r>
    </w:p>
    <w:p w14:paraId="688A767B" w14:textId="2EFC7D2A" w:rsidR="001A5ED1" w:rsidRPr="00816581" w:rsidRDefault="002938CD" w:rsidP="00816581">
      <w:pPr>
        <w:pStyle w:val="Lijstalinea"/>
        <w:numPr>
          <w:ilvl w:val="0"/>
          <w:numId w:val="40"/>
        </w:numPr>
        <w:rPr>
          <w:rFonts w:ascii="Arial" w:hAnsi="Arial" w:cs="Arial"/>
        </w:rPr>
      </w:pPr>
      <w:r>
        <w:rPr>
          <w:rFonts w:ascii="Arial" w:hAnsi="Arial"/>
        </w:rPr>
        <w:t>this income does not exceed € 5 million per year.</w:t>
      </w:r>
    </w:p>
    <w:p w14:paraId="3750388A" w14:textId="77777777" w:rsidR="00816581" w:rsidRDefault="00816581" w:rsidP="00F266F3">
      <w:pPr>
        <w:pStyle w:val="Geenafstand"/>
        <w:rPr>
          <w:rFonts w:ascii="Arial" w:hAnsi="Arial" w:cs="Arial"/>
          <w:sz w:val="22"/>
          <w:szCs w:val="22"/>
        </w:rPr>
      </w:pPr>
      <w:bookmarkStart w:id="100" w:name="_Toc152927360"/>
    </w:p>
    <w:p w14:paraId="09FCA0AB" w14:textId="03107CC2" w:rsidR="0086789B" w:rsidRPr="0086789B" w:rsidRDefault="0086789B" w:rsidP="0086789B">
      <w:pPr>
        <w:pStyle w:val="Geenafstand"/>
        <w:rPr>
          <w:rFonts w:ascii="Arial" w:hAnsi="Arial" w:cs="Arial"/>
          <w:sz w:val="22"/>
          <w:szCs w:val="22"/>
        </w:rPr>
      </w:pPr>
      <w:r>
        <w:rPr>
          <w:rFonts w:ascii="Arial" w:hAnsi="Arial"/>
          <w:b/>
          <w:sz w:val="22"/>
        </w:rPr>
        <w:t>Registration procedure</w:t>
      </w:r>
    </w:p>
    <w:p w14:paraId="6A27EB6C" w14:textId="3A0512DC" w:rsidR="00A04763" w:rsidRDefault="00A04763" w:rsidP="0086789B">
      <w:pPr>
        <w:pStyle w:val="Geenafstand"/>
        <w:rPr>
          <w:rFonts w:ascii="Arial" w:hAnsi="Arial" w:cs="Arial"/>
          <w:sz w:val="22"/>
          <w:szCs w:val="22"/>
        </w:rPr>
      </w:pPr>
      <w:bookmarkStart w:id="101" w:name="_Hlk216254790"/>
      <w:r>
        <w:rPr>
          <w:rFonts w:ascii="Arial" w:hAnsi="Arial"/>
          <w:sz w:val="22"/>
        </w:rPr>
        <w:t>Companies that want to continue supplying personnel will need to apply for accreditation between 1 May 2027 and 30 June 2027. The process of assessing companies will start from 1 July 2027.</w:t>
      </w:r>
    </w:p>
    <w:bookmarkEnd w:id="101"/>
    <w:p w14:paraId="23BED067" w14:textId="77777777" w:rsidR="00A04763" w:rsidRDefault="00A04763" w:rsidP="0086789B">
      <w:pPr>
        <w:pStyle w:val="Geenafstand"/>
        <w:rPr>
          <w:rFonts w:ascii="Arial" w:hAnsi="Arial" w:cs="Arial"/>
          <w:sz w:val="22"/>
          <w:szCs w:val="22"/>
        </w:rPr>
      </w:pPr>
    </w:p>
    <w:p w14:paraId="5C16D7E1" w14:textId="77777777" w:rsidR="00131537" w:rsidRDefault="00A04763" w:rsidP="00816581">
      <w:pPr>
        <w:pStyle w:val="Geenafstand"/>
        <w:shd w:val="clear" w:color="auto" w:fill="D9D9D9" w:themeFill="background1" w:themeFillShade="D9"/>
        <w:rPr>
          <w:rFonts w:ascii="Arial" w:hAnsi="Arial" w:cs="Arial"/>
          <w:sz w:val="22"/>
          <w:szCs w:val="22"/>
        </w:rPr>
      </w:pPr>
      <w:r>
        <w:rPr>
          <w:rFonts w:ascii="Arial" w:hAnsi="Arial"/>
          <w:b/>
          <w:sz w:val="22"/>
        </w:rPr>
        <w:t>Please note:</w:t>
      </w:r>
    </w:p>
    <w:p w14:paraId="5AF980CE" w14:textId="1735CFBC" w:rsidR="00A04763" w:rsidRDefault="00A04763" w:rsidP="00816581">
      <w:pPr>
        <w:pStyle w:val="Geenafstand"/>
        <w:shd w:val="clear" w:color="auto" w:fill="D9D9D9" w:themeFill="background1" w:themeFillShade="D9"/>
        <w:rPr>
          <w:rFonts w:ascii="Arial" w:hAnsi="Arial" w:cs="Arial"/>
          <w:sz w:val="22"/>
          <w:szCs w:val="22"/>
        </w:rPr>
      </w:pPr>
      <w:r>
        <w:rPr>
          <w:rFonts w:ascii="Arial" w:hAnsi="Arial"/>
          <w:sz w:val="22"/>
        </w:rPr>
        <w:t xml:space="preserve">Companies that want to continue supplying personnel are advised to register with the NAU by 1 January 2027. They will then be able to carry on with this activity until the NAU has </w:t>
      </w:r>
      <w:proofErr w:type="gramStart"/>
      <w:r>
        <w:rPr>
          <w:rFonts w:ascii="Arial" w:hAnsi="Arial"/>
          <w:sz w:val="22"/>
        </w:rPr>
        <w:t>made a decision</w:t>
      </w:r>
      <w:proofErr w:type="gramEnd"/>
      <w:r>
        <w:rPr>
          <w:rFonts w:ascii="Arial" w:hAnsi="Arial"/>
          <w:sz w:val="22"/>
        </w:rPr>
        <w:t xml:space="preserve"> on their accreditation. You can find out more about this at </w:t>
      </w:r>
      <w:hyperlink r:id="rId58" w:history="1">
        <w:r>
          <w:rPr>
            <w:rStyle w:val="Hyperlink"/>
            <w:rFonts w:ascii="Arial" w:hAnsi="Arial"/>
            <w:sz w:val="22"/>
          </w:rPr>
          <w:t>toelatinguitleenmarkt.nl</w:t>
        </w:r>
      </w:hyperlink>
      <w:r>
        <w:rPr>
          <w:rFonts w:ascii="Arial" w:hAnsi="Arial"/>
          <w:sz w:val="22"/>
        </w:rPr>
        <w:t>.</w:t>
      </w:r>
    </w:p>
    <w:p w14:paraId="7D8B4A46" w14:textId="77777777" w:rsidR="00A04763" w:rsidRDefault="00A04763" w:rsidP="0086789B">
      <w:pPr>
        <w:pStyle w:val="Geenafstand"/>
        <w:rPr>
          <w:rFonts w:ascii="Arial" w:hAnsi="Arial" w:cs="Arial"/>
          <w:sz w:val="22"/>
          <w:szCs w:val="22"/>
        </w:rPr>
      </w:pPr>
    </w:p>
    <w:p w14:paraId="6BDDCCCA" w14:textId="5844C5BA" w:rsidR="00A04763" w:rsidRPr="002938CD" w:rsidRDefault="002938CD" w:rsidP="0086789B">
      <w:pPr>
        <w:pStyle w:val="Geenafstand"/>
        <w:rPr>
          <w:rFonts w:ascii="Arial" w:hAnsi="Arial" w:cs="Arial"/>
          <w:b/>
          <w:bCs/>
          <w:sz w:val="22"/>
          <w:szCs w:val="22"/>
        </w:rPr>
      </w:pPr>
      <w:r>
        <w:rPr>
          <w:rFonts w:ascii="Arial" w:hAnsi="Arial"/>
          <w:b/>
          <w:sz w:val="22"/>
        </w:rPr>
        <w:t>Conditions</w:t>
      </w:r>
    </w:p>
    <w:p w14:paraId="16E3F90D" w14:textId="0687BB20" w:rsidR="00755047" w:rsidRDefault="0086789B" w:rsidP="0086789B">
      <w:pPr>
        <w:pStyle w:val="Geenafstand"/>
        <w:rPr>
          <w:rFonts w:ascii="Arial" w:hAnsi="Arial" w:cs="Arial"/>
          <w:sz w:val="22"/>
          <w:szCs w:val="22"/>
        </w:rPr>
      </w:pPr>
      <w:r>
        <w:rPr>
          <w:rFonts w:ascii="Arial" w:hAnsi="Arial"/>
          <w:sz w:val="22"/>
        </w:rPr>
        <w:t>To obtain accreditation, suppliers will have to meet a number of conditions. They must have an up-to-date declaration of good conduct (VOG), demonstrate that they comply with relevant legislation (such as the statutory minimum wage) and pay a deposit of € 100,000 (for start-ups a deposit of € 50,000 applies initially, followed by a further € 50,000 after six months). Companies that adhere to the rules will have their deposit refunded after four years.</w:t>
      </w:r>
    </w:p>
    <w:p w14:paraId="57D62B26" w14:textId="77777777" w:rsidR="00755047" w:rsidRDefault="00755047" w:rsidP="0086789B">
      <w:pPr>
        <w:pStyle w:val="Geenafstand"/>
        <w:rPr>
          <w:rFonts w:ascii="Arial" w:hAnsi="Arial" w:cs="Arial"/>
          <w:sz w:val="22"/>
          <w:szCs w:val="22"/>
        </w:rPr>
      </w:pPr>
    </w:p>
    <w:p w14:paraId="1F0FE5D8" w14:textId="36FB75D1" w:rsidR="0086789B" w:rsidRPr="002938CD" w:rsidRDefault="0086789B" w:rsidP="002938CD">
      <w:pPr>
        <w:pStyle w:val="Geenafstand"/>
        <w:rPr>
          <w:rFonts w:ascii="Arial" w:hAnsi="Arial" w:cs="Arial"/>
          <w:b/>
          <w:bCs/>
          <w:sz w:val="22"/>
          <w:szCs w:val="22"/>
        </w:rPr>
      </w:pPr>
      <w:r>
        <w:rPr>
          <w:rFonts w:ascii="Arial" w:hAnsi="Arial"/>
          <w:b/>
          <w:sz w:val="22"/>
        </w:rPr>
        <w:t>Implementation</w:t>
      </w:r>
    </w:p>
    <w:p w14:paraId="3FF14531" w14:textId="6C5FCB62" w:rsidR="0086789B" w:rsidRDefault="0086789B" w:rsidP="0086789B">
      <w:pPr>
        <w:pStyle w:val="Geenafstand"/>
        <w:rPr>
          <w:rFonts w:ascii="Arial" w:hAnsi="Arial" w:cs="Arial"/>
          <w:sz w:val="22"/>
          <w:szCs w:val="22"/>
        </w:rPr>
      </w:pPr>
      <w:r>
        <w:rPr>
          <w:rFonts w:ascii="Arial" w:hAnsi="Arial"/>
          <w:sz w:val="22"/>
        </w:rPr>
        <w:t>The legislation will be implemented by the NAU, which will decide on the accreditation of suppliers. The NAU will also gather signals from the market and advise on potential improvements. In addition, it will designate the inspection bodies that will monitor whether suppliers are complying with all the laws and regulations. The NAU will start carrying out its initial activities, such as designating inspection bodies and opening the registration point for suppliers, in 2026.</w:t>
      </w:r>
    </w:p>
    <w:p w14:paraId="4018FC05" w14:textId="77777777" w:rsidR="0034171F" w:rsidRDefault="0034171F" w:rsidP="0086789B">
      <w:pPr>
        <w:pStyle w:val="Geenafstand"/>
        <w:rPr>
          <w:rFonts w:ascii="Arial" w:hAnsi="Arial" w:cs="Arial"/>
          <w:sz w:val="22"/>
          <w:szCs w:val="22"/>
        </w:rPr>
      </w:pPr>
    </w:p>
    <w:p w14:paraId="4669D4F2" w14:textId="4FE66E91" w:rsidR="0034171F" w:rsidRPr="0034171F" w:rsidRDefault="0034171F" w:rsidP="0034171F">
      <w:pPr>
        <w:pStyle w:val="Geenafstand"/>
        <w:rPr>
          <w:rFonts w:ascii="Arial" w:hAnsi="Arial" w:cs="Arial"/>
          <w:sz w:val="22"/>
          <w:szCs w:val="22"/>
        </w:rPr>
      </w:pPr>
      <w:r>
        <w:rPr>
          <w:rFonts w:ascii="Arial" w:hAnsi="Arial"/>
          <w:sz w:val="22"/>
        </w:rPr>
        <w:t>From 1 January 2027 companies that want to carry on supplying personnel will have to register with the NAU. The first company assessments will start from July 2027. If the company already holds an SNA quality mark (NEN 4400), it can take advantage of transitional arrangements, for which it will be possible to register between 1 November and 31 December 2026.</w:t>
      </w:r>
    </w:p>
    <w:p w14:paraId="651B2280" w14:textId="77777777" w:rsidR="0034171F" w:rsidRPr="0034171F" w:rsidRDefault="0034171F" w:rsidP="0034171F">
      <w:pPr>
        <w:pStyle w:val="Geenafstand"/>
        <w:rPr>
          <w:rFonts w:ascii="Arial" w:hAnsi="Arial" w:cs="Arial"/>
          <w:sz w:val="22"/>
          <w:szCs w:val="22"/>
        </w:rPr>
      </w:pPr>
    </w:p>
    <w:p w14:paraId="7AC6D9B7" w14:textId="2022681C" w:rsidR="0034171F" w:rsidRDefault="0034171F" w:rsidP="0034171F">
      <w:pPr>
        <w:pStyle w:val="Geenafstand"/>
        <w:rPr>
          <w:rFonts w:ascii="Arial" w:hAnsi="Arial" w:cs="Arial"/>
          <w:sz w:val="22"/>
          <w:szCs w:val="22"/>
        </w:rPr>
      </w:pPr>
      <w:r>
        <w:rPr>
          <w:rFonts w:ascii="Arial" w:hAnsi="Arial"/>
          <w:sz w:val="22"/>
        </w:rPr>
        <w:t>Companies must apply for an SNA quality mark (NEN 4400) as soon as possible. This will be required to access the accreditation system. At the initiative of the trade associations ABU, NBBU and Bovib, on 1 January 2026 two modules were added to the SNA quality mark for the freelancer market, namely for two different kinds of intermediation service: situations in which the intermediary is not a party to the contract (‘</w:t>
      </w:r>
      <w:r>
        <w:rPr>
          <w:rFonts w:ascii="Arial" w:hAnsi="Arial"/>
          <w:i/>
          <w:iCs/>
          <w:sz w:val="22"/>
        </w:rPr>
        <w:t>bemiddeling</w:t>
      </w:r>
      <w:r>
        <w:rPr>
          <w:rFonts w:ascii="Arial" w:hAnsi="Arial"/>
          <w:sz w:val="22"/>
        </w:rPr>
        <w:t>’) and those in which it concludes a contract with both the freelancer and the client (‘</w:t>
      </w:r>
      <w:r>
        <w:rPr>
          <w:rFonts w:ascii="Arial" w:hAnsi="Arial"/>
          <w:i/>
          <w:iCs/>
          <w:sz w:val="22"/>
        </w:rPr>
        <w:t>tussenkomst</w:t>
      </w:r>
      <w:r>
        <w:rPr>
          <w:rFonts w:ascii="Arial" w:hAnsi="Arial"/>
          <w:sz w:val="22"/>
        </w:rPr>
        <w:t>’). The purpose of these additions is to boost professionalism in the sector, help prevent bogus self-employment and increase confidence in the freelancer market. Intermediaries can schedule an inspection from 1 January 2026 and have until 1 July 2026 to organise their processes to ensure they retain their SNA quality mark.</w:t>
      </w:r>
    </w:p>
    <w:p w14:paraId="576E94D3" w14:textId="77777777" w:rsidR="0086789B" w:rsidRDefault="0086789B" w:rsidP="0086789B">
      <w:pPr>
        <w:pStyle w:val="Geenafstand"/>
        <w:rPr>
          <w:rFonts w:ascii="Arial" w:hAnsi="Arial" w:cs="Arial"/>
          <w:sz w:val="22"/>
          <w:szCs w:val="22"/>
        </w:rPr>
      </w:pPr>
    </w:p>
    <w:p w14:paraId="1ED7699B" w14:textId="77777777" w:rsidR="00131537" w:rsidRDefault="0086789B" w:rsidP="00816581">
      <w:pPr>
        <w:pStyle w:val="Geenafstand"/>
        <w:shd w:val="clear" w:color="auto" w:fill="D9D9D9" w:themeFill="background1" w:themeFillShade="D9"/>
        <w:rPr>
          <w:rFonts w:ascii="Arial" w:hAnsi="Arial" w:cs="Arial"/>
          <w:sz w:val="22"/>
          <w:szCs w:val="22"/>
        </w:rPr>
      </w:pPr>
      <w:r>
        <w:rPr>
          <w:rFonts w:ascii="Arial" w:hAnsi="Arial"/>
          <w:b/>
          <w:sz w:val="22"/>
        </w:rPr>
        <w:t>Please note:</w:t>
      </w:r>
    </w:p>
    <w:p w14:paraId="7DA34888" w14:textId="64C96FEB" w:rsidR="0086789B" w:rsidRPr="0086789B" w:rsidRDefault="0086789B" w:rsidP="00816581">
      <w:pPr>
        <w:pStyle w:val="Geenafstand"/>
        <w:shd w:val="clear" w:color="auto" w:fill="D9D9D9" w:themeFill="background1" w:themeFillShade="D9"/>
        <w:rPr>
          <w:rFonts w:ascii="Arial" w:hAnsi="Arial" w:cs="Arial"/>
          <w:sz w:val="22"/>
          <w:szCs w:val="22"/>
        </w:rPr>
      </w:pPr>
      <w:r>
        <w:rPr>
          <w:rFonts w:ascii="Arial" w:hAnsi="Arial"/>
          <w:sz w:val="22"/>
        </w:rPr>
        <w:t>The NAU will also keep a public register of all accredited companies. From 1 January 2028, companies that use temporary workers will only be allowed to do so via accredited suppliers.</w:t>
      </w:r>
    </w:p>
    <w:p w14:paraId="2902C7A7" w14:textId="77777777" w:rsidR="00F266F3" w:rsidRDefault="00F266F3" w:rsidP="00F266F3">
      <w:pPr>
        <w:pStyle w:val="Geenafstand"/>
        <w:rPr>
          <w:rFonts w:ascii="Arial" w:hAnsi="Arial" w:cs="Arial"/>
          <w:sz w:val="22"/>
          <w:szCs w:val="22"/>
        </w:rPr>
      </w:pPr>
    </w:p>
    <w:p w14:paraId="0B345B6A" w14:textId="77777777" w:rsidR="0086789B" w:rsidRPr="006F1EFC" w:rsidRDefault="0086789B" w:rsidP="006F1EFC">
      <w:pPr>
        <w:pStyle w:val="Geenafstand"/>
        <w:rPr>
          <w:rFonts w:ascii="Arial" w:hAnsi="Arial" w:cs="Arial"/>
          <w:b/>
          <w:bCs/>
          <w:sz w:val="22"/>
          <w:szCs w:val="22"/>
        </w:rPr>
      </w:pPr>
      <w:r>
        <w:rPr>
          <w:rFonts w:ascii="Arial" w:hAnsi="Arial"/>
          <w:b/>
          <w:sz w:val="22"/>
        </w:rPr>
        <w:t>Enforcement</w:t>
      </w:r>
    </w:p>
    <w:p w14:paraId="72A3A55B" w14:textId="56084DEA" w:rsidR="0086789B" w:rsidRDefault="0086789B" w:rsidP="0086789B">
      <w:pPr>
        <w:pStyle w:val="Geenafstand"/>
        <w:rPr>
          <w:rFonts w:ascii="Arial" w:hAnsi="Arial" w:cs="Arial"/>
          <w:sz w:val="22"/>
          <w:szCs w:val="22"/>
        </w:rPr>
      </w:pPr>
      <w:r>
        <w:rPr>
          <w:rFonts w:ascii="Arial" w:hAnsi="Arial"/>
          <w:sz w:val="22"/>
        </w:rPr>
        <w:t>The Netherlands Labour Authority will start enforcing the rules on 1 January 2028. From that date, suppliers who are operating on the labour market without accreditation will receive a fine. The workforce of the Netherlands Labour Authority has been expanded by 135 FTEs to increase the chances of catching parties who are breaching the rules. Helpdesks have also been opened in various locations to help migrant workers who have questions or are experiencing problems. Further helpdesks will be added over the coming period.</w:t>
      </w:r>
      <w:r>
        <w:rPr>
          <w:rFonts w:ascii="Arial" w:hAnsi="Arial"/>
          <w:sz w:val="22"/>
        </w:rPr>
        <w:br/>
      </w:r>
    </w:p>
    <w:p w14:paraId="4B635435" w14:textId="77777777" w:rsidR="00131537" w:rsidRDefault="0086789B" w:rsidP="00816581">
      <w:pPr>
        <w:pStyle w:val="Geenafstand"/>
        <w:shd w:val="clear" w:color="auto" w:fill="D9D9D9" w:themeFill="background1" w:themeFillShade="D9"/>
        <w:rPr>
          <w:rFonts w:ascii="Arial" w:hAnsi="Arial" w:cs="Arial"/>
          <w:b/>
          <w:bCs/>
          <w:sz w:val="22"/>
          <w:szCs w:val="22"/>
        </w:rPr>
      </w:pPr>
      <w:r>
        <w:rPr>
          <w:rFonts w:ascii="Arial" w:hAnsi="Arial"/>
          <w:b/>
          <w:sz w:val="22"/>
        </w:rPr>
        <w:t>Please note:</w:t>
      </w:r>
    </w:p>
    <w:p w14:paraId="104ECF17" w14:textId="209C9249" w:rsidR="00F266F3" w:rsidRPr="00F266F3" w:rsidRDefault="0086789B" w:rsidP="00816581">
      <w:pPr>
        <w:pStyle w:val="Geenafstand"/>
        <w:shd w:val="clear" w:color="auto" w:fill="D9D9D9" w:themeFill="background1" w:themeFillShade="D9"/>
        <w:rPr>
          <w:rFonts w:ascii="Arial" w:hAnsi="Arial" w:cs="Arial"/>
          <w:sz w:val="22"/>
          <w:szCs w:val="22"/>
        </w:rPr>
      </w:pPr>
      <w:r>
        <w:rPr>
          <w:rFonts w:ascii="Arial" w:hAnsi="Arial"/>
          <w:sz w:val="22"/>
        </w:rPr>
        <w:t>The fine referred to above will also apply to hirers of personnel who use non-accredited employment agencies.</w:t>
      </w:r>
    </w:p>
    <w:bookmarkEnd w:id="100"/>
    <w:p w14:paraId="419CC337" w14:textId="77777777" w:rsidR="001A5ED1" w:rsidRDefault="001A5ED1" w:rsidP="0088318F">
      <w:pPr>
        <w:rPr>
          <w:rFonts w:ascii="Arial" w:hAnsi="Arial" w:cs="Arial"/>
          <w:sz w:val="22"/>
          <w:szCs w:val="22"/>
        </w:rPr>
      </w:pPr>
    </w:p>
    <w:p w14:paraId="510F88DC" w14:textId="3488158C" w:rsidR="00F33D7D" w:rsidRDefault="00F33D7D" w:rsidP="00957F2F">
      <w:pPr>
        <w:pStyle w:val="Kop2"/>
        <w:ind w:hanging="283"/>
      </w:pPr>
      <w:r>
        <w:t>More possibilities for suspending a company’s activities in the event of abuses of migrant workers</w:t>
      </w:r>
    </w:p>
    <w:p w14:paraId="4A215521" w14:textId="77777777" w:rsidR="00F33D7D" w:rsidRPr="00E24733" w:rsidRDefault="00F33D7D" w:rsidP="00F33D7D">
      <w:pPr>
        <w:rPr>
          <w:rFonts w:ascii="Arial" w:hAnsi="Arial" w:cs="Arial"/>
          <w:sz w:val="22"/>
          <w:szCs w:val="22"/>
        </w:rPr>
      </w:pPr>
    </w:p>
    <w:p w14:paraId="5D09F7F5" w14:textId="01FDA3BA" w:rsidR="00E24733" w:rsidRPr="008B165E" w:rsidRDefault="00F33D7D" w:rsidP="00E24733">
      <w:pPr>
        <w:rPr>
          <w:rFonts w:ascii="Arial" w:hAnsi="Arial" w:cs="Arial"/>
          <w:sz w:val="22"/>
          <w:szCs w:val="22"/>
        </w:rPr>
      </w:pPr>
      <w:r>
        <w:rPr>
          <w:rFonts w:ascii="Arial" w:hAnsi="Arial"/>
          <w:sz w:val="22"/>
        </w:rPr>
        <w:t>Research has made clear that the existing possibility in law of suspending a company’s activities in the event of serious risk also provides a legal basis for doing so in cases where serious labour abuses are identified. The Netherlands Labour Authority therefore has more possibilities for suspending a company's activities if it identifies serious abuses involving migrant workers. Higher fines can also be imposed.</w:t>
      </w:r>
    </w:p>
    <w:p w14:paraId="50788611" w14:textId="77777777" w:rsidR="00F33D7D" w:rsidRPr="00E24733" w:rsidRDefault="00F33D7D" w:rsidP="00F33D7D">
      <w:pPr>
        <w:rPr>
          <w:rFonts w:ascii="Arial" w:hAnsi="Arial" w:cs="Arial"/>
          <w:sz w:val="22"/>
          <w:szCs w:val="22"/>
        </w:rPr>
      </w:pPr>
    </w:p>
    <w:p w14:paraId="3ABC0ED8" w14:textId="77777777" w:rsidR="00F33D7D" w:rsidRPr="00E24733" w:rsidRDefault="00F33D7D" w:rsidP="00F33D7D">
      <w:pPr>
        <w:rPr>
          <w:rFonts w:ascii="Arial" w:hAnsi="Arial" w:cs="Arial"/>
          <w:b/>
          <w:bCs/>
          <w:sz w:val="22"/>
          <w:szCs w:val="22"/>
        </w:rPr>
      </w:pPr>
      <w:r>
        <w:rPr>
          <w:rFonts w:ascii="Arial" w:hAnsi="Arial"/>
          <w:b/>
          <w:sz w:val="22"/>
        </w:rPr>
        <w:t>Serious abuses</w:t>
      </w:r>
    </w:p>
    <w:p w14:paraId="5B92580C" w14:textId="77777777" w:rsidR="00F33D7D" w:rsidRPr="00F266F3" w:rsidRDefault="00F33D7D" w:rsidP="00F33D7D">
      <w:pPr>
        <w:rPr>
          <w:rFonts w:ascii="Arial" w:hAnsi="Arial" w:cs="Arial"/>
          <w:sz w:val="22"/>
          <w:szCs w:val="22"/>
        </w:rPr>
      </w:pPr>
      <w:r>
        <w:rPr>
          <w:rFonts w:ascii="Arial" w:hAnsi="Arial"/>
          <w:sz w:val="22"/>
        </w:rPr>
        <w:t>Serious abuses include situations in which an employee is faced with a combination of poor working conditions. Examples may be receiving a very low wage, having to sleep in the workplace, having to work very long hours, residing or working in the Netherlands illegally, having bank cards and travel documents confiscated, a lack of clarity about who the manager is, failure to keep records or the keeping of inadequate records, and exposure to physical violence or harassment.</w:t>
      </w:r>
    </w:p>
    <w:p w14:paraId="1848AD90" w14:textId="77777777" w:rsidR="00F33D7D" w:rsidRPr="00F266F3" w:rsidRDefault="00F33D7D" w:rsidP="00F33D7D">
      <w:pPr>
        <w:rPr>
          <w:rFonts w:ascii="Arial" w:hAnsi="Arial" w:cs="Arial"/>
          <w:sz w:val="22"/>
          <w:szCs w:val="22"/>
        </w:rPr>
      </w:pPr>
    </w:p>
    <w:p w14:paraId="373721B0" w14:textId="77777777" w:rsidR="00F33D7D" w:rsidRPr="00E24733" w:rsidRDefault="00F33D7D" w:rsidP="00F33D7D">
      <w:pPr>
        <w:rPr>
          <w:rFonts w:ascii="Arial" w:hAnsi="Arial" w:cs="Arial"/>
          <w:b/>
          <w:bCs/>
          <w:sz w:val="22"/>
          <w:szCs w:val="22"/>
        </w:rPr>
      </w:pPr>
      <w:r>
        <w:rPr>
          <w:rFonts w:ascii="Arial" w:hAnsi="Arial"/>
          <w:b/>
          <w:sz w:val="22"/>
        </w:rPr>
        <w:t>Suspension of activities in the event of serious abuses</w:t>
      </w:r>
    </w:p>
    <w:p w14:paraId="59143580" w14:textId="65920B24" w:rsidR="00F33D7D" w:rsidRPr="00F266F3" w:rsidRDefault="00F33D7D" w:rsidP="00F33D7D">
      <w:pPr>
        <w:rPr>
          <w:rFonts w:ascii="Arial" w:hAnsi="Arial" w:cs="Arial"/>
          <w:sz w:val="22"/>
          <w:szCs w:val="22"/>
        </w:rPr>
      </w:pPr>
      <w:r>
        <w:rPr>
          <w:rFonts w:ascii="Arial" w:hAnsi="Arial"/>
          <w:sz w:val="22"/>
        </w:rPr>
        <w:t>The inspectors from the Netherlands Labour Authority have been given guidance to help them determine which (combination of) serious circumstances could give them cause to suspend a company’s activities. Once there is no longer any serious risk (the serious abuses have been rectified), the suspension will be lifted.</w:t>
      </w:r>
    </w:p>
    <w:p w14:paraId="77556429" w14:textId="77777777" w:rsidR="00F33D7D" w:rsidRPr="00F266F3" w:rsidRDefault="00F33D7D" w:rsidP="00F33D7D">
      <w:pPr>
        <w:rPr>
          <w:rFonts w:ascii="Arial" w:hAnsi="Arial" w:cs="Arial"/>
          <w:sz w:val="22"/>
          <w:szCs w:val="22"/>
        </w:rPr>
      </w:pPr>
    </w:p>
    <w:p w14:paraId="21F071FB" w14:textId="77777777" w:rsidR="00F33D7D" w:rsidRPr="00E24733" w:rsidRDefault="00F33D7D" w:rsidP="00F33D7D">
      <w:pPr>
        <w:rPr>
          <w:rFonts w:ascii="Arial" w:hAnsi="Arial" w:cs="Arial"/>
          <w:b/>
          <w:bCs/>
          <w:sz w:val="22"/>
          <w:szCs w:val="22"/>
        </w:rPr>
      </w:pPr>
      <w:r>
        <w:rPr>
          <w:rFonts w:ascii="Arial" w:hAnsi="Arial"/>
          <w:b/>
          <w:sz w:val="22"/>
        </w:rPr>
        <w:lastRenderedPageBreak/>
        <w:t>Confiscation of travel documents</w:t>
      </w:r>
    </w:p>
    <w:p w14:paraId="2051720B" w14:textId="3BFE96F3" w:rsidR="00F33D7D" w:rsidRPr="00F266F3" w:rsidRDefault="00F33D7D" w:rsidP="00F33D7D">
      <w:pPr>
        <w:rPr>
          <w:rFonts w:ascii="Arial" w:hAnsi="Arial" w:cs="Arial"/>
          <w:sz w:val="22"/>
          <w:szCs w:val="22"/>
        </w:rPr>
      </w:pPr>
      <w:r>
        <w:rPr>
          <w:rFonts w:ascii="Arial" w:hAnsi="Arial"/>
          <w:sz w:val="22"/>
        </w:rPr>
        <w:t>If travel documents/bank cards are confiscated illegally, the employer may be in breach of the Working Conditions Act (</w:t>
      </w:r>
      <w:r>
        <w:rPr>
          <w:rFonts w:ascii="Arial" w:hAnsi="Arial"/>
          <w:i/>
          <w:iCs/>
          <w:sz w:val="22"/>
        </w:rPr>
        <w:t>Arbeidsomstandighedenwet</w:t>
      </w:r>
      <w:r>
        <w:rPr>
          <w:rFonts w:ascii="Arial" w:hAnsi="Arial"/>
          <w:sz w:val="22"/>
        </w:rPr>
        <w:t>), due to failure to comply with its obligation to draw up a policy and take measures to prevent or reduce the psychosocial workload of employees and occupational risks. In such a case the Netherlands Labour Authority can issue a warning, followed by a fine in the event of repeat offences.</w:t>
      </w:r>
    </w:p>
    <w:p w14:paraId="6F90CAE3" w14:textId="77777777" w:rsidR="00F33D7D" w:rsidRPr="00F266F3" w:rsidRDefault="00F33D7D" w:rsidP="00F33D7D">
      <w:pPr>
        <w:rPr>
          <w:rFonts w:ascii="Arial" w:hAnsi="Arial" w:cs="Arial"/>
          <w:sz w:val="22"/>
          <w:szCs w:val="22"/>
        </w:rPr>
      </w:pPr>
    </w:p>
    <w:p w14:paraId="2585444B" w14:textId="43B48305" w:rsidR="00F266F3" w:rsidRDefault="00F33D7D" w:rsidP="00F33D7D">
      <w:pPr>
        <w:rPr>
          <w:rFonts w:ascii="Arial" w:hAnsi="Arial" w:cs="Arial"/>
          <w:sz w:val="22"/>
          <w:szCs w:val="22"/>
        </w:rPr>
      </w:pPr>
      <w:r>
        <w:rPr>
          <w:rFonts w:ascii="Arial" w:hAnsi="Arial"/>
          <w:sz w:val="22"/>
        </w:rPr>
        <w:t>Confiscating travel documents and/or bank cards makes the employee more dependent on the employer and increases the risk of labour abuses. In such situations, employees’ freedom is often also restricted and they suffer from stress. Under the Working Conditions Act employers are obliged to ensure that such a psychosocial workload is prevented. If, on establishing that personal documents have been confiscated, other serious abuses are also identified, a serious risk may apply in accordance with the Working Conditions Act. In such cases disciplinary action in the form of a suspension of activities may be justified.</w:t>
      </w:r>
    </w:p>
    <w:p w14:paraId="0C27DD56" w14:textId="77777777" w:rsidR="007C55AD" w:rsidRPr="00F266F3" w:rsidRDefault="007C55AD" w:rsidP="00F33D7D">
      <w:pPr>
        <w:rPr>
          <w:rFonts w:ascii="Arial" w:hAnsi="Arial" w:cs="Arial"/>
          <w:sz w:val="22"/>
          <w:szCs w:val="22"/>
        </w:rPr>
      </w:pPr>
    </w:p>
    <w:p w14:paraId="2BF878E9" w14:textId="4B41BE58" w:rsidR="00F33D7D" w:rsidRPr="00E24733" w:rsidRDefault="00F33D7D" w:rsidP="00F33D7D">
      <w:pPr>
        <w:rPr>
          <w:rFonts w:ascii="Arial" w:hAnsi="Arial" w:cs="Arial"/>
          <w:b/>
          <w:bCs/>
          <w:sz w:val="22"/>
          <w:szCs w:val="22"/>
        </w:rPr>
      </w:pPr>
      <w:r>
        <w:rPr>
          <w:rFonts w:ascii="Arial" w:hAnsi="Arial"/>
          <w:b/>
          <w:sz w:val="22"/>
        </w:rPr>
        <w:t>Higher fines</w:t>
      </w:r>
    </w:p>
    <w:p w14:paraId="76EE5518" w14:textId="51C20AB0" w:rsidR="00F33D7D" w:rsidRDefault="00F33D7D" w:rsidP="00F33D7D">
      <w:pPr>
        <w:rPr>
          <w:rFonts w:ascii="Arial" w:hAnsi="Arial" w:cs="Arial"/>
          <w:sz w:val="22"/>
          <w:szCs w:val="22"/>
        </w:rPr>
      </w:pPr>
      <w:r>
        <w:rPr>
          <w:rFonts w:ascii="Arial" w:hAnsi="Arial"/>
          <w:sz w:val="22"/>
        </w:rPr>
        <w:t>For breaches of the Foreign Nationals (Employment) Act (</w:t>
      </w:r>
      <w:r>
        <w:rPr>
          <w:rFonts w:ascii="Arial" w:hAnsi="Arial"/>
          <w:i/>
          <w:iCs/>
          <w:sz w:val="22"/>
        </w:rPr>
        <w:t>Wet arbeid vreemdelingen</w:t>
      </w:r>
      <w:r>
        <w:rPr>
          <w:rFonts w:ascii="Arial" w:hAnsi="Arial"/>
          <w:sz w:val="22"/>
        </w:rPr>
        <w:t>) identified since 1 February 2025, the Netherlands Labour Authority has been able to impose higher fines on employers who are employing foreign nationals without the necessary permits. Since 1 February 2025 the standard fine for illegal employment has been € 6,000 for legal entities in cases of ‘ordinary culpability’. In the event of intent or gross negligence or a more serious breach the fine can be increased to a maximum of € 11,250.</w:t>
      </w:r>
    </w:p>
    <w:p w14:paraId="5CDEDF02" w14:textId="77777777" w:rsidR="00F33D7D" w:rsidRPr="00E24733" w:rsidRDefault="00F33D7D" w:rsidP="00E24733">
      <w:pPr>
        <w:rPr>
          <w:rFonts w:ascii="Arial" w:hAnsi="Arial" w:cs="Arial"/>
          <w:sz w:val="22"/>
          <w:szCs w:val="22"/>
        </w:rPr>
      </w:pPr>
    </w:p>
    <w:p w14:paraId="445C1C22" w14:textId="3905F4F0" w:rsidR="0028645C" w:rsidRDefault="00CC357B" w:rsidP="00957F2F">
      <w:pPr>
        <w:pStyle w:val="Kop2"/>
        <w:ind w:hanging="283"/>
      </w:pPr>
      <w:r>
        <w:t>Implementation of Pay Transparency Directive postponed until 2027</w:t>
      </w:r>
    </w:p>
    <w:p w14:paraId="4A466BDC" w14:textId="77777777" w:rsidR="00CC357B" w:rsidRDefault="00CC357B" w:rsidP="007E183B">
      <w:pPr>
        <w:rPr>
          <w:rFonts w:ascii="Arial" w:hAnsi="Arial" w:cs="Arial"/>
          <w:sz w:val="22"/>
          <w:szCs w:val="22"/>
        </w:rPr>
      </w:pPr>
    </w:p>
    <w:p w14:paraId="172C1136" w14:textId="77777777" w:rsidR="00CC357B" w:rsidRPr="00CC357B" w:rsidRDefault="00CC357B" w:rsidP="00CC357B">
      <w:pPr>
        <w:rPr>
          <w:rFonts w:ascii="Arial" w:hAnsi="Arial" w:cs="Arial"/>
          <w:sz w:val="22"/>
          <w:szCs w:val="22"/>
        </w:rPr>
      </w:pPr>
      <w:r>
        <w:rPr>
          <w:rFonts w:ascii="Arial" w:hAnsi="Arial"/>
          <w:sz w:val="22"/>
        </w:rPr>
        <w:t>The European Council adopted the EU Pay Transparency Directive on 24 April 2023. This Directive aims to combat wage discrimination and help close the gender pay gap in the EU. The deadline for its transposition into Dutch legislation is 7 June 2026. It is being proposed that this deadline be pushed back to 1 January 2027.</w:t>
      </w:r>
    </w:p>
    <w:p w14:paraId="109D0C78" w14:textId="77777777" w:rsidR="00CC357B" w:rsidRPr="00CC357B" w:rsidRDefault="00CC357B" w:rsidP="00CC357B">
      <w:pPr>
        <w:rPr>
          <w:rFonts w:ascii="Arial" w:hAnsi="Arial" w:cs="Arial"/>
          <w:sz w:val="22"/>
          <w:szCs w:val="22"/>
        </w:rPr>
      </w:pPr>
    </w:p>
    <w:p w14:paraId="73F4033D" w14:textId="33F6763D" w:rsidR="00CC357B" w:rsidRPr="00CC357B" w:rsidRDefault="00CC357B" w:rsidP="00CC357B">
      <w:pPr>
        <w:rPr>
          <w:rFonts w:ascii="Arial" w:hAnsi="Arial" w:cs="Arial"/>
          <w:b/>
          <w:bCs/>
          <w:sz w:val="22"/>
          <w:szCs w:val="22"/>
        </w:rPr>
      </w:pPr>
      <w:r>
        <w:rPr>
          <w:rFonts w:ascii="Arial" w:hAnsi="Arial"/>
          <w:b/>
          <w:sz w:val="22"/>
        </w:rPr>
        <w:t>Directive</w:t>
      </w:r>
    </w:p>
    <w:p w14:paraId="732D20B9" w14:textId="71C903ED" w:rsidR="00CC357B" w:rsidRPr="00CC357B" w:rsidRDefault="00CC357B" w:rsidP="00CC357B">
      <w:pPr>
        <w:rPr>
          <w:rFonts w:ascii="Arial" w:hAnsi="Arial" w:cs="Arial"/>
          <w:sz w:val="22"/>
          <w:szCs w:val="22"/>
        </w:rPr>
      </w:pPr>
      <w:r>
        <w:rPr>
          <w:rFonts w:ascii="Arial" w:hAnsi="Arial"/>
          <w:sz w:val="22"/>
        </w:rPr>
        <w:t>The Directive follows on from the Diversity Quota and Targets Act (</w:t>
      </w:r>
      <w:r>
        <w:rPr>
          <w:rFonts w:ascii="Arial" w:hAnsi="Arial"/>
          <w:i/>
          <w:iCs/>
          <w:sz w:val="22"/>
        </w:rPr>
        <w:t>Wet ingroei-quotum en streefcijfers</w:t>
      </w:r>
      <w:r>
        <w:rPr>
          <w:rFonts w:ascii="Arial" w:hAnsi="Arial"/>
          <w:sz w:val="22"/>
        </w:rPr>
        <w:t>). This Act – in force since 2022 – aims to improve the ratio between men and women at board and senior management levels. Since 2023 large companies have been reporting on their male/female ratio at these levels, their targets and their associated action plans on the Social and Economic Council’s Diversity Portal.</w:t>
      </w:r>
    </w:p>
    <w:p w14:paraId="254D4E79" w14:textId="77777777" w:rsidR="00CC357B" w:rsidRPr="00CC357B" w:rsidRDefault="00CC357B" w:rsidP="00CC357B">
      <w:pPr>
        <w:rPr>
          <w:rFonts w:ascii="Arial" w:hAnsi="Arial" w:cs="Arial"/>
          <w:sz w:val="22"/>
          <w:szCs w:val="22"/>
        </w:rPr>
      </w:pPr>
    </w:p>
    <w:p w14:paraId="21C835C6" w14:textId="77777777" w:rsidR="00CC357B" w:rsidRPr="00CC357B" w:rsidRDefault="00CC357B" w:rsidP="00CC357B">
      <w:pPr>
        <w:rPr>
          <w:rFonts w:ascii="Arial" w:hAnsi="Arial" w:cs="Arial"/>
          <w:b/>
          <w:bCs/>
          <w:sz w:val="22"/>
          <w:szCs w:val="22"/>
        </w:rPr>
      </w:pPr>
      <w:r>
        <w:rPr>
          <w:rFonts w:ascii="Arial" w:hAnsi="Arial"/>
          <w:b/>
          <w:sz w:val="22"/>
        </w:rPr>
        <w:t>Requirements under the Directive</w:t>
      </w:r>
    </w:p>
    <w:p w14:paraId="18C3C127" w14:textId="5FC4000F" w:rsidR="00CC357B" w:rsidRPr="00CC357B" w:rsidRDefault="00CC357B" w:rsidP="00CC357B">
      <w:pPr>
        <w:rPr>
          <w:rFonts w:ascii="Arial" w:hAnsi="Arial" w:cs="Arial"/>
          <w:sz w:val="22"/>
          <w:szCs w:val="22"/>
        </w:rPr>
      </w:pPr>
      <w:r>
        <w:rPr>
          <w:rFonts w:ascii="Arial" w:hAnsi="Arial"/>
          <w:sz w:val="22"/>
        </w:rPr>
        <w:t xml:space="preserve">Companies in the EU will in future have to publish pay information and </w:t>
      </w:r>
      <w:proofErr w:type="gramStart"/>
      <w:r>
        <w:rPr>
          <w:rFonts w:ascii="Arial" w:hAnsi="Arial"/>
          <w:sz w:val="22"/>
        </w:rPr>
        <w:t>take action</w:t>
      </w:r>
      <w:proofErr w:type="gramEnd"/>
      <w:r>
        <w:rPr>
          <w:rFonts w:ascii="Arial" w:hAnsi="Arial"/>
          <w:sz w:val="22"/>
        </w:rPr>
        <w:t xml:space="preserve"> if the difference in pay between men and women is greater than 5%. Employees and their representatives will also be able to request information about their pay level and that of employees performing the same (or equivalent) work. Furthermore, before the employment relationship commences, the employer will have to inform the future employee of the salary that he/she will be paid (or the salary scale to which he/she will be assigned). Employers will also be banned from asking job applicants questions about their previous salaries. Employers with 100 or more staff will have to report on pay differences within their organisations. Much of the information concerned will be published. </w:t>
      </w:r>
    </w:p>
    <w:p w14:paraId="28D5AEF0" w14:textId="77777777" w:rsidR="00CC357B" w:rsidRPr="00CC357B" w:rsidRDefault="00CC357B" w:rsidP="00CC357B">
      <w:pPr>
        <w:rPr>
          <w:rFonts w:ascii="Arial" w:hAnsi="Arial" w:cs="Arial"/>
          <w:sz w:val="22"/>
          <w:szCs w:val="22"/>
        </w:rPr>
      </w:pPr>
    </w:p>
    <w:p w14:paraId="28A508C0" w14:textId="77777777" w:rsidR="00CC357B" w:rsidRPr="00131537" w:rsidRDefault="00CC357B" w:rsidP="00CC357B">
      <w:pPr>
        <w:rPr>
          <w:rFonts w:ascii="Arial" w:hAnsi="Arial" w:cs="Arial"/>
          <w:b/>
          <w:bCs/>
          <w:sz w:val="22"/>
          <w:szCs w:val="22"/>
        </w:rPr>
      </w:pPr>
      <w:r>
        <w:rPr>
          <w:rFonts w:ascii="Arial" w:hAnsi="Arial"/>
          <w:b/>
          <w:sz w:val="22"/>
        </w:rPr>
        <w:t>Postponement</w:t>
      </w:r>
    </w:p>
    <w:p w14:paraId="79840B66" w14:textId="255B1135" w:rsidR="00CC357B" w:rsidRPr="00CC357B" w:rsidRDefault="00CC357B" w:rsidP="00CC357B">
      <w:pPr>
        <w:rPr>
          <w:rFonts w:ascii="Arial" w:hAnsi="Arial" w:cs="Arial"/>
          <w:sz w:val="22"/>
          <w:szCs w:val="22"/>
        </w:rPr>
      </w:pPr>
      <w:r>
        <w:rPr>
          <w:rFonts w:ascii="Arial" w:hAnsi="Arial"/>
          <w:sz w:val="22"/>
        </w:rPr>
        <w:t xml:space="preserve">From 26 March 2025 to 7 May 2025 an online consultation was held on a legislative proposal relating to the implementation of the Directive. It became clear that the deadline of 7 June </w:t>
      </w:r>
      <w:r>
        <w:rPr>
          <w:rFonts w:ascii="Arial" w:hAnsi="Arial"/>
          <w:sz w:val="22"/>
        </w:rPr>
        <w:lastRenderedPageBreak/>
        <w:t>2026 was not feasible. The Lower and Upper House will debate the legislative proposal</w:t>
      </w:r>
      <w:r w:rsidR="00954090">
        <w:rPr>
          <w:rFonts w:ascii="Arial" w:hAnsi="Arial"/>
          <w:sz w:val="22"/>
        </w:rPr>
        <w:t xml:space="preserve"> </w:t>
      </w:r>
      <w:r>
        <w:rPr>
          <w:rFonts w:ascii="Arial" w:hAnsi="Arial"/>
          <w:sz w:val="22"/>
        </w:rPr>
        <w:t xml:space="preserve">in 2026. The date on which it will enter into force has been pushed back to 1 January 2027. </w:t>
      </w:r>
    </w:p>
    <w:p w14:paraId="59B635E6" w14:textId="77777777" w:rsidR="00CC357B" w:rsidRPr="00CC357B" w:rsidRDefault="00CC357B" w:rsidP="00CC357B">
      <w:pPr>
        <w:rPr>
          <w:rFonts w:ascii="Arial" w:hAnsi="Arial" w:cs="Arial"/>
          <w:sz w:val="22"/>
          <w:szCs w:val="22"/>
        </w:rPr>
      </w:pPr>
    </w:p>
    <w:p w14:paraId="3E3E9D7C" w14:textId="77777777" w:rsidR="00CC357B" w:rsidRPr="00131537" w:rsidRDefault="00CC357B" w:rsidP="00CC357B">
      <w:pPr>
        <w:rPr>
          <w:rFonts w:ascii="Arial" w:hAnsi="Arial" w:cs="Arial"/>
          <w:b/>
          <w:bCs/>
          <w:sz w:val="22"/>
          <w:szCs w:val="22"/>
        </w:rPr>
      </w:pPr>
      <w:r>
        <w:rPr>
          <w:rFonts w:ascii="Arial" w:hAnsi="Arial"/>
          <w:b/>
          <w:sz w:val="22"/>
        </w:rPr>
        <w:t>More time</w:t>
      </w:r>
    </w:p>
    <w:p w14:paraId="68A4E015" w14:textId="5C5A2297" w:rsidR="00CC357B" w:rsidRDefault="00CC357B" w:rsidP="00CC357B">
      <w:pPr>
        <w:rPr>
          <w:rFonts w:ascii="Arial" w:hAnsi="Arial" w:cs="Arial"/>
          <w:sz w:val="22"/>
          <w:szCs w:val="22"/>
        </w:rPr>
      </w:pPr>
      <w:r>
        <w:rPr>
          <w:rFonts w:ascii="Arial" w:hAnsi="Arial"/>
          <w:sz w:val="22"/>
        </w:rPr>
        <w:t>For organisations with 150 or more employees, this means that they will be required to report for the first time on the 2027 calendar year, instead of 2026. The date from which employers with 100-150 staff will have to report their information will be implemented in accordance with the Directive. As a result of the postponement, employers will have more time to organise their systems to take these obligations into account.</w:t>
      </w:r>
    </w:p>
    <w:p w14:paraId="331636C3" w14:textId="77777777" w:rsidR="007C55AD" w:rsidRDefault="007C55AD" w:rsidP="00CC357B">
      <w:pPr>
        <w:rPr>
          <w:rFonts w:ascii="Arial" w:hAnsi="Arial" w:cs="Arial"/>
          <w:sz w:val="22"/>
          <w:szCs w:val="22"/>
        </w:rPr>
      </w:pPr>
    </w:p>
    <w:p w14:paraId="26084FFA" w14:textId="029A52E4" w:rsidR="003161B6" w:rsidRDefault="003161B6" w:rsidP="00957F2F">
      <w:pPr>
        <w:pStyle w:val="Kop2"/>
        <w:ind w:hanging="283"/>
      </w:pPr>
      <w:r>
        <w:t>Better protection of employees in the event of bankruptcy</w:t>
      </w:r>
    </w:p>
    <w:p w14:paraId="7B4041E2" w14:textId="77777777" w:rsidR="00131537" w:rsidRDefault="00131537" w:rsidP="003161B6">
      <w:pPr>
        <w:rPr>
          <w:rFonts w:ascii="Arial" w:hAnsi="Arial" w:cs="Arial"/>
          <w:sz w:val="22"/>
          <w:szCs w:val="22"/>
        </w:rPr>
      </w:pPr>
    </w:p>
    <w:p w14:paraId="1D0B7A58" w14:textId="636677C9" w:rsidR="003161B6" w:rsidRPr="00F27EBA" w:rsidRDefault="003161B6" w:rsidP="003161B6">
      <w:pPr>
        <w:rPr>
          <w:rFonts w:ascii="Arial" w:hAnsi="Arial" w:cs="Arial"/>
          <w:sz w:val="22"/>
          <w:szCs w:val="22"/>
        </w:rPr>
      </w:pPr>
      <w:r>
        <w:rPr>
          <w:rFonts w:ascii="Arial" w:hAnsi="Arial"/>
          <w:sz w:val="22"/>
        </w:rPr>
        <w:t>The legislative proposal on the Transfer of Undertakings in Bankruptcy Act (</w:t>
      </w:r>
      <w:r>
        <w:rPr>
          <w:rFonts w:ascii="Arial" w:hAnsi="Arial"/>
          <w:i/>
          <w:iCs/>
          <w:sz w:val="22"/>
        </w:rPr>
        <w:t>Wet overgang van onderneming in faillissement</w:t>
      </w:r>
      <w:r>
        <w:rPr>
          <w:rFonts w:ascii="Arial" w:hAnsi="Arial"/>
          <w:sz w:val="22"/>
        </w:rPr>
        <w:t xml:space="preserve"> – Wovof) has been submitted to the Council of State for an opinion. The aim of this legislative proposal is to protect employees when a bankrupt company is restarted.</w:t>
      </w:r>
    </w:p>
    <w:p w14:paraId="5C6156A3" w14:textId="77777777" w:rsidR="003161B6" w:rsidRPr="00F27EBA" w:rsidRDefault="003161B6" w:rsidP="003161B6">
      <w:pPr>
        <w:rPr>
          <w:rFonts w:ascii="Arial" w:hAnsi="Arial" w:cs="Arial"/>
          <w:sz w:val="22"/>
          <w:szCs w:val="22"/>
        </w:rPr>
      </w:pPr>
    </w:p>
    <w:p w14:paraId="1D458ECC" w14:textId="77777777" w:rsidR="003161B6" w:rsidRPr="00131537" w:rsidRDefault="003161B6" w:rsidP="003161B6">
      <w:pPr>
        <w:rPr>
          <w:rFonts w:ascii="Arial" w:hAnsi="Arial" w:cs="Arial"/>
          <w:b/>
          <w:bCs/>
          <w:sz w:val="22"/>
          <w:szCs w:val="22"/>
        </w:rPr>
      </w:pPr>
      <w:r>
        <w:rPr>
          <w:rFonts w:ascii="Arial" w:hAnsi="Arial"/>
          <w:b/>
          <w:sz w:val="22"/>
        </w:rPr>
        <w:t>Protection of employees</w:t>
      </w:r>
    </w:p>
    <w:p w14:paraId="1083EAF3" w14:textId="3B61C36A" w:rsidR="003161B6" w:rsidRPr="00F27EBA" w:rsidRDefault="003161B6" w:rsidP="003161B6">
      <w:pPr>
        <w:rPr>
          <w:rFonts w:ascii="Arial" w:hAnsi="Arial" w:cs="Arial"/>
          <w:sz w:val="22"/>
          <w:szCs w:val="22"/>
        </w:rPr>
      </w:pPr>
      <w:r>
        <w:rPr>
          <w:rFonts w:ascii="Arial" w:hAnsi="Arial"/>
          <w:sz w:val="22"/>
        </w:rPr>
        <w:t>The legislative proposal includes an obligation to retain most of the employees when restarting a company. This puts employees in a better position and creates an additional barrier to prevent abuse of the bankruptcy procedure. Restarting a company cannot be used as a reason for failing to offer employees an employment contract. Entrepreneurs who take over a company (acquirers) are currently free to choose who they want to retain and who they do not.</w:t>
      </w:r>
      <w:r>
        <w:rPr>
          <w:rFonts w:ascii="Arial" w:hAnsi="Arial"/>
          <w:sz w:val="22"/>
        </w:rPr>
        <w:br/>
        <w:t xml:space="preserve"> </w:t>
      </w:r>
    </w:p>
    <w:p w14:paraId="37C67F3C" w14:textId="77777777" w:rsidR="003161B6" w:rsidRPr="00131537" w:rsidRDefault="003161B6" w:rsidP="003161B6">
      <w:pPr>
        <w:rPr>
          <w:rFonts w:ascii="Arial" w:hAnsi="Arial" w:cs="Arial"/>
          <w:b/>
          <w:bCs/>
          <w:sz w:val="22"/>
          <w:szCs w:val="22"/>
        </w:rPr>
      </w:pPr>
      <w:r>
        <w:rPr>
          <w:rFonts w:ascii="Arial" w:hAnsi="Arial"/>
          <w:b/>
          <w:sz w:val="22"/>
        </w:rPr>
        <w:t>Objective criteria</w:t>
      </w:r>
    </w:p>
    <w:p w14:paraId="550BEF19" w14:textId="6D0E32A8" w:rsidR="003161B6" w:rsidRPr="00F27EBA" w:rsidRDefault="003161B6" w:rsidP="003161B6">
      <w:pPr>
        <w:rPr>
          <w:rFonts w:ascii="Arial" w:hAnsi="Arial" w:cs="Arial"/>
          <w:sz w:val="22"/>
          <w:szCs w:val="22"/>
        </w:rPr>
      </w:pPr>
      <w:r>
        <w:rPr>
          <w:rFonts w:ascii="Arial" w:hAnsi="Arial"/>
          <w:sz w:val="22"/>
        </w:rPr>
        <w:t>The legislative proposal also sets out objective criteria for determining whether fewer employees may be retained. This is only possible for commercial reasons, such as a reduction in the number of customers, the relocation of the business or the automation of activities. The selection process will therefore be comparable with that employed in the case of redundancies for commercial reasons outside of bankruptcy.</w:t>
      </w:r>
    </w:p>
    <w:p w14:paraId="45E064CE" w14:textId="77777777" w:rsidR="003161B6" w:rsidRPr="00F27EBA" w:rsidRDefault="003161B6" w:rsidP="003161B6">
      <w:pPr>
        <w:rPr>
          <w:rFonts w:ascii="Arial" w:hAnsi="Arial" w:cs="Arial"/>
          <w:sz w:val="22"/>
          <w:szCs w:val="22"/>
        </w:rPr>
      </w:pPr>
    </w:p>
    <w:p w14:paraId="4C87FAB1" w14:textId="77777777" w:rsidR="003161B6" w:rsidRPr="00131537" w:rsidRDefault="003161B6" w:rsidP="003161B6">
      <w:pPr>
        <w:rPr>
          <w:rFonts w:ascii="Arial" w:hAnsi="Arial" w:cs="Arial"/>
          <w:b/>
          <w:bCs/>
          <w:sz w:val="22"/>
          <w:szCs w:val="22"/>
        </w:rPr>
      </w:pPr>
      <w:r>
        <w:rPr>
          <w:rFonts w:ascii="Arial" w:hAnsi="Arial"/>
          <w:b/>
          <w:sz w:val="22"/>
        </w:rPr>
        <w:t>Employment conditions</w:t>
      </w:r>
    </w:p>
    <w:p w14:paraId="5211F3F2" w14:textId="54BA52A9" w:rsidR="003161B6" w:rsidRPr="00F27EBA" w:rsidRDefault="003161B6" w:rsidP="003161B6">
      <w:pPr>
        <w:rPr>
          <w:rFonts w:ascii="Arial" w:hAnsi="Arial" w:cs="Arial"/>
          <w:sz w:val="22"/>
          <w:szCs w:val="22"/>
        </w:rPr>
      </w:pPr>
      <w:r>
        <w:rPr>
          <w:rFonts w:ascii="Arial" w:hAnsi="Arial"/>
          <w:sz w:val="22"/>
        </w:rPr>
        <w:t xml:space="preserve">Acquirers can currently decide for themselves what employment conditions they will offer to the employees concerned. The legislative proposal also includes a change with regard to this point. The participation bodies, such as the works council, employee representative body or employee meeting, will be allowed to issue an opinion on the proposed transfer of the business. </w:t>
      </w:r>
    </w:p>
    <w:p w14:paraId="15C87251" w14:textId="77777777" w:rsidR="003161B6" w:rsidRPr="00F27EBA" w:rsidRDefault="003161B6" w:rsidP="003161B6">
      <w:pPr>
        <w:rPr>
          <w:rFonts w:ascii="Arial" w:hAnsi="Arial" w:cs="Arial"/>
          <w:sz w:val="22"/>
          <w:szCs w:val="22"/>
        </w:rPr>
      </w:pPr>
    </w:p>
    <w:p w14:paraId="45D65A61" w14:textId="77777777" w:rsidR="003161B6" w:rsidRPr="00131537" w:rsidRDefault="003161B6" w:rsidP="003161B6">
      <w:pPr>
        <w:rPr>
          <w:rFonts w:ascii="Arial" w:hAnsi="Arial" w:cs="Arial"/>
          <w:b/>
          <w:bCs/>
          <w:sz w:val="22"/>
          <w:szCs w:val="22"/>
        </w:rPr>
      </w:pPr>
      <w:r>
        <w:rPr>
          <w:rFonts w:ascii="Arial" w:hAnsi="Arial"/>
          <w:b/>
          <w:sz w:val="22"/>
        </w:rPr>
        <w:t>Assessment by judge</w:t>
      </w:r>
    </w:p>
    <w:p w14:paraId="4B56039E" w14:textId="76FE9499" w:rsidR="003161B6" w:rsidRPr="00F27EBA" w:rsidRDefault="003161B6" w:rsidP="003161B6">
      <w:pPr>
        <w:rPr>
          <w:rFonts w:ascii="Arial" w:hAnsi="Arial" w:cs="Arial"/>
          <w:sz w:val="22"/>
          <w:szCs w:val="22"/>
        </w:rPr>
      </w:pPr>
      <w:r>
        <w:rPr>
          <w:rFonts w:ascii="Arial" w:hAnsi="Arial"/>
          <w:sz w:val="22"/>
        </w:rPr>
        <w:t xml:space="preserve">If the legislative proposal is adopted without amendments, the delegated judge involved in the bankruptcy proceedings will determine whether the selection has been made objectively and transparently. Employees will therefore benefit from protection comparable with that enjoyed outside of bankruptcy. </w:t>
      </w:r>
    </w:p>
    <w:p w14:paraId="3DD5B012" w14:textId="77777777" w:rsidR="003161B6" w:rsidRPr="00F27EBA" w:rsidRDefault="003161B6" w:rsidP="003161B6">
      <w:pPr>
        <w:rPr>
          <w:rFonts w:ascii="Arial" w:hAnsi="Arial" w:cs="Arial"/>
          <w:sz w:val="22"/>
          <w:szCs w:val="22"/>
        </w:rPr>
      </w:pPr>
    </w:p>
    <w:p w14:paraId="1523DEB8" w14:textId="77777777" w:rsidR="00131537" w:rsidRDefault="003161B6" w:rsidP="00816581">
      <w:pPr>
        <w:shd w:val="clear" w:color="auto" w:fill="D9D9D9" w:themeFill="background1" w:themeFillShade="D9"/>
        <w:rPr>
          <w:rFonts w:ascii="Arial" w:hAnsi="Arial" w:cs="Arial"/>
          <w:sz w:val="22"/>
          <w:szCs w:val="22"/>
        </w:rPr>
      </w:pPr>
      <w:r>
        <w:rPr>
          <w:rFonts w:ascii="Arial" w:hAnsi="Arial"/>
          <w:b/>
          <w:sz w:val="22"/>
        </w:rPr>
        <w:t>Please note:</w:t>
      </w:r>
    </w:p>
    <w:p w14:paraId="5E5A45BF" w14:textId="0B021283" w:rsidR="003161B6" w:rsidRPr="00F27EBA" w:rsidRDefault="003161B6" w:rsidP="00816581">
      <w:pPr>
        <w:shd w:val="clear" w:color="auto" w:fill="D9D9D9" w:themeFill="background1" w:themeFillShade="D9"/>
        <w:rPr>
          <w:rFonts w:ascii="Arial" w:hAnsi="Arial" w:cs="Arial"/>
          <w:sz w:val="22"/>
          <w:szCs w:val="22"/>
        </w:rPr>
      </w:pPr>
      <w:r>
        <w:rPr>
          <w:rFonts w:ascii="Arial" w:hAnsi="Arial"/>
          <w:sz w:val="22"/>
        </w:rPr>
        <w:t>The rules will not apply to small businesses with fewer than twenty employees, unless the acquirer of the business chooses to apply them.</w:t>
      </w:r>
    </w:p>
    <w:p w14:paraId="48328B0D" w14:textId="77777777" w:rsidR="003161B6" w:rsidRPr="00F27EBA" w:rsidRDefault="003161B6" w:rsidP="003161B6">
      <w:pPr>
        <w:rPr>
          <w:rFonts w:ascii="Arial" w:hAnsi="Arial" w:cs="Arial"/>
          <w:sz w:val="22"/>
          <w:szCs w:val="22"/>
        </w:rPr>
      </w:pPr>
    </w:p>
    <w:p w14:paraId="4C8AFBDF" w14:textId="77777777" w:rsidR="0080169D" w:rsidRDefault="0080169D" w:rsidP="003161B6">
      <w:pPr>
        <w:rPr>
          <w:rFonts w:ascii="Arial" w:hAnsi="Arial"/>
          <w:b/>
          <w:sz w:val="22"/>
        </w:rPr>
      </w:pPr>
    </w:p>
    <w:p w14:paraId="53963773" w14:textId="77777777" w:rsidR="0080169D" w:rsidRDefault="0080169D" w:rsidP="003161B6">
      <w:pPr>
        <w:rPr>
          <w:rFonts w:ascii="Arial" w:hAnsi="Arial"/>
          <w:b/>
          <w:sz w:val="22"/>
        </w:rPr>
      </w:pPr>
    </w:p>
    <w:p w14:paraId="560D4352" w14:textId="0AED7B0C" w:rsidR="003161B6" w:rsidRPr="00131537" w:rsidRDefault="003161B6" w:rsidP="003161B6">
      <w:pPr>
        <w:rPr>
          <w:rFonts w:ascii="Arial" w:hAnsi="Arial" w:cs="Arial"/>
          <w:b/>
          <w:bCs/>
          <w:sz w:val="22"/>
          <w:szCs w:val="22"/>
        </w:rPr>
      </w:pPr>
      <w:r>
        <w:rPr>
          <w:rFonts w:ascii="Arial" w:hAnsi="Arial"/>
          <w:b/>
          <w:sz w:val="22"/>
        </w:rPr>
        <w:lastRenderedPageBreak/>
        <w:t>Non-competition clause will lapse as standard</w:t>
      </w:r>
    </w:p>
    <w:p w14:paraId="2562D825" w14:textId="15C5F75E" w:rsidR="003161B6" w:rsidRDefault="003161B6" w:rsidP="003161B6">
      <w:pPr>
        <w:rPr>
          <w:rFonts w:ascii="Arial" w:hAnsi="Arial" w:cs="Arial"/>
          <w:sz w:val="22"/>
          <w:szCs w:val="22"/>
        </w:rPr>
      </w:pPr>
      <w:r>
        <w:rPr>
          <w:rFonts w:ascii="Arial" w:hAnsi="Arial"/>
          <w:sz w:val="22"/>
        </w:rPr>
        <w:t>If the legislative proposal is passed, a non-competition clause will lapse automatically at the end of employment if an employee is not offered an employment contract before this point. This will make it easier for employees who are deemed surplus to requirements and not offered an employment contract to find other work as quickly as possible. At present, a contractually agreed non-competition clause does not lapse in the event of bankruptcy.</w:t>
      </w:r>
    </w:p>
    <w:p w14:paraId="1C8E1106" w14:textId="77777777" w:rsidR="003161B6" w:rsidRPr="00F27EBA" w:rsidRDefault="003161B6" w:rsidP="00F27EBA">
      <w:pPr>
        <w:rPr>
          <w:rFonts w:cs="Arial"/>
          <w:sz w:val="22"/>
        </w:rPr>
      </w:pPr>
    </w:p>
    <w:p w14:paraId="1C4D3468" w14:textId="152AC8B7" w:rsidR="009A25CE" w:rsidRDefault="009A25CE" w:rsidP="00957F2F">
      <w:pPr>
        <w:pStyle w:val="Kop2"/>
        <w:ind w:hanging="283"/>
      </w:pPr>
      <w:r>
        <w:t>Case-law – miscellaneous</w:t>
      </w:r>
    </w:p>
    <w:p w14:paraId="75D8241D" w14:textId="77777777" w:rsidR="009A25CE" w:rsidRDefault="009A25CE" w:rsidP="009A25CE"/>
    <w:p w14:paraId="1D0540F8" w14:textId="1B92257B" w:rsidR="00210BA5" w:rsidRPr="009A25CE" w:rsidRDefault="009A25CE" w:rsidP="009A25CE">
      <w:pPr>
        <w:rPr>
          <w:rFonts w:ascii="Arial" w:hAnsi="Arial" w:cs="Arial"/>
          <w:sz w:val="22"/>
          <w:szCs w:val="22"/>
        </w:rPr>
      </w:pPr>
      <w:r>
        <w:rPr>
          <w:rFonts w:ascii="Arial" w:hAnsi="Arial"/>
          <w:b/>
          <w:sz w:val="22"/>
        </w:rPr>
        <w:t>Supreme Court: thirteen years of temporary employment too long</w:t>
      </w:r>
      <w:r>
        <w:rPr>
          <w:rFonts w:ascii="Arial" w:hAnsi="Arial"/>
          <w:b/>
          <w:sz w:val="22"/>
        </w:rPr>
        <w:br/>
      </w:r>
      <w:r>
        <w:rPr>
          <w:rFonts w:ascii="Arial" w:hAnsi="Arial"/>
          <w:sz w:val="22"/>
        </w:rPr>
        <w:t xml:space="preserve">On </w:t>
      </w:r>
      <w:hyperlink r:id="rId59" w:history="1">
        <w:r>
          <w:rPr>
            <w:rStyle w:val="Hyperlink"/>
            <w:rFonts w:ascii="Arial" w:hAnsi="Arial"/>
            <w:sz w:val="22"/>
          </w:rPr>
          <w:t>21 November 2025</w:t>
        </w:r>
      </w:hyperlink>
      <w:r>
        <w:rPr>
          <w:rFonts w:ascii="Arial" w:hAnsi="Arial"/>
          <w:sz w:val="22"/>
        </w:rPr>
        <w:t xml:space="preserve"> the Supreme Court ruled that in accordance with European law temporary work must actually be of a temporary nature. Whether it is a question of one continuous assignment or a number of consecutive assignments is irrelevant. The rules are deemed to have been abused if the temporary worker has been working for a company for such a long period that the work can no longer reasonably be regarded as temporary. A different conclusion is only reached if the company can provide an objective explanation for the situation. According to the Supreme Court, a company’s general need to have access to flexible workers does not adequately explain why a temporary worker has been engaged for an unbroken period of thirteen years. A consequence of the above may be that an employment contract is deemed to exist with the temporary worker. The Supreme Court has instructed a court of appeal to examine and assess this in more detail in this particular case.</w:t>
      </w:r>
    </w:p>
    <w:p w14:paraId="6D9A1999" w14:textId="77777777" w:rsidR="00210BA5" w:rsidRDefault="00210BA5" w:rsidP="00210BA5">
      <w:pPr>
        <w:rPr>
          <w:b/>
          <w:bCs/>
        </w:rPr>
      </w:pPr>
    </w:p>
    <w:p w14:paraId="40C39B10" w14:textId="52FEB540" w:rsidR="002D04FF" w:rsidRPr="002D04FF" w:rsidRDefault="002D04FF" w:rsidP="002D04FF">
      <w:pPr>
        <w:rPr>
          <w:rFonts w:ascii="Arial" w:hAnsi="Arial" w:cs="Arial"/>
          <w:b/>
          <w:bCs/>
          <w:sz w:val="22"/>
          <w:szCs w:val="22"/>
        </w:rPr>
      </w:pPr>
      <w:r>
        <w:rPr>
          <w:rFonts w:ascii="Arial" w:hAnsi="Arial"/>
          <w:b/>
          <w:sz w:val="22"/>
        </w:rPr>
        <w:t>Right to variable salary component retained during holiday</w:t>
      </w:r>
    </w:p>
    <w:p w14:paraId="2B2099F8" w14:textId="60BB0373" w:rsidR="002D04FF" w:rsidRPr="002D04FF" w:rsidRDefault="002D04FF" w:rsidP="002D04FF">
      <w:pPr>
        <w:rPr>
          <w:rFonts w:ascii="Arial" w:hAnsi="Arial" w:cs="Arial"/>
          <w:sz w:val="22"/>
          <w:szCs w:val="22"/>
        </w:rPr>
      </w:pPr>
      <w:bookmarkStart w:id="102" w:name="_Hlk216260167"/>
      <w:r>
        <w:rPr>
          <w:rFonts w:ascii="Arial" w:hAnsi="Arial"/>
          <w:sz w:val="22"/>
        </w:rPr>
        <w:t xml:space="preserve">On </w:t>
      </w:r>
      <w:hyperlink r:id="rId60" w:history="1">
        <w:r>
          <w:rPr>
            <w:rStyle w:val="Hyperlink"/>
            <w:rFonts w:ascii="Arial" w:hAnsi="Arial"/>
            <w:sz w:val="22"/>
          </w:rPr>
          <w:t>21 November 2025</w:t>
        </w:r>
      </w:hyperlink>
      <w:r>
        <w:rPr>
          <w:rFonts w:ascii="Arial" w:hAnsi="Arial"/>
          <w:sz w:val="22"/>
        </w:rPr>
        <w:t xml:space="preserve"> the Supreme Court ruled that employees may not be financially disadvantaged by taking holiday. Otherwise, they would be encouraged to carry on working instead of taking a rest. This would be in conflict with European law, which focuses on employees being allowed periods of actual rest and recovery. The physiotherapists in the case in question were therefore also entitled to receive the variable portion of their salary, which was sales-dependent, while they were on holiday. During their holiday the employer was not allowed to limit their pay to their basic salary. It is therefore important to be aware of this when making agreements on variable remuneration components, such as a sales-dependent salary, commission or structural overtime. There is a good chance that these remuneration components will also have to be paid while your employees are on holiday</w:t>
      </w:r>
      <w:bookmarkEnd w:id="102"/>
      <w:r>
        <w:rPr>
          <w:rFonts w:ascii="Arial" w:hAnsi="Arial"/>
          <w:sz w:val="22"/>
        </w:rPr>
        <w:t>.</w:t>
      </w:r>
    </w:p>
    <w:p w14:paraId="1874DDB2" w14:textId="77777777" w:rsidR="00210BA5" w:rsidRPr="00047B49" w:rsidRDefault="00210BA5" w:rsidP="0088318F">
      <w:pPr>
        <w:rPr>
          <w:rFonts w:ascii="Arial" w:hAnsi="Arial" w:cs="Arial"/>
          <w:b/>
          <w:bCs/>
          <w:sz w:val="22"/>
          <w:szCs w:val="22"/>
        </w:rPr>
      </w:pPr>
    </w:p>
    <w:p w14:paraId="6A5A24F5" w14:textId="7F8A2022" w:rsidR="00047B49" w:rsidRPr="00047B49" w:rsidRDefault="00047B49" w:rsidP="00047B49">
      <w:pPr>
        <w:rPr>
          <w:rFonts w:ascii="Arial" w:hAnsi="Arial" w:cs="Arial"/>
          <w:b/>
          <w:bCs/>
          <w:sz w:val="22"/>
          <w:szCs w:val="22"/>
        </w:rPr>
      </w:pPr>
      <w:r>
        <w:rPr>
          <w:rFonts w:ascii="Arial" w:hAnsi="Arial"/>
          <w:b/>
          <w:sz w:val="22"/>
        </w:rPr>
        <w:t>What is an on-call worker’s entitlement to hours after twelve months?</w:t>
      </w:r>
    </w:p>
    <w:p w14:paraId="1F48CB49" w14:textId="15BDA345" w:rsidR="00047B49" w:rsidRPr="00047B49" w:rsidRDefault="00047B49" w:rsidP="00047B49">
      <w:pPr>
        <w:rPr>
          <w:rFonts w:ascii="Arial" w:hAnsi="Arial" w:cs="Arial"/>
          <w:sz w:val="22"/>
          <w:szCs w:val="22"/>
        </w:rPr>
      </w:pPr>
      <w:r>
        <w:rPr>
          <w:rFonts w:ascii="Arial" w:hAnsi="Arial"/>
          <w:sz w:val="22"/>
        </w:rPr>
        <w:t xml:space="preserve">On-call workers can rely on a legal presumption relating to the number of hours they have worked. They can refer to the average number of hours worked over a three-month period. In addition, after twelve months, an employer is obliged – in the thirteenth month (the so-called </w:t>
      </w:r>
      <w:r>
        <w:rPr>
          <w:rFonts w:ascii="Arial" w:hAnsi="Arial"/>
          <w:i/>
          <w:iCs/>
          <w:sz w:val="22"/>
        </w:rPr>
        <w:t>vastklikmoment</w:t>
      </w:r>
      <w:r>
        <w:rPr>
          <w:rFonts w:ascii="Arial" w:hAnsi="Arial"/>
          <w:sz w:val="22"/>
        </w:rPr>
        <w:t xml:space="preserve">) – to offer an on-call worker a fixed number of hours (the offer of hours), based on the average number of hours worked over that twelve-month period. On </w:t>
      </w:r>
      <w:hyperlink r:id="rId61" w:history="1">
        <w:r>
          <w:rPr>
            <w:rStyle w:val="Hyperlink"/>
            <w:rFonts w:ascii="Arial" w:hAnsi="Arial"/>
            <w:sz w:val="22"/>
          </w:rPr>
          <w:t>28 November 2025</w:t>
        </w:r>
      </w:hyperlink>
      <w:r>
        <w:rPr>
          <w:rFonts w:ascii="Arial" w:hAnsi="Arial"/>
          <w:sz w:val="22"/>
        </w:rPr>
        <w:t xml:space="preserve"> the Supreme Court ruled that an on-call worker can always rely on the legal presumption, even if he/she has repeatedly rejected the offer of hours at various points when the offer had to be made. Such rejection of the offer therefore does not stop the employee making a claim for pay on the basis of the legal presumption.</w:t>
      </w:r>
    </w:p>
    <w:p w14:paraId="46AB61CC" w14:textId="77777777" w:rsidR="00047B49" w:rsidRPr="00047B49" w:rsidRDefault="00047B49" w:rsidP="00047B49">
      <w:pPr>
        <w:rPr>
          <w:rFonts w:ascii="Arial" w:hAnsi="Arial" w:cs="Arial"/>
          <w:sz w:val="22"/>
          <w:szCs w:val="22"/>
        </w:rPr>
      </w:pPr>
    </w:p>
    <w:p w14:paraId="17333A7A" w14:textId="77777777" w:rsidR="000253F6" w:rsidRDefault="00047B49" w:rsidP="00816581">
      <w:pPr>
        <w:shd w:val="clear" w:color="auto" w:fill="D9D9D9" w:themeFill="background1" w:themeFillShade="D9"/>
        <w:rPr>
          <w:rFonts w:ascii="Arial" w:hAnsi="Arial" w:cs="Arial"/>
          <w:b/>
          <w:bCs/>
          <w:sz w:val="22"/>
          <w:szCs w:val="22"/>
        </w:rPr>
      </w:pPr>
      <w:r>
        <w:rPr>
          <w:rFonts w:ascii="Arial" w:hAnsi="Arial"/>
          <w:b/>
          <w:sz w:val="22"/>
        </w:rPr>
        <w:t>Please note:</w:t>
      </w:r>
    </w:p>
    <w:p w14:paraId="37D3A461" w14:textId="6C85C7D2" w:rsidR="00047B49" w:rsidRPr="00047B49" w:rsidRDefault="00047B49" w:rsidP="00816581">
      <w:pPr>
        <w:shd w:val="clear" w:color="auto" w:fill="D9D9D9" w:themeFill="background1" w:themeFillShade="D9"/>
        <w:rPr>
          <w:rFonts w:ascii="Arial" w:hAnsi="Arial" w:cs="Arial"/>
          <w:sz w:val="22"/>
          <w:szCs w:val="22"/>
        </w:rPr>
      </w:pPr>
      <w:r>
        <w:rPr>
          <w:rFonts w:ascii="Arial" w:hAnsi="Arial"/>
          <w:sz w:val="22"/>
        </w:rPr>
        <w:t>An employer can rebut an employee’s reliance on the legal presumption by arguing that the period in question was not representative. This may apply, for example, in a situation in which the amount of work carried out over the previous three months was out of the ordinary, due to the fact that it was a peak period, the employee was providing sickness cover, etc.</w:t>
      </w:r>
    </w:p>
    <w:p w14:paraId="4D55EBD6" w14:textId="77777777" w:rsidR="00047B49" w:rsidRPr="00047B49" w:rsidRDefault="00047B49" w:rsidP="00047B49">
      <w:pPr>
        <w:rPr>
          <w:rFonts w:ascii="Arial" w:hAnsi="Arial" w:cs="Arial"/>
          <w:sz w:val="22"/>
          <w:szCs w:val="22"/>
        </w:rPr>
      </w:pPr>
    </w:p>
    <w:p w14:paraId="4CAAD929" w14:textId="77777777" w:rsidR="000253F6" w:rsidRDefault="00047B49" w:rsidP="00816581">
      <w:pPr>
        <w:shd w:val="clear" w:color="auto" w:fill="D9D9D9" w:themeFill="background1" w:themeFillShade="D9"/>
        <w:rPr>
          <w:rFonts w:ascii="Arial" w:hAnsi="Arial" w:cs="Arial"/>
          <w:sz w:val="22"/>
          <w:szCs w:val="22"/>
        </w:rPr>
      </w:pPr>
      <w:r>
        <w:rPr>
          <w:rFonts w:ascii="Arial" w:hAnsi="Arial"/>
          <w:b/>
          <w:sz w:val="22"/>
        </w:rPr>
        <w:lastRenderedPageBreak/>
        <w:t>Tip:</w:t>
      </w:r>
    </w:p>
    <w:p w14:paraId="74455F55" w14:textId="266004F4" w:rsidR="00047B49" w:rsidRDefault="00047B49" w:rsidP="00816581">
      <w:pPr>
        <w:shd w:val="clear" w:color="auto" w:fill="D9D9D9" w:themeFill="background1" w:themeFillShade="D9"/>
        <w:rPr>
          <w:rFonts w:ascii="Arial" w:hAnsi="Arial" w:cs="Arial"/>
          <w:sz w:val="22"/>
          <w:szCs w:val="22"/>
        </w:rPr>
      </w:pPr>
      <w:r>
        <w:rPr>
          <w:rFonts w:ascii="Arial" w:hAnsi="Arial"/>
          <w:sz w:val="22"/>
        </w:rPr>
        <w:t>It is important to keep making an offer of hours and to make a written record of the fact that the on-call worker has rejected it.</w:t>
      </w:r>
    </w:p>
    <w:p w14:paraId="0E15F8D2" w14:textId="77777777" w:rsidR="00047B49" w:rsidRDefault="00047B49" w:rsidP="00047B49">
      <w:pPr>
        <w:rPr>
          <w:rFonts w:ascii="Arial" w:hAnsi="Arial" w:cs="Arial"/>
          <w:sz w:val="22"/>
          <w:szCs w:val="22"/>
        </w:rPr>
      </w:pPr>
    </w:p>
    <w:p w14:paraId="1D822541" w14:textId="70FF70C6" w:rsidR="00047B49" w:rsidRDefault="00007D4A" w:rsidP="00047B49">
      <w:pPr>
        <w:rPr>
          <w:rFonts w:ascii="Arial" w:hAnsi="Arial" w:cs="Arial"/>
          <w:b/>
          <w:bCs/>
          <w:sz w:val="22"/>
          <w:szCs w:val="22"/>
        </w:rPr>
      </w:pPr>
      <w:r>
        <w:rPr>
          <w:rFonts w:ascii="Arial" w:hAnsi="Arial"/>
          <w:b/>
          <w:sz w:val="22"/>
        </w:rPr>
        <w:t>Instant dismissal: two cases</w:t>
      </w:r>
    </w:p>
    <w:p w14:paraId="0B895E9F" w14:textId="14135F26" w:rsidR="00B82075" w:rsidRDefault="00007D4A" w:rsidP="00047B49">
      <w:pPr>
        <w:rPr>
          <w:rFonts w:ascii="Arial" w:hAnsi="Arial" w:cs="Arial"/>
          <w:sz w:val="22"/>
          <w:szCs w:val="22"/>
        </w:rPr>
      </w:pPr>
      <w:r>
        <w:rPr>
          <w:rFonts w:ascii="Arial" w:hAnsi="Arial"/>
          <w:sz w:val="22"/>
        </w:rPr>
        <w:t xml:space="preserve">When is instant dismissal permitted? We look at two cases below. On </w:t>
      </w:r>
      <w:hyperlink r:id="rId62" w:history="1">
        <w:r>
          <w:rPr>
            <w:rStyle w:val="Hyperlink"/>
            <w:rFonts w:ascii="Arial" w:hAnsi="Arial"/>
            <w:sz w:val="22"/>
          </w:rPr>
          <w:t>25 September 2025</w:t>
        </w:r>
      </w:hyperlink>
      <w:r>
        <w:rPr>
          <w:rFonts w:ascii="Arial" w:hAnsi="Arial"/>
          <w:sz w:val="22"/>
        </w:rPr>
        <w:t xml:space="preserve"> Rotterdam District Court ruled that an employee (manager) who used inflammatory language in a WhatsApp message to all employees had rightly been dismissed with immediate effect. The WhatsApp message had been kept secret from the owner of the business and contained concrete plans to put the owner under pressure and force him out. </w:t>
      </w:r>
    </w:p>
    <w:p w14:paraId="1B9930C5" w14:textId="77777777" w:rsidR="00B82075" w:rsidRDefault="00B82075" w:rsidP="00047B49">
      <w:pPr>
        <w:rPr>
          <w:rFonts w:ascii="Arial" w:hAnsi="Arial" w:cs="Arial"/>
          <w:sz w:val="22"/>
          <w:szCs w:val="22"/>
        </w:rPr>
      </w:pPr>
    </w:p>
    <w:p w14:paraId="715BCB5D" w14:textId="7EAC2E96" w:rsidR="00007D4A" w:rsidRDefault="00007D4A" w:rsidP="00047B49">
      <w:pPr>
        <w:rPr>
          <w:rFonts w:ascii="Arial" w:hAnsi="Arial" w:cs="Arial"/>
          <w:sz w:val="22"/>
          <w:szCs w:val="22"/>
        </w:rPr>
      </w:pPr>
      <w:r>
        <w:rPr>
          <w:rFonts w:ascii="Arial" w:hAnsi="Arial"/>
          <w:sz w:val="22"/>
        </w:rPr>
        <w:t xml:space="preserve">On </w:t>
      </w:r>
      <w:hyperlink r:id="rId63" w:history="1">
        <w:r>
          <w:rPr>
            <w:rStyle w:val="Hyperlink"/>
            <w:rFonts w:ascii="Arial" w:hAnsi="Arial"/>
            <w:sz w:val="22"/>
          </w:rPr>
          <w:t>8 August 2025</w:t>
        </w:r>
      </w:hyperlink>
      <w:r>
        <w:rPr>
          <w:rFonts w:ascii="Arial" w:hAnsi="Arial"/>
          <w:sz w:val="22"/>
        </w:rPr>
        <w:t xml:space="preserve"> Zeeland-West-Brabant District Court ruled that the instant dismissal of an employee who had disappeared was unjustified. The employee had a temporary contract, but during the term of this contract stated that he no longer wished to work for the employer. He then disappeared completely and failed to respond to any messages or written warnings. The employer subsequently stopped paying his salary and, three days later, dismissed the employee with immediate effect on account of refusal to work. The court ruled that there was no urgent reason to dismiss the employee with immediate effect. After all, the employer could have continued to withhold the employee’s salary and applied to the subdistrict court for termination of the contract.</w:t>
      </w:r>
    </w:p>
    <w:p w14:paraId="28DC8D66" w14:textId="77777777" w:rsidR="00C77D6E" w:rsidRDefault="00C77D6E" w:rsidP="00047B49">
      <w:pPr>
        <w:rPr>
          <w:rFonts w:ascii="Arial" w:hAnsi="Arial" w:cs="Arial"/>
          <w:sz w:val="22"/>
          <w:szCs w:val="22"/>
        </w:rPr>
      </w:pPr>
    </w:p>
    <w:p w14:paraId="7689066B" w14:textId="7EBF18B0" w:rsidR="00C77D6E" w:rsidRDefault="00D672B4" w:rsidP="00047B49">
      <w:pPr>
        <w:rPr>
          <w:rFonts w:ascii="Arial" w:hAnsi="Arial" w:cs="Arial"/>
          <w:sz w:val="22"/>
          <w:szCs w:val="22"/>
        </w:rPr>
      </w:pPr>
      <w:r>
        <w:rPr>
          <w:rFonts w:ascii="Arial" w:hAnsi="Arial"/>
          <w:b/>
          <w:sz w:val="22"/>
        </w:rPr>
        <w:t>Declaring an employment contract void if an employee breaches a disclosure obligation</w:t>
      </w:r>
      <w:r>
        <w:rPr>
          <w:rFonts w:ascii="Arial" w:hAnsi="Arial"/>
          <w:b/>
          <w:sz w:val="22"/>
        </w:rPr>
        <w:br/>
      </w:r>
      <w:r>
        <w:rPr>
          <w:rFonts w:ascii="Arial" w:hAnsi="Arial"/>
          <w:sz w:val="22"/>
        </w:rPr>
        <w:t xml:space="preserve">An employer can declare an employment contract void in a legally valid manner and without the intervention of a court in the event of an error. This is the case if an employee fails to disclose information about his/her state of health when entering into the employment contract. The employee must, however, have known at that point that his/her state of health was such that it would constitute a significant obstacle to his/her performance of the agreed activities for a sustained period of time. </w:t>
      </w:r>
    </w:p>
    <w:p w14:paraId="0C47415E" w14:textId="77777777" w:rsidR="00C77D6E" w:rsidRDefault="00C77D6E" w:rsidP="00047B49">
      <w:pPr>
        <w:rPr>
          <w:rFonts w:ascii="Arial" w:hAnsi="Arial" w:cs="Arial"/>
          <w:sz w:val="22"/>
          <w:szCs w:val="22"/>
        </w:rPr>
      </w:pPr>
    </w:p>
    <w:p w14:paraId="69B3D276" w14:textId="738F3008" w:rsidR="00C77D6E" w:rsidRDefault="00C77D6E" w:rsidP="00047B49">
      <w:pPr>
        <w:rPr>
          <w:rFonts w:ascii="Arial" w:hAnsi="Arial" w:cs="Arial"/>
          <w:sz w:val="22"/>
          <w:szCs w:val="22"/>
        </w:rPr>
      </w:pPr>
      <w:r>
        <w:rPr>
          <w:rFonts w:ascii="Arial" w:hAnsi="Arial"/>
          <w:sz w:val="22"/>
        </w:rPr>
        <w:t xml:space="preserve">On </w:t>
      </w:r>
      <w:hyperlink r:id="rId64" w:history="1">
        <w:r>
          <w:rPr>
            <w:rStyle w:val="Hyperlink"/>
            <w:rFonts w:ascii="Arial" w:hAnsi="Arial"/>
            <w:sz w:val="22"/>
          </w:rPr>
          <w:t>17 September 2025</w:t>
        </w:r>
      </w:hyperlink>
      <w:r>
        <w:rPr>
          <w:rFonts w:ascii="Arial" w:hAnsi="Arial"/>
          <w:sz w:val="22"/>
        </w:rPr>
        <w:t xml:space="preserve"> the Central Netherlands District Court ruled that, when signing an addendum to her employment contract that increased her working hours, an employee should have realised that her psychological vulnerability was a relevant factor with regard to whether she was capable of working more hours on a permanent basis. After signing the addendum, but before the increase in hours took effect, the employee had reported sick due to anxiety and panic attacks. The employer then declared the addendum void, invoking error, and cancelled the increase in the employee’s hours. According to the court, this did not contravene the dismissal system. By failing to report her psychological vulnerability, the employee had breached the disclosure obligation.</w:t>
      </w:r>
    </w:p>
    <w:p w14:paraId="0A4D5981" w14:textId="77777777" w:rsidR="002E47A6" w:rsidRDefault="002E47A6" w:rsidP="00047B49">
      <w:pPr>
        <w:rPr>
          <w:rFonts w:ascii="Arial" w:hAnsi="Arial" w:cs="Arial"/>
          <w:sz w:val="22"/>
          <w:szCs w:val="22"/>
        </w:rPr>
      </w:pPr>
    </w:p>
    <w:p w14:paraId="253156A7" w14:textId="189678B9" w:rsidR="002E47A6" w:rsidRDefault="00AD5CFD" w:rsidP="00047B49">
      <w:pPr>
        <w:rPr>
          <w:rFonts w:ascii="Arial" w:hAnsi="Arial" w:cs="Arial"/>
          <w:sz w:val="22"/>
          <w:szCs w:val="22"/>
        </w:rPr>
      </w:pPr>
      <w:r>
        <w:rPr>
          <w:rFonts w:ascii="Arial" w:hAnsi="Arial"/>
          <w:b/>
          <w:sz w:val="22"/>
        </w:rPr>
        <w:t>Dismissal not legally valid due to unclear trial period</w:t>
      </w:r>
      <w:r>
        <w:rPr>
          <w:rFonts w:ascii="Arial" w:hAnsi="Arial"/>
          <w:b/>
          <w:sz w:val="22"/>
        </w:rPr>
        <w:br/>
      </w:r>
      <w:r>
        <w:rPr>
          <w:rFonts w:ascii="Arial" w:hAnsi="Arial"/>
          <w:sz w:val="22"/>
        </w:rPr>
        <w:t xml:space="preserve">A legally valid trial period is only possible if an employment contract has been agreed for a term of more than six months. On </w:t>
      </w:r>
      <w:hyperlink r:id="rId65" w:history="1">
        <w:r>
          <w:rPr>
            <w:rStyle w:val="Hyperlink"/>
            <w:rFonts w:ascii="Arial" w:hAnsi="Arial"/>
            <w:sz w:val="22"/>
          </w:rPr>
          <w:t>23 May 2025</w:t>
        </w:r>
      </w:hyperlink>
      <w:r>
        <w:rPr>
          <w:rFonts w:ascii="Arial" w:hAnsi="Arial"/>
          <w:sz w:val="22"/>
        </w:rPr>
        <w:t xml:space="preserve"> the Central Netherlands District Court ruled that a healthcare institution had dismissed an employee in a manner that was not legally valid, as the agreed trial period was void. This was because the employment contract did not state clearly whether it had been agreed for a term of six months or a term of six months and two days. According to the court, this lack of clarity was at the employer’s risk and expense. The agreed trial period was void and the employer had therefore dismissed the employee in a seriously culpable manner. The court awarded the employee compensation of € 17,000. This was roughly equal to the amount that she would otherwise have received in salary up to the regular end date of her employment contract.</w:t>
      </w:r>
    </w:p>
    <w:p w14:paraId="6CBA7F80" w14:textId="77777777" w:rsidR="00AD5CFD" w:rsidRDefault="00AD5CFD" w:rsidP="00047B49">
      <w:pPr>
        <w:rPr>
          <w:rFonts w:ascii="Arial" w:hAnsi="Arial" w:cs="Arial"/>
          <w:sz w:val="22"/>
          <w:szCs w:val="22"/>
        </w:rPr>
      </w:pPr>
    </w:p>
    <w:p w14:paraId="5A5ACF69" w14:textId="6D89BAC0" w:rsidR="00AD5CFD" w:rsidRDefault="00AE232F" w:rsidP="00047B49">
      <w:pPr>
        <w:rPr>
          <w:rFonts w:ascii="Arial" w:hAnsi="Arial" w:cs="Arial"/>
          <w:b/>
          <w:bCs/>
          <w:sz w:val="22"/>
          <w:szCs w:val="22"/>
        </w:rPr>
      </w:pPr>
      <w:r>
        <w:rPr>
          <w:rFonts w:ascii="Arial" w:hAnsi="Arial"/>
          <w:b/>
          <w:sz w:val="22"/>
        </w:rPr>
        <w:t>Right to 100% of salary during maternity leave?</w:t>
      </w:r>
    </w:p>
    <w:p w14:paraId="4C7457D8" w14:textId="69EA4D95" w:rsidR="00AE232F" w:rsidRDefault="00AE232F" w:rsidP="00047B49">
      <w:pPr>
        <w:rPr>
          <w:rFonts w:ascii="Arial" w:hAnsi="Arial" w:cs="Arial"/>
          <w:sz w:val="22"/>
          <w:szCs w:val="22"/>
        </w:rPr>
      </w:pPr>
      <w:r>
        <w:rPr>
          <w:rFonts w:ascii="Arial" w:hAnsi="Arial"/>
          <w:sz w:val="22"/>
        </w:rPr>
        <w:t xml:space="preserve">By law, when taking maternity leave (leave under the Work and Care Act (Wazo), or Wazo leave), an employee is entitled to a Wazo benefit of up to 100% of the maximum daily wage. With effect from 1 January 2026 this maximum daily wage amounts to € 304.25. An employee who took her Wazo leave during a period of suspension believed that she was entitled to 100% of her salary (which was higher than the maximum daily wage). In a judgment delivered on </w:t>
      </w:r>
      <w:hyperlink r:id="rId66" w:history="1">
        <w:r>
          <w:rPr>
            <w:rStyle w:val="Hyperlink"/>
            <w:rFonts w:ascii="Arial" w:hAnsi="Arial"/>
            <w:sz w:val="22"/>
          </w:rPr>
          <w:t>12 August 2025</w:t>
        </w:r>
      </w:hyperlink>
      <w:r>
        <w:rPr>
          <w:rFonts w:ascii="Arial" w:hAnsi="Arial"/>
          <w:sz w:val="22"/>
        </w:rPr>
        <w:t>, Rotterdam District Court disagreed with this position. According to the court, during a period of Wazo leave an employee is entitled only to a Wazo benefit and not to the payment of salary. The fact that the employee was also suspended during the Wazo period was irrelevant.</w:t>
      </w:r>
    </w:p>
    <w:p w14:paraId="774B7577" w14:textId="77777777" w:rsidR="005E7891" w:rsidRDefault="005E7891" w:rsidP="00047B49">
      <w:pPr>
        <w:rPr>
          <w:rFonts w:ascii="Arial" w:hAnsi="Arial" w:cs="Arial"/>
          <w:sz w:val="22"/>
          <w:szCs w:val="22"/>
        </w:rPr>
      </w:pPr>
    </w:p>
    <w:p w14:paraId="2D5C87CD" w14:textId="77777777" w:rsidR="000253F6" w:rsidRDefault="005E7891" w:rsidP="00816581">
      <w:pPr>
        <w:shd w:val="clear" w:color="auto" w:fill="D9D9D9" w:themeFill="background1" w:themeFillShade="D9"/>
        <w:rPr>
          <w:rFonts w:ascii="Arial" w:hAnsi="Arial" w:cs="Arial"/>
          <w:sz w:val="22"/>
          <w:szCs w:val="22"/>
        </w:rPr>
      </w:pPr>
      <w:r>
        <w:rPr>
          <w:rFonts w:ascii="Arial" w:hAnsi="Arial"/>
          <w:b/>
          <w:sz w:val="22"/>
        </w:rPr>
        <w:t>Please note:</w:t>
      </w:r>
    </w:p>
    <w:p w14:paraId="11BD11EB" w14:textId="07428A51" w:rsidR="00957F2F" w:rsidRPr="00AC4B71" w:rsidRDefault="005E7891" w:rsidP="00AC4B71">
      <w:pPr>
        <w:shd w:val="clear" w:color="auto" w:fill="D9D9D9" w:themeFill="background1" w:themeFillShade="D9"/>
        <w:rPr>
          <w:rFonts w:ascii="Arial" w:hAnsi="Arial" w:cs="Arial"/>
          <w:sz w:val="22"/>
          <w:szCs w:val="22"/>
        </w:rPr>
      </w:pPr>
      <w:r>
        <w:rPr>
          <w:rFonts w:ascii="Arial" w:hAnsi="Arial"/>
          <w:sz w:val="22"/>
        </w:rPr>
        <w:t>It is important to check whether any collective labour agreement that may apply provides for the continued payment of 100% of an employee’s salary during a period of Wazo leave. If it does, this changes the assessment.</w:t>
      </w:r>
    </w:p>
    <w:p w14:paraId="52035F6D" w14:textId="77777777" w:rsidR="007C4EBB" w:rsidRDefault="007C4EBB" w:rsidP="00047B49">
      <w:pPr>
        <w:rPr>
          <w:rFonts w:ascii="Arial" w:hAnsi="Arial"/>
          <w:b/>
          <w:sz w:val="22"/>
        </w:rPr>
      </w:pPr>
    </w:p>
    <w:p w14:paraId="3773657C" w14:textId="3985831A" w:rsidR="005E7891" w:rsidRPr="004135E7" w:rsidRDefault="005E7891" w:rsidP="00047B49">
      <w:pPr>
        <w:rPr>
          <w:rFonts w:ascii="Arial" w:hAnsi="Arial" w:cs="Arial"/>
          <w:b/>
          <w:bCs/>
          <w:sz w:val="22"/>
          <w:szCs w:val="22"/>
        </w:rPr>
      </w:pPr>
      <w:r>
        <w:rPr>
          <w:rFonts w:ascii="Arial" w:hAnsi="Arial"/>
          <w:b/>
          <w:sz w:val="22"/>
        </w:rPr>
        <w:t>Accrual of holiday entitlements continues during dormant employment relationships</w:t>
      </w:r>
    </w:p>
    <w:p w14:paraId="66B70970" w14:textId="2E0DF382" w:rsidR="00047B49" w:rsidRDefault="005E7891" w:rsidP="00047B49">
      <w:pPr>
        <w:rPr>
          <w:rFonts w:ascii="Arial" w:hAnsi="Arial" w:cs="Arial"/>
          <w:sz w:val="22"/>
          <w:szCs w:val="22"/>
        </w:rPr>
      </w:pPr>
      <w:r>
        <w:rPr>
          <w:rFonts w:ascii="Arial" w:hAnsi="Arial"/>
          <w:sz w:val="22"/>
        </w:rPr>
        <w:t xml:space="preserve">On </w:t>
      </w:r>
      <w:hyperlink r:id="rId67" w:history="1">
        <w:r>
          <w:rPr>
            <w:rStyle w:val="Hyperlink"/>
            <w:rFonts w:ascii="Arial" w:hAnsi="Arial"/>
            <w:sz w:val="22"/>
          </w:rPr>
          <w:t>12 August 2025</w:t>
        </w:r>
      </w:hyperlink>
      <w:r>
        <w:rPr>
          <w:rFonts w:ascii="Arial" w:hAnsi="Arial"/>
          <w:sz w:val="22"/>
        </w:rPr>
        <w:t xml:space="preserve"> Gelderland District Court ruled that the provision of Dutch law stating that the accrual of holiday entitlements is linked to the entitlement to salary is in contravention of European law. According to the court, sick employees who remain in employment after the end of the two-year period during which continued payment of salary is required (so-called dormant employment relationships) therefore also accrue holiday entitlements in the years following the first two years of sickness.</w:t>
      </w:r>
    </w:p>
    <w:p w14:paraId="7DEF93CA" w14:textId="77777777" w:rsidR="00794645" w:rsidRDefault="00794645" w:rsidP="00047B49">
      <w:pPr>
        <w:rPr>
          <w:rFonts w:ascii="Arial" w:hAnsi="Arial" w:cs="Arial"/>
          <w:sz w:val="22"/>
          <w:szCs w:val="22"/>
        </w:rPr>
      </w:pPr>
    </w:p>
    <w:p w14:paraId="760A9E06" w14:textId="5E2B4AC5" w:rsidR="00794645" w:rsidRDefault="00794645" w:rsidP="00047B49">
      <w:pPr>
        <w:rPr>
          <w:rFonts w:ascii="Arial" w:hAnsi="Arial" w:cs="Arial"/>
          <w:sz w:val="22"/>
          <w:szCs w:val="22"/>
        </w:rPr>
      </w:pPr>
      <w:r>
        <w:rPr>
          <w:rFonts w:ascii="Arial" w:hAnsi="Arial"/>
          <w:sz w:val="22"/>
        </w:rPr>
        <w:t>In response to Parliamentary questions, the minister has stated that Dutch law is not in contravention of European law and the legislation will not be amended.</w:t>
      </w:r>
    </w:p>
    <w:p w14:paraId="7749FAF3" w14:textId="77777777" w:rsidR="00A22BF4" w:rsidRDefault="00A22BF4" w:rsidP="00047B49">
      <w:pPr>
        <w:rPr>
          <w:rFonts w:ascii="Arial" w:hAnsi="Arial" w:cs="Arial"/>
          <w:sz w:val="22"/>
          <w:szCs w:val="22"/>
        </w:rPr>
      </w:pPr>
    </w:p>
    <w:p w14:paraId="11CCC538" w14:textId="5E58F03A" w:rsidR="008C232D" w:rsidRDefault="00ED4BA2" w:rsidP="0088318F">
      <w:pPr>
        <w:rPr>
          <w:rFonts w:ascii="Arial" w:hAnsi="Arial" w:cs="Arial"/>
          <w:sz w:val="22"/>
          <w:szCs w:val="22"/>
        </w:rPr>
      </w:pPr>
      <w:r>
        <w:rPr>
          <w:rFonts w:ascii="Arial" w:hAnsi="Arial"/>
          <w:b/>
          <w:sz w:val="22"/>
        </w:rPr>
        <w:t>Right to bonus after end of employment</w:t>
      </w:r>
      <w:r>
        <w:rPr>
          <w:rFonts w:ascii="Arial" w:hAnsi="Arial"/>
          <w:b/>
          <w:sz w:val="22"/>
        </w:rPr>
        <w:br/>
      </w:r>
      <w:r>
        <w:rPr>
          <w:rFonts w:ascii="Arial" w:hAnsi="Arial"/>
          <w:sz w:val="22"/>
        </w:rPr>
        <w:t xml:space="preserve">On </w:t>
      </w:r>
      <w:hyperlink r:id="rId68" w:history="1">
        <w:r>
          <w:rPr>
            <w:rStyle w:val="Hyperlink"/>
            <w:rFonts w:ascii="Arial" w:hAnsi="Arial"/>
            <w:sz w:val="22"/>
          </w:rPr>
          <w:t>7 May 2025</w:t>
        </w:r>
      </w:hyperlink>
      <w:r>
        <w:rPr>
          <w:rFonts w:ascii="Arial" w:hAnsi="Arial"/>
          <w:sz w:val="22"/>
        </w:rPr>
        <w:t xml:space="preserve"> the Central Netherlands District Court ruled that an employee was entitled to a bonus, despite the fact that she was no longer in employment at the time of the payout. In this case the employee had given notice on 29 May 2024 to terminate her employment contract with effect from 1 July 2024. The employee believed that she was also entitled to a bonus that was paid out in August 2024 to all employees who were still in employment at that time. In the employer’s view, the employee was not entitled to this bonus. The court decided in the employee’s favour, as the conditions that applied to the bonus were not sufficiently clear.</w:t>
      </w:r>
    </w:p>
    <w:p w14:paraId="74AFFD96" w14:textId="77777777" w:rsidR="00ED4BA2" w:rsidRPr="00047B49" w:rsidRDefault="00ED4BA2" w:rsidP="0088318F">
      <w:pPr>
        <w:rPr>
          <w:rFonts w:ascii="Arial" w:hAnsi="Arial" w:cs="Arial"/>
          <w:sz w:val="22"/>
          <w:szCs w:val="22"/>
        </w:rPr>
      </w:pPr>
    </w:p>
    <w:p w14:paraId="60D0F0CB" w14:textId="77777777" w:rsidR="000253F6" w:rsidRDefault="00ED4BA2" w:rsidP="00816581">
      <w:pPr>
        <w:shd w:val="clear" w:color="auto" w:fill="D9D9D9" w:themeFill="background1" w:themeFillShade="D9"/>
        <w:rPr>
          <w:rFonts w:ascii="Arial" w:hAnsi="Arial" w:cs="Arial"/>
          <w:b/>
          <w:bCs/>
          <w:sz w:val="22"/>
          <w:szCs w:val="22"/>
        </w:rPr>
      </w:pPr>
      <w:r>
        <w:rPr>
          <w:rFonts w:ascii="Arial" w:hAnsi="Arial"/>
          <w:b/>
          <w:sz w:val="22"/>
        </w:rPr>
        <w:t>Tip:</w:t>
      </w:r>
    </w:p>
    <w:p w14:paraId="61C9D1C5" w14:textId="7C9915A5" w:rsidR="003148F9" w:rsidRDefault="00ED4BA2" w:rsidP="00816581">
      <w:pPr>
        <w:shd w:val="clear" w:color="auto" w:fill="D9D9D9" w:themeFill="background1" w:themeFillShade="D9"/>
        <w:rPr>
          <w:rFonts w:ascii="Arial" w:hAnsi="Arial" w:cs="Arial"/>
          <w:sz w:val="22"/>
          <w:szCs w:val="22"/>
        </w:rPr>
      </w:pPr>
      <w:r>
        <w:rPr>
          <w:rFonts w:ascii="Arial" w:hAnsi="Arial"/>
          <w:sz w:val="22"/>
        </w:rPr>
        <w:t>Make sure you provide clear information to your staff about any conditions that apply to the award of a bonus. You could include this information clearly in your staff regulations, for example, and refer your staff to these on a regular basis.</w:t>
      </w:r>
    </w:p>
    <w:p w14:paraId="45C8D402" w14:textId="77777777" w:rsidR="0050352E" w:rsidRDefault="0050352E" w:rsidP="0050352E">
      <w:pPr>
        <w:rPr>
          <w:rFonts w:ascii="Arial" w:hAnsi="Arial"/>
          <w:b/>
          <w:bCs/>
          <w:sz w:val="28"/>
        </w:rPr>
      </w:pPr>
      <w:r>
        <w:br w:type="page"/>
      </w:r>
    </w:p>
    <w:p w14:paraId="52042811" w14:textId="447A294B" w:rsidR="00121A7F" w:rsidRPr="00121A7F" w:rsidRDefault="00121A7F" w:rsidP="006009D4">
      <w:pPr>
        <w:pStyle w:val="Kop1"/>
      </w:pPr>
      <w:bookmarkStart w:id="103" w:name="_Toc152927378"/>
      <w:bookmarkStart w:id="104" w:name="_Toc155866654"/>
      <w:r>
        <w:lastRenderedPageBreak/>
        <w:t>Self-employed persons</w:t>
      </w:r>
      <w:bookmarkEnd w:id="103"/>
      <w:bookmarkEnd w:id="104"/>
    </w:p>
    <w:p w14:paraId="1085F57C" w14:textId="06437129" w:rsidR="002D6A1B" w:rsidRDefault="002D6A1B" w:rsidP="00AA7EF5">
      <w:pPr>
        <w:rPr>
          <w:rFonts w:ascii="Arial" w:hAnsi="Arial" w:cs="Arial"/>
          <w:sz w:val="22"/>
          <w:szCs w:val="22"/>
        </w:rPr>
      </w:pPr>
    </w:p>
    <w:p w14:paraId="783CC826" w14:textId="77777777" w:rsidR="00B15B01" w:rsidRDefault="00B15B01" w:rsidP="00AA7EF5">
      <w:pPr>
        <w:rPr>
          <w:rFonts w:ascii="Arial" w:hAnsi="Arial" w:cs="Arial"/>
          <w:sz w:val="22"/>
          <w:szCs w:val="22"/>
        </w:rPr>
      </w:pPr>
    </w:p>
    <w:p w14:paraId="40F24AC5" w14:textId="6E08A622" w:rsidR="00B02E9D" w:rsidRDefault="00B02E9D" w:rsidP="00957F2F">
      <w:pPr>
        <w:pStyle w:val="Kop2"/>
        <w:ind w:hanging="283"/>
      </w:pPr>
      <w:bookmarkStart w:id="105" w:name="_Toc155866655"/>
      <w:bookmarkStart w:id="106" w:name="_Toc152927379"/>
      <w:r>
        <w:t>Current legislation and case-law on employment relationships</w:t>
      </w:r>
    </w:p>
    <w:p w14:paraId="5B1F9175" w14:textId="77777777" w:rsidR="00B97D09" w:rsidRPr="00B97D09" w:rsidRDefault="00B97D09" w:rsidP="00B97D09"/>
    <w:p w14:paraId="3BB917D1" w14:textId="5CDA50D3" w:rsidR="00B02E9D" w:rsidRDefault="00B02E9D" w:rsidP="00B02E9D">
      <w:pPr>
        <w:rPr>
          <w:rFonts w:ascii="Arial" w:hAnsi="Arial" w:cs="Arial"/>
          <w:sz w:val="22"/>
          <w:szCs w:val="22"/>
        </w:rPr>
      </w:pPr>
      <w:r>
        <w:rPr>
          <w:rFonts w:ascii="Arial" w:hAnsi="Arial"/>
          <w:sz w:val="22"/>
        </w:rPr>
        <w:t>It is important for employers, or contracting organisations, to check whether a person is working for them in a genuinely self-employed capacity or whether it is a case of bogus self-employment. If a self-employed person subsequently proves to have been working as an employee, this can end up costing the contracting organisation a significant amount.</w:t>
      </w:r>
    </w:p>
    <w:p w14:paraId="5936D3F1" w14:textId="77777777" w:rsidR="00B02E9D" w:rsidRDefault="00B02E9D" w:rsidP="00B02E9D">
      <w:pPr>
        <w:rPr>
          <w:rFonts w:ascii="Arial" w:hAnsi="Arial" w:cs="Arial"/>
          <w:sz w:val="22"/>
          <w:szCs w:val="22"/>
        </w:rPr>
      </w:pPr>
    </w:p>
    <w:p w14:paraId="0A8AD696" w14:textId="57A35E96" w:rsidR="00B02E9D" w:rsidRPr="00B02E9D" w:rsidRDefault="00B02E9D" w:rsidP="00B02E9D">
      <w:pPr>
        <w:rPr>
          <w:rFonts w:ascii="Arial" w:hAnsi="Arial" w:cs="Arial"/>
          <w:sz w:val="22"/>
          <w:szCs w:val="22"/>
        </w:rPr>
      </w:pPr>
      <w:r>
        <w:rPr>
          <w:rFonts w:ascii="Arial" w:hAnsi="Arial"/>
          <w:b/>
          <w:sz w:val="22"/>
        </w:rPr>
        <w:t>Employee as defined by law</w:t>
      </w:r>
      <w:r>
        <w:rPr>
          <w:rFonts w:ascii="Arial" w:hAnsi="Arial"/>
          <w:sz w:val="22"/>
        </w:rPr>
        <w:br/>
        <w:t>For a person to be considered an employee, the law (Article 7:610 of the Civil Code) requires that:</w:t>
      </w:r>
    </w:p>
    <w:p w14:paraId="0B56DE56" w14:textId="7E042EF2" w:rsidR="00B02E9D" w:rsidRPr="00B02E9D" w:rsidRDefault="00B02E9D" w:rsidP="002F233C">
      <w:pPr>
        <w:numPr>
          <w:ilvl w:val="0"/>
          <w:numId w:val="15"/>
        </w:numPr>
        <w:tabs>
          <w:tab w:val="num" w:pos="720"/>
        </w:tabs>
        <w:rPr>
          <w:rFonts w:ascii="Arial" w:hAnsi="Arial" w:cs="Arial"/>
          <w:sz w:val="22"/>
          <w:szCs w:val="22"/>
        </w:rPr>
      </w:pPr>
      <w:r>
        <w:rPr>
          <w:rFonts w:ascii="Arial" w:hAnsi="Arial"/>
          <w:sz w:val="22"/>
        </w:rPr>
        <w:t>the employer has authority to issue directions and instructions (relationship of authority);</w:t>
      </w:r>
    </w:p>
    <w:p w14:paraId="1E9C324E" w14:textId="7D9E1DB2" w:rsidR="00B02E9D" w:rsidRPr="00B02E9D" w:rsidRDefault="00B02E9D" w:rsidP="002F233C">
      <w:pPr>
        <w:numPr>
          <w:ilvl w:val="0"/>
          <w:numId w:val="15"/>
        </w:numPr>
        <w:tabs>
          <w:tab w:val="num" w:pos="720"/>
        </w:tabs>
        <w:rPr>
          <w:rFonts w:ascii="Arial" w:hAnsi="Arial" w:cs="Arial"/>
          <w:sz w:val="22"/>
          <w:szCs w:val="22"/>
        </w:rPr>
      </w:pPr>
      <w:r>
        <w:rPr>
          <w:rFonts w:ascii="Arial" w:hAnsi="Arial"/>
          <w:sz w:val="22"/>
        </w:rPr>
        <w:t>the work is carried out personally;</w:t>
      </w:r>
    </w:p>
    <w:p w14:paraId="6942A27D" w14:textId="09714EE0" w:rsidR="00B02E9D" w:rsidRPr="00B02E9D" w:rsidRDefault="00B02E9D" w:rsidP="002F233C">
      <w:pPr>
        <w:numPr>
          <w:ilvl w:val="0"/>
          <w:numId w:val="15"/>
        </w:numPr>
        <w:tabs>
          <w:tab w:val="num" w:pos="720"/>
        </w:tabs>
        <w:rPr>
          <w:rFonts w:ascii="Arial" w:hAnsi="Arial" w:cs="Arial"/>
          <w:sz w:val="22"/>
          <w:szCs w:val="22"/>
        </w:rPr>
      </w:pPr>
      <w:r>
        <w:rPr>
          <w:rFonts w:ascii="Arial" w:hAnsi="Arial"/>
          <w:sz w:val="22"/>
        </w:rPr>
        <w:t>the employer pays a wage by way of consideration for the work performed. </w:t>
      </w:r>
    </w:p>
    <w:p w14:paraId="1D91B87F" w14:textId="573F7D19" w:rsidR="00B02E9D" w:rsidRDefault="00B02E9D" w:rsidP="00B02E9D">
      <w:pPr>
        <w:rPr>
          <w:rFonts w:ascii="Arial" w:hAnsi="Arial" w:cs="Arial"/>
          <w:sz w:val="22"/>
          <w:szCs w:val="22"/>
        </w:rPr>
      </w:pPr>
    </w:p>
    <w:p w14:paraId="0C92CDC2" w14:textId="7F1D83D7" w:rsidR="00B02E9D" w:rsidRPr="00B02E9D" w:rsidRDefault="00B02E9D" w:rsidP="00B02E9D">
      <w:pPr>
        <w:rPr>
          <w:rFonts w:ascii="Arial" w:hAnsi="Arial" w:cs="Arial"/>
          <w:b/>
          <w:bCs/>
          <w:sz w:val="22"/>
          <w:szCs w:val="22"/>
        </w:rPr>
      </w:pPr>
      <w:r>
        <w:rPr>
          <w:rFonts w:ascii="Arial" w:hAnsi="Arial"/>
          <w:b/>
          <w:sz w:val="22"/>
        </w:rPr>
        <w:t>Case-law: Deliveroo</w:t>
      </w:r>
    </w:p>
    <w:p w14:paraId="3C60928A" w14:textId="2172423A" w:rsidR="00B02E9D" w:rsidRPr="00B02E9D" w:rsidRDefault="00B02E9D" w:rsidP="00B02E9D">
      <w:pPr>
        <w:rPr>
          <w:rFonts w:ascii="Arial" w:hAnsi="Arial" w:cs="Arial"/>
          <w:sz w:val="22"/>
          <w:szCs w:val="22"/>
        </w:rPr>
      </w:pPr>
      <w:r>
        <w:rPr>
          <w:rFonts w:ascii="Arial" w:hAnsi="Arial"/>
          <w:sz w:val="22"/>
        </w:rPr>
        <w:t xml:space="preserve">In the Deliveroo judgment the Supreme Court clarified that, to determine whether there is a relationship of authority, the court can also consider whether the work carried out is ‘organisationally embedded’ in the organisation and thus forms part of the employer’s normal business. However, this is only one of the circumstances to be </w:t>
      </w:r>
      <w:proofErr w:type="gramStart"/>
      <w:r>
        <w:rPr>
          <w:rFonts w:ascii="Arial" w:hAnsi="Arial"/>
          <w:sz w:val="22"/>
        </w:rPr>
        <w:t>taken into account</w:t>
      </w:r>
      <w:proofErr w:type="gramEnd"/>
      <w:r>
        <w:rPr>
          <w:rFonts w:ascii="Arial" w:hAnsi="Arial"/>
          <w:sz w:val="22"/>
        </w:rPr>
        <w:t>. It is necessary to consider all the circumstances of the case holistically. Relevant factors here may include:</w:t>
      </w:r>
    </w:p>
    <w:p w14:paraId="5FE29F02" w14:textId="77777777" w:rsidR="00B02E9D" w:rsidRPr="00B02E9D" w:rsidRDefault="00B02E9D" w:rsidP="002F233C">
      <w:pPr>
        <w:numPr>
          <w:ilvl w:val="0"/>
          <w:numId w:val="16"/>
        </w:numPr>
        <w:tabs>
          <w:tab w:val="num" w:pos="720"/>
        </w:tabs>
        <w:rPr>
          <w:rFonts w:ascii="Arial" w:hAnsi="Arial" w:cs="Arial"/>
          <w:sz w:val="22"/>
          <w:szCs w:val="22"/>
        </w:rPr>
      </w:pPr>
      <w:r>
        <w:rPr>
          <w:rFonts w:ascii="Arial" w:hAnsi="Arial"/>
          <w:sz w:val="22"/>
        </w:rPr>
        <w:t>the nature and duration of the work;</w:t>
      </w:r>
    </w:p>
    <w:p w14:paraId="13FAF8A1" w14:textId="77777777" w:rsidR="00B02E9D" w:rsidRPr="00B02E9D" w:rsidRDefault="00B02E9D" w:rsidP="002F233C">
      <w:pPr>
        <w:numPr>
          <w:ilvl w:val="0"/>
          <w:numId w:val="16"/>
        </w:numPr>
        <w:tabs>
          <w:tab w:val="num" w:pos="720"/>
        </w:tabs>
        <w:rPr>
          <w:rFonts w:ascii="Arial" w:hAnsi="Arial" w:cs="Arial"/>
          <w:sz w:val="22"/>
          <w:szCs w:val="22"/>
        </w:rPr>
      </w:pPr>
      <w:r>
        <w:rPr>
          <w:rFonts w:ascii="Arial" w:hAnsi="Arial"/>
          <w:sz w:val="22"/>
        </w:rPr>
        <w:t>how the work and the working hours are determined;</w:t>
      </w:r>
    </w:p>
    <w:p w14:paraId="1E20F75B" w14:textId="77777777" w:rsidR="00B02E9D" w:rsidRPr="00B02E9D" w:rsidRDefault="00B02E9D" w:rsidP="002F233C">
      <w:pPr>
        <w:numPr>
          <w:ilvl w:val="0"/>
          <w:numId w:val="16"/>
        </w:numPr>
        <w:tabs>
          <w:tab w:val="num" w:pos="720"/>
        </w:tabs>
        <w:rPr>
          <w:rFonts w:ascii="Arial" w:hAnsi="Arial" w:cs="Arial"/>
          <w:sz w:val="22"/>
          <w:szCs w:val="22"/>
        </w:rPr>
      </w:pPr>
      <w:r>
        <w:rPr>
          <w:rFonts w:ascii="Arial" w:hAnsi="Arial"/>
          <w:sz w:val="22"/>
        </w:rPr>
        <w:t>the extent to which the work and the person carrying it out are embedded in the organisation and operations of the party for whom the work is being performed;</w:t>
      </w:r>
    </w:p>
    <w:p w14:paraId="71BE20BE" w14:textId="77777777" w:rsidR="00B02E9D" w:rsidRPr="00B02E9D" w:rsidRDefault="00B02E9D" w:rsidP="002F233C">
      <w:pPr>
        <w:numPr>
          <w:ilvl w:val="0"/>
          <w:numId w:val="16"/>
        </w:numPr>
        <w:tabs>
          <w:tab w:val="num" w:pos="720"/>
        </w:tabs>
        <w:rPr>
          <w:rFonts w:ascii="Arial" w:hAnsi="Arial" w:cs="Arial"/>
          <w:sz w:val="22"/>
          <w:szCs w:val="22"/>
        </w:rPr>
      </w:pPr>
      <w:r>
        <w:rPr>
          <w:rFonts w:ascii="Arial" w:hAnsi="Arial"/>
          <w:sz w:val="22"/>
        </w:rPr>
        <w:t>whether or not there is an obligation for the work to be carried out personally;</w:t>
      </w:r>
    </w:p>
    <w:p w14:paraId="25FB0C31" w14:textId="77777777" w:rsidR="00B02E9D" w:rsidRPr="00B02E9D" w:rsidRDefault="00B02E9D" w:rsidP="002F233C">
      <w:pPr>
        <w:numPr>
          <w:ilvl w:val="0"/>
          <w:numId w:val="16"/>
        </w:numPr>
        <w:tabs>
          <w:tab w:val="num" w:pos="720"/>
        </w:tabs>
        <w:rPr>
          <w:rFonts w:ascii="Arial" w:hAnsi="Arial" w:cs="Arial"/>
          <w:sz w:val="22"/>
          <w:szCs w:val="22"/>
        </w:rPr>
      </w:pPr>
      <w:r>
        <w:rPr>
          <w:rFonts w:ascii="Arial" w:hAnsi="Arial"/>
          <w:sz w:val="22"/>
        </w:rPr>
        <w:t>how the contract governing the relationship between the parties was concluded;</w:t>
      </w:r>
    </w:p>
    <w:p w14:paraId="2B0F6E52" w14:textId="77777777" w:rsidR="00B02E9D" w:rsidRPr="00B02E9D" w:rsidRDefault="00B02E9D" w:rsidP="002F233C">
      <w:pPr>
        <w:numPr>
          <w:ilvl w:val="0"/>
          <w:numId w:val="16"/>
        </w:numPr>
        <w:tabs>
          <w:tab w:val="num" w:pos="720"/>
        </w:tabs>
        <w:rPr>
          <w:rFonts w:ascii="Arial" w:hAnsi="Arial" w:cs="Arial"/>
          <w:sz w:val="22"/>
          <w:szCs w:val="22"/>
        </w:rPr>
      </w:pPr>
      <w:r>
        <w:rPr>
          <w:rFonts w:ascii="Arial" w:hAnsi="Arial"/>
          <w:sz w:val="22"/>
        </w:rPr>
        <w:t>how the remuneration is determined and how it is paid;</w:t>
      </w:r>
    </w:p>
    <w:p w14:paraId="0A081450" w14:textId="77777777" w:rsidR="00B02E9D" w:rsidRPr="00B02E9D" w:rsidRDefault="00B02E9D" w:rsidP="002F233C">
      <w:pPr>
        <w:numPr>
          <w:ilvl w:val="0"/>
          <w:numId w:val="16"/>
        </w:numPr>
        <w:tabs>
          <w:tab w:val="num" w:pos="720"/>
        </w:tabs>
        <w:rPr>
          <w:rFonts w:ascii="Arial" w:hAnsi="Arial" w:cs="Arial"/>
          <w:sz w:val="22"/>
          <w:szCs w:val="22"/>
        </w:rPr>
      </w:pPr>
      <w:r>
        <w:rPr>
          <w:rFonts w:ascii="Arial" w:hAnsi="Arial"/>
          <w:sz w:val="22"/>
        </w:rPr>
        <w:t>the level of this remuneration;</w:t>
      </w:r>
    </w:p>
    <w:p w14:paraId="445A0111" w14:textId="77777777" w:rsidR="001F40CD" w:rsidRDefault="00B02E9D" w:rsidP="002F233C">
      <w:pPr>
        <w:numPr>
          <w:ilvl w:val="0"/>
          <w:numId w:val="16"/>
        </w:numPr>
        <w:tabs>
          <w:tab w:val="num" w:pos="720"/>
        </w:tabs>
        <w:rPr>
          <w:rFonts w:ascii="Arial" w:hAnsi="Arial" w:cs="Arial"/>
          <w:sz w:val="22"/>
          <w:szCs w:val="22"/>
        </w:rPr>
      </w:pPr>
      <w:r>
        <w:rPr>
          <w:rFonts w:ascii="Arial" w:hAnsi="Arial"/>
          <w:sz w:val="22"/>
        </w:rPr>
        <w:t>the question of whether the person performing the work bears any commercial risk;</w:t>
      </w:r>
    </w:p>
    <w:p w14:paraId="72FFF057" w14:textId="0189FCBE" w:rsidR="00B02E9D" w:rsidRPr="00B02E9D" w:rsidRDefault="001F40CD" w:rsidP="002F233C">
      <w:pPr>
        <w:numPr>
          <w:ilvl w:val="0"/>
          <w:numId w:val="16"/>
        </w:numPr>
        <w:tabs>
          <w:tab w:val="num" w:pos="720"/>
        </w:tabs>
        <w:rPr>
          <w:rFonts w:ascii="Arial" w:hAnsi="Arial" w:cs="Arial"/>
          <w:sz w:val="22"/>
          <w:szCs w:val="22"/>
        </w:rPr>
      </w:pPr>
      <w:r>
        <w:rPr>
          <w:rFonts w:ascii="Arial" w:hAnsi="Arial"/>
          <w:sz w:val="22"/>
        </w:rPr>
        <w:t>the question of whether the person performing the work acts (or is able to act) as an entrepreneur on the market (external entrepreneurship).</w:t>
      </w:r>
    </w:p>
    <w:p w14:paraId="39B9E371" w14:textId="77777777" w:rsidR="00B02E9D" w:rsidRDefault="00B02E9D" w:rsidP="00B02E9D">
      <w:pPr>
        <w:rPr>
          <w:rFonts w:ascii="Arial" w:hAnsi="Arial" w:cs="Arial"/>
          <w:sz w:val="22"/>
          <w:szCs w:val="22"/>
        </w:rPr>
      </w:pPr>
    </w:p>
    <w:p w14:paraId="0610D038" w14:textId="359D03A9" w:rsidR="001F40CD" w:rsidRPr="00C94A1B" w:rsidRDefault="001F40CD" w:rsidP="00B02E9D">
      <w:pPr>
        <w:rPr>
          <w:rFonts w:ascii="Arial" w:hAnsi="Arial" w:cs="Arial"/>
          <w:b/>
          <w:bCs/>
          <w:sz w:val="22"/>
          <w:szCs w:val="22"/>
        </w:rPr>
      </w:pPr>
      <w:r>
        <w:rPr>
          <w:rFonts w:ascii="Arial" w:hAnsi="Arial"/>
          <w:b/>
          <w:sz w:val="22"/>
        </w:rPr>
        <w:t>Case-law: Uber</w:t>
      </w:r>
    </w:p>
    <w:p w14:paraId="175A84C0" w14:textId="18858A9C" w:rsidR="001F40CD" w:rsidRDefault="001F40CD" w:rsidP="001F40CD">
      <w:pPr>
        <w:rPr>
          <w:rFonts w:ascii="Arial" w:hAnsi="Arial" w:cs="Arial"/>
          <w:sz w:val="22"/>
          <w:szCs w:val="22"/>
        </w:rPr>
      </w:pPr>
      <w:r>
        <w:rPr>
          <w:rFonts w:ascii="Arial" w:hAnsi="Arial"/>
          <w:sz w:val="22"/>
        </w:rPr>
        <w:t>The Supreme Court did not rank the various factors in the Deliveroo judgment outlined above. In the Uber case the Supreme Court has now answered questions that the Amsterdam Court of Appeal had referred for a preliminary ruling concerning the factor of entrepreneurship. In response to these questions, the Supreme Court has ruled that no single aspect is decisive. This means, for example, that if a person is free to replace him/herself with another person, which is an indicator of self-employment, an employment contract may still be deemed to apply on account of all the other aspects.</w:t>
      </w:r>
    </w:p>
    <w:p w14:paraId="006C12FA" w14:textId="77777777" w:rsidR="001F40CD" w:rsidRDefault="001F40CD" w:rsidP="001F40CD">
      <w:pPr>
        <w:rPr>
          <w:rFonts w:ascii="Arial" w:hAnsi="Arial" w:cs="Arial"/>
          <w:sz w:val="22"/>
          <w:szCs w:val="22"/>
        </w:rPr>
      </w:pPr>
    </w:p>
    <w:p w14:paraId="5E799EB5" w14:textId="7B203C85" w:rsidR="001F40CD" w:rsidRDefault="001F40CD" w:rsidP="001F40CD">
      <w:pPr>
        <w:rPr>
          <w:rFonts w:ascii="Arial" w:hAnsi="Arial" w:cs="Arial"/>
          <w:sz w:val="22"/>
          <w:szCs w:val="22"/>
        </w:rPr>
      </w:pPr>
      <w:r>
        <w:rPr>
          <w:rFonts w:ascii="Arial" w:hAnsi="Arial"/>
          <w:sz w:val="22"/>
        </w:rPr>
        <w:t>In the Uber case the Supreme Court has also answered that in practice this can mean that the same work for the same client is not regarded as an employment contract for someone exhibiting ‘entrepreneurial behaviour’, but is for someone who does not exhibit such behaviour.</w:t>
      </w:r>
    </w:p>
    <w:p w14:paraId="06BD380D" w14:textId="77777777" w:rsidR="001F40CD" w:rsidRDefault="001F40CD" w:rsidP="001F40CD">
      <w:pPr>
        <w:rPr>
          <w:rFonts w:ascii="Arial" w:hAnsi="Arial" w:cs="Arial"/>
          <w:sz w:val="22"/>
          <w:szCs w:val="22"/>
        </w:rPr>
      </w:pPr>
    </w:p>
    <w:p w14:paraId="7ACA70C0" w14:textId="3780BBCC" w:rsidR="001F40CD" w:rsidRDefault="001F40CD" w:rsidP="001F40CD">
      <w:pPr>
        <w:rPr>
          <w:rFonts w:ascii="Arial" w:hAnsi="Arial" w:cs="Arial"/>
          <w:sz w:val="22"/>
          <w:szCs w:val="22"/>
        </w:rPr>
      </w:pPr>
      <w:r>
        <w:rPr>
          <w:rFonts w:ascii="Arial" w:hAnsi="Arial"/>
          <w:sz w:val="22"/>
        </w:rPr>
        <w:lastRenderedPageBreak/>
        <w:t>According to the Supreme Court, the concept of ‘entrepreneurship’ relates to the worker’s general (entrepreneurial) situation. It is therefore not limited to the specific circumstances of an assignment, but can also relate to circumstances that apply outside of the specific relationship between the worker and his/her client.</w:t>
      </w:r>
    </w:p>
    <w:p w14:paraId="30E970CB" w14:textId="77777777" w:rsidR="0028342F" w:rsidRDefault="0028342F" w:rsidP="001F40CD">
      <w:pPr>
        <w:rPr>
          <w:rFonts w:ascii="Arial" w:hAnsi="Arial" w:cs="Arial"/>
          <w:sz w:val="22"/>
          <w:szCs w:val="22"/>
        </w:rPr>
      </w:pPr>
    </w:p>
    <w:p w14:paraId="442BAB6A" w14:textId="68AD27B2" w:rsidR="0028342F" w:rsidRDefault="0028342F" w:rsidP="0028342F">
      <w:pPr>
        <w:rPr>
          <w:rFonts w:ascii="Arial" w:hAnsi="Arial" w:cs="Arial"/>
          <w:sz w:val="22"/>
          <w:szCs w:val="22"/>
        </w:rPr>
      </w:pPr>
      <w:r>
        <w:rPr>
          <w:rFonts w:ascii="Arial" w:hAnsi="Arial"/>
          <w:b/>
          <w:sz w:val="22"/>
        </w:rPr>
        <w:t>Case-law: Helpling</w:t>
      </w:r>
      <w:r>
        <w:rPr>
          <w:rFonts w:ascii="Arial" w:hAnsi="Arial"/>
          <w:b/>
          <w:sz w:val="22"/>
        </w:rPr>
        <w:br/>
      </w:r>
      <w:r>
        <w:rPr>
          <w:rFonts w:ascii="Arial" w:hAnsi="Arial"/>
          <w:sz w:val="22"/>
        </w:rPr>
        <w:t>In the Helpling case cleaners were able to register for cleaning work via the Helpling website. They could specify themselves the hourly rate at which they wanted to work. Via the platform, Helpling then showed households who were looking for a cleaner which cleaners were available. The household submitted a booking request and, once this had been accepted by the cleaner, the booking was confirmed. Helpling handled the payments made to cleaners via a special payment service and charged a commission ranging from 23% to 32%. Various general terms and conditions, drawn up by Helpling, applied to, and had to be accepted by, both households and cleaners.</w:t>
      </w:r>
    </w:p>
    <w:p w14:paraId="4EB5B6D9" w14:textId="77777777" w:rsidR="0028342F" w:rsidRDefault="0028342F" w:rsidP="0028342F">
      <w:pPr>
        <w:rPr>
          <w:rFonts w:ascii="Arial" w:hAnsi="Arial" w:cs="Arial"/>
          <w:sz w:val="22"/>
          <w:szCs w:val="22"/>
        </w:rPr>
      </w:pPr>
    </w:p>
    <w:p w14:paraId="6BF8D438" w14:textId="0C175CD1" w:rsidR="002D6A1B" w:rsidRPr="00B02E9D" w:rsidRDefault="0028342F" w:rsidP="00B02E9D">
      <w:pPr>
        <w:rPr>
          <w:rFonts w:ascii="Arial" w:hAnsi="Arial" w:cs="Arial"/>
          <w:sz w:val="22"/>
          <w:szCs w:val="22"/>
        </w:rPr>
      </w:pPr>
      <w:r>
        <w:rPr>
          <w:rFonts w:ascii="Arial" w:hAnsi="Arial"/>
          <w:sz w:val="22"/>
        </w:rPr>
        <w:t>The Supreme Court ruled that a temporary employment contract existed between Helpling and the cleaners. The advocate-general had concluded that there was a regular employment contract between Helpling and the cleaners, as private households could not act as hirers. The Supreme Court disagreed with this. There is nothing in the legislative history or the system enshrined in law to suggest that a temporary worker can only be made available within the framework of the profession or business of the hirer. The criteria that apply to a temporary employment contract were also met, i.e. the households, as the hiring party, were able to exercise supervision and direction, while Helpling had the formal relationship of authority and managed the payments. This last point also means that a regular employment contract did not apply between the cleaners and households.</w:t>
      </w:r>
    </w:p>
    <w:p w14:paraId="7B250239" w14:textId="77777777" w:rsidR="00B02E9D" w:rsidRPr="00B02E9D" w:rsidRDefault="00B02E9D" w:rsidP="00B02E9D">
      <w:pPr>
        <w:rPr>
          <w:rFonts w:ascii="Arial" w:hAnsi="Arial" w:cs="Arial"/>
          <w:sz w:val="22"/>
          <w:szCs w:val="22"/>
        </w:rPr>
      </w:pPr>
    </w:p>
    <w:p w14:paraId="5F522081" w14:textId="7EB3A8DD" w:rsidR="005652F9" w:rsidRDefault="00D11E52" w:rsidP="00957F2F">
      <w:pPr>
        <w:pStyle w:val="Kop2"/>
        <w:ind w:hanging="283"/>
      </w:pPr>
      <w:r>
        <w:t>Legislative proposal on clarifying assessment of employment relationships and legal presumption</w:t>
      </w:r>
      <w:bookmarkEnd w:id="105"/>
      <w:r>
        <w:t xml:space="preserve"> (Vbar)</w:t>
      </w:r>
    </w:p>
    <w:p w14:paraId="00A51339" w14:textId="77777777" w:rsidR="00B97D09" w:rsidRDefault="00B97D09" w:rsidP="00B97D09"/>
    <w:p w14:paraId="79FAE4F0" w14:textId="7B587416" w:rsidR="00426F52" w:rsidRPr="008F7730" w:rsidRDefault="00426F52" w:rsidP="00426F52">
      <w:pPr>
        <w:rPr>
          <w:rFonts w:ascii="Arial" w:hAnsi="Arial" w:cs="Arial"/>
          <w:sz w:val="22"/>
          <w:szCs w:val="22"/>
        </w:rPr>
      </w:pPr>
      <w:r>
        <w:rPr>
          <w:rFonts w:ascii="Arial" w:hAnsi="Arial"/>
          <w:sz w:val="22"/>
        </w:rPr>
        <w:t>On 7 July 2025 the legislative proposal relating to the Assessment of Employment Relationships and Legal Presumption (Clarification) Act (</w:t>
      </w:r>
      <w:r>
        <w:rPr>
          <w:rFonts w:ascii="Arial" w:hAnsi="Arial"/>
          <w:i/>
          <w:iCs/>
          <w:sz w:val="22"/>
        </w:rPr>
        <w:t>Wet verduidelijking beoordeling arbeidsrelaties en rechtsvermoeden</w:t>
      </w:r>
      <w:r>
        <w:rPr>
          <w:rFonts w:ascii="Arial" w:hAnsi="Arial"/>
          <w:sz w:val="22"/>
        </w:rPr>
        <w:t xml:space="preserve"> – Vbar) was submitted to the Lower House. It clarifies the criteria used to determine when a person is an employee and when they are working in a self-employed capacity.</w:t>
      </w:r>
    </w:p>
    <w:p w14:paraId="292DB8CF" w14:textId="77777777" w:rsidR="00426F52" w:rsidRPr="008F7730" w:rsidRDefault="00426F52" w:rsidP="00426F52">
      <w:pPr>
        <w:rPr>
          <w:rFonts w:ascii="Arial" w:hAnsi="Arial" w:cs="Arial"/>
          <w:sz w:val="22"/>
          <w:szCs w:val="22"/>
        </w:rPr>
      </w:pPr>
    </w:p>
    <w:p w14:paraId="5A17AD25" w14:textId="77777777" w:rsidR="00426F52" w:rsidRPr="008F7730" w:rsidRDefault="00426F52" w:rsidP="00426F52">
      <w:pPr>
        <w:rPr>
          <w:rFonts w:ascii="Arial" w:hAnsi="Arial" w:cs="Arial"/>
          <w:b/>
          <w:bCs/>
          <w:sz w:val="22"/>
          <w:szCs w:val="22"/>
        </w:rPr>
      </w:pPr>
      <w:r>
        <w:rPr>
          <w:rFonts w:ascii="Arial" w:hAnsi="Arial"/>
          <w:b/>
          <w:sz w:val="22"/>
        </w:rPr>
        <w:t>Elements for assessing employee status</w:t>
      </w:r>
    </w:p>
    <w:p w14:paraId="7ABD0C28" w14:textId="0AEC731F" w:rsidR="00426F52" w:rsidRPr="001F04D8" w:rsidRDefault="00426F52" w:rsidP="00426F52">
      <w:pPr>
        <w:rPr>
          <w:rFonts w:ascii="Arial" w:hAnsi="Arial" w:cs="Arial"/>
          <w:sz w:val="22"/>
          <w:szCs w:val="22"/>
        </w:rPr>
      </w:pPr>
      <w:r>
        <w:rPr>
          <w:rFonts w:ascii="Arial" w:hAnsi="Arial"/>
          <w:sz w:val="22"/>
        </w:rPr>
        <w:t>The legislative proposal adds to the existing definition of an employment contract. At present, an employment contract applies if a worker personally carries out work for an employer who is able to issue directions and instructions (relationship of authority) and the worker receives a wage for this. The legislative proposal expands on this by specifying that work is being carried out for an employer if:</w:t>
      </w:r>
    </w:p>
    <w:p w14:paraId="41884408" w14:textId="77777777" w:rsidR="00426F52" w:rsidRDefault="00426F52" w:rsidP="002F233C">
      <w:pPr>
        <w:pStyle w:val="Lijstalinea"/>
        <w:numPr>
          <w:ilvl w:val="0"/>
          <w:numId w:val="26"/>
        </w:numPr>
        <w:rPr>
          <w:rFonts w:ascii="Arial" w:hAnsi="Arial" w:cs="Arial"/>
        </w:rPr>
      </w:pPr>
      <w:r>
        <w:rPr>
          <w:rFonts w:ascii="Arial" w:hAnsi="Arial"/>
        </w:rPr>
        <w:t>the work is performed under the direction of the employer, as regards the content or organisation of the work, and</w:t>
      </w:r>
    </w:p>
    <w:p w14:paraId="23A6B728" w14:textId="77777777" w:rsidR="00426F52" w:rsidRPr="008F7730" w:rsidRDefault="00426F52" w:rsidP="002F233C">
      <w:pPr>
        <w:pStyle w:val="Lijstalinea"/>
        <w:numPr>
          <w:ilvl w:val="0"/>
          <w:numId w:val="26"/>
        </w:numPr>
        <w:rPr>
          <w:rFonts w:ascii="Arial" w:hAnsi="Arial" w:cs="Arial"/>
        </w:rPr>
      </w:pPr>
      <w:r>
        <w:rPr>
          <w:rFonts w:ascii="Arial" w:hAnsi="Arial"/>
        </w:rPr>
        <w:t>the worker does not perform the work at his/her own risk and expense, or does so to a minor extent but this is outweighed by the direction he/she receives as regards the content or organisation of the work.</w:t>
      </w:r>
    </w:p>
    <w:p w14:paraId="7D6E67FF" w14:textId="77777777" w:rsidR="00FF2315" w:rsidRDefault="00FF2315" w:rsidP="00426F52">
      <w:pPr>
        <w:rPr>
          <w:rFonts w:ascii="Arial" w:hAnsi="Arial" w:cs="Arial"/>
          <w:sz w:val="22"/>
          <w:szCs w:val="22"/>
        </w:rPr>
      </w:pPr>
    </w:p>
    <w:p w14:paraId="0C2CA7DB" w14:textId="77777777" w:rsidR="007C4EBB" w:rsidRDefault="007C4EBB" w:rsidP="00426F52">
      <w:pPr>
        <w:rPr>
          <w:rFonts w:ascii="Arial" w:hAnsi="Arial" w:cs="Arial"/>
          <w:sz w:val="22"/>
          <w:szCs w:val="22"/>
        </w:rPr>
      </w:pPr>
    </w:p>
    <w:p w14:paraId="672AA37D" w14:textId="77777777" w:rsidR="00816581" w:rsidRDefault="00816581" w:rsidP="00426F52">
      <w:pPr>
        <w:rPr>
          <w:rFonts w:ascii="Arial" w:hAnsi="Arial" w:cs="Arial"/>
          <w:sz w:val="22"/>
          <w:szCs w:val="22"/>
        </w:rPr>
      </w:pPr>
    </w:p>
    <w:p w14:paraId="3F6A0ECF" w14:textId="77777777" w:rsidR="00816581" w:rsidRDefault="00816581" w:rsidP="00426F52">
      <w:pPr>
        <w:rPr>
          <w:rFonts w:ascii="Arial" w:hAnsi="Arial" w:cs="Arial"/>
          <w:sz w:val="22"/>
          <w:szCs w:val="22"/>
        </w:rPr>
      </w:pPr>
    </w:p>
    <w:p w14:paraId="4DCD419D" w14:textId="31FA67CE" w:rsidR="00426F52" w:rsidRPr="008F7730" w:rsidRDefault="00426F52" w:rsidP="00426F52">
      <w:pPr>
        <w:rPr>
          <w:rFonts w:ascii="Arial" w:hAnsi="Arial" w:cs="Arial"/>
          <w:b/>
          <w:bCs/>
          <w:sz w:val="22"/>
          <w:szCs w:val="22"/>
        </w:rPr>
      </w:pPr>
      <w:r>
        <w:rPr>
          <w:rFonts w:ascii="Arial" w:hAnsi="Arial"/>
          <w:b/>
          <w:sz w:val="22"/>
        </w:rPr>
        <w:lastRenderedPageBreak/>
        <w:t>‘WZ’ assessment</w:t>
      </w:r>
    </w:p>
    <w:p w14:paraId="565AF3D5" w14:textId="20BD8030" w:rsidR="00426F52" w:rsidRPr="008F7730" w:rsidRDefault="00426F52" w:rsidP="00426F52">
      <w:pPr>
        <w:rPr>
          <w:rFonts w:ascii="Arial" w:hAnsi="Arial" w:cs="Arial"/>
          <w:sz w:val="22"/>
          <w:szCs w:val="22"/>
        </w:rPr>
      </w:pPr>
      <w:r>
        <w:rPr>
          <w:rFonts w:ascii="Arial" w:hAnsi="Arial"/>
          <w:sz w:val="22"/>
        </w:rPr>
        <w:t>The Explanatory Memorandum to the Vbar legislative proposal introduces the ‘WZ’ assessment, a new assessment framework for employment relationships. The ‘WZ’ assessment clarifies the authority criterion that applies to employment relationships and is made up of two elements:</w:t>
      </w:r>
    </w:p>
    <w:p w14:paraId="61F8D466" w14:textId="77777777" w:rsidR="00426F52" w:rsidRDefault="00426F52" w:rsidP="002F233C">
      <w:pPr>
        <w:pStyle w:val="Lijstalinea"/>
        <w:numPr>
          <w:ilvl w:val="0"/>
          <w:numId w:val="27"/>
        </w:numPr>
        <w:rPr>
          <w:rFonts w:ascii="Arial" w:hAnsi="Arial" w:cs="Arial"/>
        </w:rPr>
      </w:pPr>
      <w:r>
        <w:rPr>
          <w:rFonts w:ascii="Arial" w:hAnsi="Arial"/>
        </w:rPr>
        <w:t xml:space="preserve">Employee (W = </w:t>
      </w:r>
      <w:r>
        <w:rPr>
          <w:rFonts w:ascii="Arial" w:hAnsi="Arial"/>
          <w:i/>
          <w:iCs/>
        </w:rPr>
        <w:t>werknemer</w:t>
      </w:r>
      <w:r>
        <w:rPr>
          <w:rFonts w:ascii="Arial" w:hAnsi="Arial"/>
        </w:rPr>
        <w:t xml:space="preserve"> (employee)): this element focuses on indicators of employee status, such as the employer being able to give direction as regards the content and organisation of the work. The organisation’s ‘core activity’ has been removed as an element to allow a balanced assessment of whether employee status or self-employment applies.</w:t>
      </w:r>
    </w:p>
    <w:p w14:paraId="21F935E2" w14:textId="2E761ED4" w:rsidR="00426F52" w:rsidRDefault="00426F52" w:rsidP="002F233C">
      <w:pPr>
        <w:pStyle w:val="Lijstalinea"/>
        <w:numPr>
          <w:ilvl w:val="0"/>
          <w:numId w:val="27"/>
        </w:numPr>
        <w:rPr>
          <w:rFonts w:ascii="Arial" w:hAnsi="Arial" w:cs="Arial"/>
        </w:rPr>
      </w:pPr>
      <w:r>
        <w:rPr>
          <w:rFonts w:ascii="Arial" w:hAnsi="Arial"/>
        </w:rPr>
        <w:t xml:space="preserve">Self-employed person (Z = </w:t>
      </w:r>
      <w:r>
        <w:rPr>
          <w:rFonts w:ascii="Arial" w:hAnsi="Arial"/>
          <w:i/>
          <w:iCs/>
        </w:rPr>
        <w:t>zelfstandige</w:t>
      </w:r>
      <w:r>
        <w:rPr>
          <w:rFonts w:ascii="Arial" w:hAnsi="Arial"/>
        </w:rPr>
        <w:t xml:space="preserve"> (self-employed person)): this element focuses on characteristics of self-employed entrepreneurship, such as personally bearing the risk and responsibility for the performance of the work.</w:t>
      </w:r>
    </w:p>
    <w:p w14:paraId="1168EC5D" w14:textId="77777777" w:rsidR="00FF2315" w:rsidRPr="00FF2315" w:rsidRDefault="00FF2315" w:rsidP="00FF2315">
      <w:pPr>
        <w:rPr>
          <w:rFonts w:ascii="Arial" w:hAnsi="Arial" w:cs="Arial"/>
          <w:sz w:val="22"/>
          <w:szCs w:val="22"/>
        </w:rPr>
      </w:pPr>
    </w:p>
    <w:p w14:paraId="498E76FA" w14:textId="6EFDFFE5" w:rsidR="00FF2315" w:rsidRPr="00FF2315" w:rsidRDefault="00FF2315" w:rsidP="00FF2315">
      <w:pPr>
        <w:rPr>
          <w:rFonts w:ascii="Arial" w:hAnsi="Arial" w:cs="Arial"/>
          <w:sz w:val="22"/>
          <w:szCs w:val="22"/>
        </w:rPr>
      </w:pPr>
      <w:r>
        <w:rPr>
          <w:noProof/>
        </w:rPr>
        <w:drawing>
          <wp:inline distT="0" distB="0" distL="0" distR="0" wp14:anchorId="214EF119" wp14:editId="1A0879CE">
            <wp:extent cx="5760720" cy="2842895"/>
            <wp:effectExtent l="0" t="0" r="0" b="0"/>
            <wp:docPr id="6" name="Tijdelijke aanduiding voor inhoud 5">
              <a:extLst xmlns:a="http://schemas.openxmlformats.org/drawingml/2006/main">
                <a:ext uri="{FF2B5EF4-FFF2-40B4-BE49-F238E27FC236}">
                  <a16:creationId xmlns:a16="http://schemas.microsoft.com/office/drawing/2014/main" id="{26AEE153-4AEB-1458-AE6F-84D79FF9F452}"/>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 name="Tijdelijke aanduiding voor inhoud 5">
                      <a:extLst>
                        <a:ext uri="{FF2B5EF4-FFF2-40B4-BE49-F238E27FC236}">
                          <a16:creationId xmlns:a16="http://schemas.microsoft.com/office/drawing/2014/main" id="{26AEE153-4AEB-1458-AE6F-84D79FF9F452}"/>
                        </a:ext>
                      </a:extLst>
                    </pic:cNvPr>
                    <pic:cNvPicPr>
                      <a:picLocks noGrp="1" noChangeAspect="1"/>
                    </pic:cNvPicPr>
                  </pic:nvPicPr>
                  <pic:blipFill>
                    <a:blip r:embed="rId69"/>
                    <a:stretch>
                      <a:fillRect/>
                    </a:stretch>
                  </pic:blipFill>
                  <pic:spPr>
                    <a:xfrm>
                      <a:off x="0" y="0"/>
                      <a:ext cx="5760720" cy="2842895"/>
                    </a:xfrm>
                    <a:prstGeom prst="rect">
                      <a:avLst/>
                    </a:prstGeom>
                  </pic:spPr>
                </pic:pic>
              </a:graphicData>
            </a:graphic>
          </wp:inline>
        </w:drawing>
      </w:r>
    </w:p>
    <w:p w14:paraId="00892B44" w14:textId="77777777" w:rsidR="00432308" w:rsidRPr="00432308" w:rsidRDefault="00432308" w:rsidP="00432308">
      <w:pPr>
        <w:rPr>
          <w:sz w:val="16"/>
          <w:szCs w:val="16"/>
        </w:rPr>
      </w:pPr>
    </w:p>
    <w:tbl>
      <w:tblPr>
        <w:tblStyle w:val="Tabelraster"/>
        <w:tblW w:w="0" w:type="auto"/>
        <w:tblLook w:val="04A0" w:firstRow="1" w:lastRow="0" w:firstColumn="1" w:lastColumn="0" w:noHBand="0" w:noVBand="1"/>
      </w:tblPr>
      <w:tblGrid>
        <w:gridCol w:w="4106"/>
        <w:gridCol w:w="4910"/>
      </w:tblGrid>
      <w:tr w:rsidR="00432308" w:rsidRPr="00432308" w14:paraId="3B3FFD3D" w14:textId="77777777" w:rsidTr="00432308">
        <w:tc>
          <w:tcPr>
            <w:tcW w:w="4106" w:type="dxa"/>
          </w:tcPr>
          <w:p w14:paraId="294D7864" w14:textId="77777777" w:rsidR="00432308" w:rsidRPr="00432308" w:rsidRDefault="00432308" w:rsidP="00445623">
            <w:pPr>
              <w:rPr>
                <w:sz w:val="16"/>
                <w:szCs w:val="16"/>
                <w:lang w:val="nl-NL"/>
              </w:rPr>
            </w:pPr>
            <w:r w:rsidRPr="00432308">
              <w:rPr>
                <w:sz w:val="16"/>
                <w:szCs w:val="16"/>
                <w:lang w:val="nl-NL"/>
              </w:rPr>
              <w:t>W = indicaties die wijzen op werken als werknemer</w:t>
            </w:r>
          </w:p>
        </w:tc>
        <w:tc>
          <w:tcPr>
            <w:tcW w:w="4910" w:type="dxa"/>
          </w:tcPr>
          <w:p w14:paraId="1C106002" w14:textId="77777777" w:rsidR="00432308" w:rsidRPr="00432308" w:rsidRDefault="00432308" w:rsidP="00445623">
            <w:pPr>
              <w:rPr>
                <w:sz w:val="16"/>
                <w:szCs w:val="16"/>
              </w:rPr>
            </w:pPr>
            <w:r w:rsidRPr="00432308">
              <w:rPr>
                <w:sz w:val="16"/>
                <w:szCs w:val="16"/>
              </w:rPr>
              <w:t>W = indicators of employee status</w:t>
            </w:r>
          </w:p>
        </w:tc>
      </w:tr>
      <w:tr w:rsidR="00432308" w:rsidRPr="00432308" w14:paraId="5E733340" w14:textId="77777777" w:rsidTr="00432308">
        <w:tc>
          <w:tcPr>
            <w:tcW w:w="4106" w:type="dxa"/>
          </w:tcPr>
          <w:p w14:paraId="20E2DA73" w14:textId="77777777" w:rsidR="00432308" w:rsidRPr="00432308" w:rsidRDefault="00432308" w:rsidP="00445623">
            <w:pPr>
              <w:rPr>
                <w:sz w:val="16"/>
                <w:szCs w:val="16"/>
                <w:lang w:val="nl-NL"/>
              </w:rPr>
            </w:pPr>
            <w:r w:rsidRPr="00432308">
              <w:rPr>
                <w:sz w:val="16"/>
                <w:szCs w:val="16"/>
                <w:lang w:val="nl-NL"/>
              </w:rPr>
              <w:t>Z = indicaties die wijzen op werken als zelfstandige</w:t>
            </w:r>
          </w:p>
        </w:tc>
        <w:tc>
          <w:tcPr>
            <w:tcW w:w="4910" w:type="dxa"/>
          </w:tcPr>
          <w:p w14:paraId="39E3424C" w14:textId="77777777" w:rsidR="00432308" w:rsidRPr="00432308" w:rsidRDefault="00432308" w:rsidP="00445623">
            <w:pPr>
              <w:rPr>
                <w:sz w:val="16"/>
                <w:szCs w:val="16"/>
              </w:rPr>
            </w:pPr>
            <w:r w:rsidRPr="00432308">
              <w:rPr>
                <w:sz w:val="16"/>
                <w:szCs w:val="16"/>
              </w:rPr>
              <w:t>Z = indicators of self-employed status</w:t>
            </w:r>
          </w:p>
        </w:tc>
      </w:tr>
      <w:tr w:rsidR="00432308" w:rsidRPr="00432308" w14:paraId="10D69D7F" w14:textId="77777777" w:rsidTr="00432308">
        <w:tc>
          <w:tcPr>
            <w:tcW w:w="4106" w:type="dxa"/>
          </w:tcPr>
          <w:p w14:paraId="04820FB2" w14:textId="77777777" w:rsidR="00432308" w:rsidRPr="00432308" w:rsidRDefault="00432308" w:rsidP="00445623">
            <w:pPr>
              <w:rPr>
                <w:sz w:val="16"/>
                <w:szCs w:val="16"/>
                <w:lang w:val="nl-NL"/>
              </w:rPr>
            </w:pPr>
            <w:r w:rsidRPr="00432308">
              <w:rPr>
                <w:sz w:val="16"/>
                <w:szCs w:val="16"/>
                <w:lang w:val="nl-NL"/>
              </w:rPr>
              <w:t>Is er sprake van hoofdelement werknemer?</w:t>
            </w:r>
          </w:p>
        </w:tc>
        <w:tc>
          <w:tcPr>
            <w:tcW w:w="4910" w:type="dxa"/>
          </w:tcPr>
          <w:p w14:paraId="0CA0D34B" w14:textId="77777777" w:rsidR="00432308" w:rsidRPr="00432308" w:rsidRDefault="00432308" w:rsidP="00445623">
            <w:pPr>
              <w:rPr>
                <w:sz w:val="16"/>
                <w:szCs w:val="16"/>
              </w:rPr>
            </w:pPr>
            <w:r w:rsidRPr="00432308">
              <w:rPr>
                <w:sz w:val="16"/>
                <w:szCs w:val="16"/>
              </w:rPr>
              <w:t>Do main indicators of employee status apply?</w:t>
            </w:r>
          </w:p>
        </w:tc>
      </w:tr>
      <w:tr w:rsidR="00432308" w:rsidRPr="00432308" w14:paraId="0855D9D5" w14:textId="77777777" w:rsidTr="00432308">
        <w:tc>
          <w:tcPr>
            <w:tcW w:w="4106" w:type="dxa"/>
          </w:tcPr>
          <w:p w14:paraId="1464BBEC" w14:textId="77777777" w:rsidR="00432308" w:rsidRPr="00432308" w:rsidRDefault="00432308" w:rsidP="00445623">
            <w:pPr>
              <w:rPr>
                <w:sz w:val="16"/>
                <w:szCs w:val="16"/>
                <w:lang w:val="nl-NL"/>
              </w:rPr>
            </w:pPr>
            <w:r w:rsidRPr="00432308">
              <w:rPr>
                <w:sz w:val="16"/>
                <w:szCs w:val="16"/>
                <w:lang w:val="nl-NL"/>
              </w:rPr>
              <w:t>Ja, kijk naar aanwezigheid hoofdelement zelfstandige</w:t>
            </w:r>
          </w:p>
        </w:tc>
        <w:tc>
          <w:tcPr>
            <w:tcW w:w="4910" w:type="dxa"/>
          </w:tcPr>
          <w:p w14:paraId="778A1BB5" w14:textId="77777777" w:rsidR="00432308" w:rsidRPr="00432308" w:rsidRDefault="00432308" w:rsidP="00445623">
            <w:pPr>
              <w:rPr>
                <w:sz w:val="16"/>
                <w:szCs w:val="16"/>
              </w:rPr>
            </w:pPr>
            <w:r w:rsidRPr="00432308">
              <w:rPr>
                <w:sz w:val="16"/>
                <w:szCs w:val="16"/>
              </w:rPr>
              <w:t>Yes, check whether main indicators of self-employed status are present</w:t>
            </w:r>
          </w:p>
        </w:tc>
      </w:tr>
      <w:tr w:rsidR="00432308" w:rsidRPr="00432308" w14:paraId="5EAF5F18" w14:textId="77777777" w:rsidTr="00432308">
        <w:tc>
          <w:tcPr>
            <w:tcW w:w="4106" w:type="dxa"/>
          </w:tcPr>
          <w:p w14:paraId="60926338" w14:textId="77777777" w:rsidR="00432308" w:rsidRPr="00432308" w:rsidRDefault="00432308" w:rsidP="00445623">
            <w:pPr>
              <w:rPr>
                <w:sz w:val="16"/>
                <w:szCs w:val="16"/>
                <w:lang w:val="nl-NL"/>
              </w:rPr>
            </w:pPr>
            <w:r w:rsidRPr="00432308">
              <w:rPr>
                <w:sz w:val="16"/>
                <w:szCs w:val="16"/>
                <w:lang w:val="nl-NL"/>
              </w:rPr>
              <w:t>Nee, er is geen of geringe sprake van element werknemer</w:t>
            </w:r>
          </w:p>
        </w:tc>
        <w:tc>
          <w:tcPr>
            <w:tcW w:w="4910" w:type="dxa"/>
          </w:tcPr>
          <w:p w14:paraId="6AF546F0" w14:textId="77777777" w:rsidR="00432308" w:rsidRPr="00432308" w:rsidRDefault="00432308" w:rsidP="00445623">
            <w:pPr>
              <w:rPr>
                <w:sz w:val="16"/>
                <w:szCs w:val="16"/>
              </w:rPr>
            </w:pPr>
            <w:r w:rsidRPr="00432308">
              <w:rPr>
                <w:sz w:val="16"/>
                <w:szCs w:val="16"/>
              </w:rPr>
              <w:t>No, indicators of employee status do not apply or only to limited extent</w:t>
            </w:r>
          </w:p>
        </w:tc>
      </w:tr>
      <w:tr w:rsidR="00432308" w:rsidRPr="00432308" w14:paraId="51786F69" w14:textId="77777777" w:rsidTr="00432308">
        <w:tc>
          <w:tcPr>
            <w:tcW w:w="4106" w:type="dxa"/>
          </w:tcPr>
          <w:p w14:paraId="08E009F1" w14:textId="77777777" w:rsidR="00432308" w:rsidRPr="00432308" w:rsidRDefault="00432308" w:rsidP="00445623">
            <w:pPr>
              <w:rPr>
                <w:sz w:val="16"/>
                <w:szCs w:val="16"/>
                <w:lang w:val="nl-NL"/>
              </w:rPr>
            </w:pPr>
            <w:r w:rsidRPr="00432308">
              <w:rPr>
                <w:sz w:val="16"/>
                <w:szCs w:val="16"/>
                <w:lang w:val="nl-NL"/>
              </w:rPr>
              <w:t>W weegt zwaarder dan Z</w:t>
            </w:r>
          </w:p>
        </w:tc>
        <w:tc>
          <w:tcPr>
            <w:tcW w:w="4910" w:type="dxa"/>
          </w:tcPr>
          <w:p w14:paraId="15EA1D73" w14:textId="77777777" w:rsidR="00432308" w:rsidRPr="00432308" w:rsidRDefault="00432308" w:rsidP="00445623">
            <w:pPr>
              <w:rPr>
                <w:sz w:val="16"/>
                <w:szCs w:val="16"/>
              </w:rPr>
            </w:pPr>
            <w:r w:rsidRPr="00432308">
              <w:rPr>
                <w:sz w:val="16"/>
                <w:szCs w:val="16"/>
              </w:rPr>
              <w:t>W outweighs Z</w:t>
            </w:r>
          </w:p>
        </w:tc>
      </w:tr>
      <w:tr w:rsidR="00432308" w:rsidRPr="00432308" w14:paraId="2FE064F2" w14:textId="77777777" w:rsidTr="00432308">
        <w:tc>
          <w:tcPr>
            <w:tcW w:w="4106" w:type="dxa"/>
          </w:tcPr>
          <w:p w14:paraId="1456F68C" w14:textId="77777777" w:rsidR="00432308" w:rsidRPr="00432308" w:rsidRDefault="00432308" w:rsidP="00445623">
            <w:pPr>
              <w:rPr>
                <w:sz w:val="16"/>
                <w:szCs w:val="16"/>
                <w:lang w:val="nl-NL"/>
              </w:rPr>
            </w:pPr>
            <w:r w:rsidRPr="00432308">
              <w:rPr>
                <w:sz w:val="16"/>
                <w:szCs w:val="16"/>
                <w:lang w:val="nl-NL"/>
              </w:rPr>
              <w:t>Z weegt zwaarder dan W</w:t>
            </w:r>
          </w:p>
        </w:tc>
        <w:tc>
          <w:tcPr>
            <w:tcW w:w="4910" w:type="dxa"/>
          </w:tcPr>
          <w:p w14:paraId="673D25CF" w14:textId="77777777" w:rsidR="00432308" w:rsidRPr="00432308" w:rsidRDefault="00432308" w:rsidP="00445623">
            <w:pPr>
              <w:rPr>
                <w:sz w:val="16"/>
                <w:szCs w:val="16"/>
              </w:rPr>
            </w:pPr>
            <w:r w:rsidRPr="00432308">
              <w:rPr>
                <w:sz w:val="16"/>
                <w:szCs w:val="16"/>
              </w:rPr>
              <w:t>Z outweighs W</w:t>
            </w:r>
          </w:p>
        </w:tc>
      </w:tr>
      <w:tr w:rsidR="00432308" w:rsidRPr="00432308" w14:paraId="0C80045F" w14:textId="77777777" w:rsidTr="00432308">
        <w:tc>
          <w:tcPr>
            <w:tcW w:w="4106" w:type="dxa"/>
          </w:tcPr>
          <w:p w14:paraId="4E8D5D39" w14:textId="77777777" w:rsidR="00432308" w:rsidRPr="00432308" w:rsidRDefault="00432308" w:rsidP="00445623">
            <w:pPr>
              <w:rPr>
                <w:sz w:val="16"/>
                <w:szCs w:val="16"/>
              </w:rPr>
            </w:pPr>
            <w:r w:rsidRPr="00432308">
              <w:rPr>
                <w:sz w:val="16"/>
                <w:szCs w:val="16"/>
              </w:rPr>
              <w:t xml:space="preserve">Ja! </w:t>
            </w:r>
            <w:proofErr w:type="spellStart"/>
            <w:r w:rsidRPr="00432308">
              <w:rPr>
                <w:sz w:val="16"/>
                <w:szCs w:val="16"/>
              </w:rPr>
              <w:t>Gezagsverhouding</w:t>
            </w:r>
            <w:proofErr w:type="spellEnd"/>
            <w:r w:rsidRPr="00432308">
              <w:rPr>
                <w:sz w:val="16"/>
                <w:szCs w:val="16"/>
              </w:rPr>
              <w:t xml:space="preserve"> </w:t>
            </w:r>
            <w:proofErr w:type="spellStart"/>
            <w:r w:rsidRPr="00432308">
              <w:rPr>
                <w:sz w:val="16"/>
                <w:szCs w:val="16"/>
              </w:rPr>
              <w:t>aanwezig</w:t>
            </w:r>
            <w:proofErr w:type="spellEnd"/>
          </w:p>
        </w:tc>
        <w:tc>
          <w:tcPr>
            <w:tcW w:w="4910" w:type="dxa"/>
          </w:tcPr>
          <w:p w14:paraId="203E2E39" w14:textId="77777777" w:rsidR="00432308" w:rsidRPr="00432308" w:rsidRDefault="00432308" w:rsidP="00445623">
            <w:pPr>
              <w:rPr>
                <w:sz w:val="16"/>
                <w:szCs w:val="16"/>
              </w:rPr>
            </w:pPr>
            <w:r w:rsidRPr="00432308">
              <w:rPr>
                <w:sz w:val="16"/>
                <w:szCs w:val="16"/>
              </w:rPr>
              <w:t>Yes! Relationship of authority exists</w:t>
            </w:r>
          </w:p>
        </w:tc>
      </w:tr>
      <w:tr w:rsidR="00432308" w:rsidRPr="00432308" w14:paraId="4A926451" w14:textId="77777777" w:rsidTr="00432308">
        <w:tc>
          <w:tcPr>
            <w:tcW w:w="4106" w:type="dxa"/>
          </w:tcPr>
          <w:p w14:paraId="263464D0" w14:textId="77777777" w:rsidR="00432308" w:rsidRPr="00432308" w:rsidRDefault="00432308" w:rsidP="00445623">
            <w:pPr>
              <w:rPr>
                <w:sz w:val="16"/>
                <w:szCs w:val="16"/>
              </w:rPr>
            </w:pPr>
            <w:r w:rsidRPr="00432308">
              <w:rPr>
                <w:sz w:val="16"/>
                <w:szCs w:val="16"/>
              </w:rPr>
              <w:t xml:space="preserve">Geen </w:t>
            </w:r>
            <w:proofErr w:type="spellStart"/>
            <w:r w:rsidRPr="00432308">
              <w:rPr>
                <w:sz w:val="16"/>
                <w:szCs w:val="16"/>
              </w:rPr>
              <w:t>gezagsverhouding</w:t>
            </w:r>
            <w:proofErr w:type="spellEnd"/>
          </w:p>
        </w:tc>
        <w:tc>
          <w:tcPr>
            <w:tcW w:w="4910" w:type="dxa"/>
          </w:tcPr>
          <w:p w14:paraId="430C5129" w14:textId="77777777" w:rsidR="00432308" w:rsidRPr="00432308" w:rsidRDefault="00432308" w:rsidP="00445623">
            <w:pPr>
              <w:rPr>
                <w:sz w:val="16"/>
                <w:szCs w:val="16"/>
              </w:rPr>
            </w:pPr>
            <w:r w:rsidRPr="00432308">
              <w:rPr>
                <w:sz w:val="16"/>
                <w:szCs w:val="16"/>
              </w:rPr>
              <w:t>No relationship of authority</w:t>
            </w:r>
          </w:p>
        </w:tc>
      </w:tr>
    </w:tbl>
    <w:p w14:paraId="6D1F49C5" w14:textId="77777777" w:rsidR="00432308" w:rsidRPr="00432308" w:rsidRDefault="00432308" w:rsidP="00432308">
      <w:pPr>
        <w:rPr>
          <w:sz w:val="16"/>
          <w:szCs w:val="16"/>
        </w:rPr>
      </w:pPr>
    </w:p>
    <w:p w14:paraId="028AB74B" w14:textId="77777777" w:rsidR="008F7730" w:rsidRPr="00FF2315" w:rsidRDefault="008F7730" w:rsidP="00426F52">
      <w:pPr>
        <w:rPr>
          <w:rFonts w:ascii="Arial" w:hAnsi="Arial" w:cs="Arial"/>
          <w:sz w:val="22"/>
          <w:szCs w:val="22"/>
        </w:rPr>
      </w:pPr>
    </w:p>
    <w:p w14:paraId="1908E1CF" w14:textId="3662ACC4" w:rsidR="00426F52" w:rsidRPr="008F7730" w:rsidRDefault="00426F52" w:rsidP="00426F52">
      <w:pPr>
        <w:rPr>
          <w:rFonts w:ascii="Arial" w:hAnsi="Arial" w:cs="Arial"/>
          <w:b/>
          <w:bCs/>
          <w:sz w:val="22"/>
          <w:szCs w:val="22"/>
        </w:rPr>
      </w:pPr>
      <w:r>
        <w:rPr>
          <w:rFonts w:ascii="Arial" w:hAnsi="Arial"/>
          <w:b/>
          <w:sz w:val="22"/>
        </w:rPr>
        <w:t>Legal presumption of employee status</w:t>
      </w:r>
    </w:p>
    <w:p w14:paraId="04CB8EB4" w14:textId="75AA57DF" w:rsidR="00426F52" w:rsidRPr="008F7730" w:rsidRDefault="00426F52" w:rsidP="00426F52">
      <w:pPr>
        <w:rPr>
          <w:rFonts w:ascii="Arial" w:hAnsi="Arial" w:cs="Arial"/>
          <w:sz w:val="22"/>
          <w:szCs w:val="22"/>
        </w:rPr>
      </w:pPr>
      <w:r>
        <w:rPr>
          <w:rFonts w:ascii="Arial" w:hAnsi="Arial"/>
          <w:sz w:val="22"/>
        </w:rPr>
        <w:t>Self-employed persons who earn less than € 36 per hour will be able to claim that they are employees and demand the associated rights, such as continued salary payment in the event of sickness, holiday entitlements and protection from dismissal. If a self-employed person relies on this legal presumption, the burden of proof shifts to the employer, who has to demonstrate that an employment contract does not apply. It is therefore a rebuttable presumption. The hourly rate will be adjusted annually in line with the increase in the minimum wage and rounded to whole euros.</w:t>
      </w:r>
    </w:p>
    <w:p w14:paraId="102E5454" w14:textId="77777777" w:rsidR="00426F52" w:rsidRPr="008F7730" w:rsidRDefault="00426F52" w:rsidP="00426F52">
      <w:pPr>
        <w:rPr>
          <w:rFonts w:ascii="Arial" w:hAnsi="Arial" w:cs="Arial"/>
          <w:sz w:val="22"/>
          <w:szCs w:val="22"/>
        </w:rPr>
      </w:pPr>
    </w:p>
    <w:p w14:paraId="0E725663" w14:textId="77777777" w:rsidR="00FF2315" w:rsidRDefault="00426F52" w:rsidP="00816581">
      <w:pPr>
        <w:shd w:val="clear" w:color="auto" w:fill="D9D9D9" w:themeFill="background1" w:themeFillShade="D9"/>
        <w:rPr>
          <w:rFonts w:ascii="Arial" w:hAnsi="Arial" w:cs="Arial"/>
          <w:b/>
          <w:bCs/>
          <w:sz w:val="22"/>
          <w:szCs w:val="22"/>
        </w:rPr>
      </w:pPr>
      <w:r>
        <w:rPr>
          <w:rFonts w:ascii="Arial" w:hAnsi="Arial"/>
          <w:b/>
          <w:sz w:val="22"/>
        </w:rPr>
        <w:lastRenderedPageBreak/>
        <w:t>Please note:</w:t>
      </w:r>
    </w:p>
    <w:p w14:paraId="043278BD" w14:textId="00C60BFE" w:rsidR="00426F52" w:rsidRPr="008F7730" w:rsidRDefault="00426F52" w:rsidP="00816581">
      <w:pPr>
        <w:shd w:val="clear" w:color="auto" w:fill="D9D9D9" w:themeFill="background1" w:themeFillShade="D9"/>
        <w:rPr>
          <w:rFonts w:ascii="Arial" w:hAnsi="Arial" w:cs="Arial"/>
          <w:sz w:val="22"/>
          <w:szCs w:val="22"/>
        </w:rPr>
      </w:pPr>
      <w:r>
        <w:rPr>
          <w:rFonts w:ascii="Arial" w:hAnsi="Arial"/>
          <w:sz w:val="22"/>
        </w:rPr>
        <w:t>The Act is intended to be introduced on 1 July 2026. However, it still has to be passed by the Lower and Upper House. This legislative proposal is crucial for the Dutch Recovery and Resilience Plan (RRP), which is linked to a total amount of approximately € 5.4 billion in EU support. Failure to pass the Vbar on time could lead to the loss of around € 600 million in European funding.</w:t>
      </w:r>
    </w:p>
    <w:p w14:paraId="4BEFA538" w14:textId="77777777" w:rsidR="00816581" w:rsidRDefault="00816581" w:rsidP="00C94A1B">
      <w:pPr>
        <w:rPr>
          <w:rFonts w:ascii="Arial" w:hAnsi="Arial" w:cs="Arial"/>
          <w:sz w:val="22"/>
          <w:szCs w:val="22"/>
        </w:rPr>
      </w:pPr>
    </w:p>
    <w:p w14:paraId="0BB43F9D" w14:textId="26A2C444" w:rsidR="00A41DB5" w:rsidRDefault="0004344F" w:rsidP="00957F2F">
      <w:pPr>
        <w:pStyle w:val="Kop2"/>
        <w:ind w:hanging="283"/>
      </w:pPr>
      <w:r>
        <w:t>Private member’s bill on Self-Employed Persons Act</w:t>
      </w:r>
    </w:p>
    <w:p w14:paraId="7B4170F9" w14:textId="77777777" w:rsidR="00A41DB5" w:rsidRPr="00C94A1B" w:rsidRDefault="00A41DB5" w:rsidP="00A41DB5">
      <w:pPr>
        <w:rPr>
          <w:rFonts w:ascii="Arial" w:hAnsi="Arial" w:cs="Arial"/>
          <w:sz w:val="22"/>
          <w:szCs w:val="22"/>
        </w:rPr>
      </w:pPr>
    </w:p>
    <w:bookmarkEnd w:id="106"/>
    <w:p w14:paraId="5B059E17" w14:textId="5E77BB05" w:rsidR="00C94A1B" w:rsidRPr="00C94A1B" w:rsidRDefault="00C94A1B" w:rsidP="00C94A1B">
      <w:pPr>
        <w:rPr>
          <w:rFonts w:ascii="Arial" w:hAnsi="Arial" w:cs="Arial"/>
          <w:sz w:val="22"/>
          <w:szCs w:val="22"/>
        </w:rPr>
      </w:pPr>
      <w:r>
        <w:rPr>
          <w:rFonts w:ascii="Arial" w:hAnsi="Arial"/>
          <w:sz w:val="22"/>
        </w:rPr>
        <w:t>A new private member’s bill relating to the position of self-employed persons was put out to an online consultation from 26 May to 23 June 2025. It aims to put an end to the confusion and anxiety surrounding the status of self-employed persons. The new Act should also be better aligned with the modern labour market – whether or not you want to work in a self-employed capacity – by providing clarity about the status of these workers: are they self-employed or employees?</w:t>
      </w:r>
    </w:p>
    <w:p w14:paraId="018EC72E" w14:textId="77777777" w:rsidR="00C94A1B" w:rsidRPr="00C94A1B" w:rsidRDefault="00C94A1B" w:rsidP="00C94A1B">
      <w:pPr>
        <w:rPr>
          <w:rFonts w:ascii="Arial" w:hAnsi="Arial" w:cs="Arial"/>
          <w:sz w:val="22"/>
          <w:szCs w:val="22"/>
        </w:rPr>
      </w:pPr>
    </w:p>
    <w:p w14:paraId="5D7BD5A0" w14:textId="77777777" w:rsidR="00C94A1B" w:rsidRPr="00927E5A" w:rsidRDefault="00C94A1B" w:rsidP="00C94A1B">
      <w:pPr>
        <w:rPr>
          <w:rFonts w:ascii="Arial" w:hAnsi="Arial" w:cs="Arial"/>
          <w:b/>
          <w:bCs/>
          <w:sz w:val="22"/>
          <w:szCs w:val="22"/>
        </w:rPr>
      </w:pPr>
      <w:r>
        <w:rPr>
          <w:rFonts w:ascii="Arial" w:hAnsi="Arial"/>
          <w:b/>
          <w:sz w:val="22"/>
        </w:rPr>
        <w:t>Self-employment assessment and working relationship assessment</w:t>
      </w:r>
    </w:p>
    <w:p w14:paraId="72BF3184" w14:textId="324E934C" w:rsidR="00C94A1B" w:rsidRPr="00C94A1B" w:rsidRDefault="00C94A1B" w:rsidP="00C94A1B">
      <w:pPr>
        <w:rPr>
          <w:rFonts w:ascii="Arial" w:hAnsi="Arial" w:cs="Arial"/>
          <w:sz w:val="22"/>
          <w:szCs w:val="22"/>
        </w:rPr>
      </w:pPr>
      <w:r>
        <w:rPr>
          <w:rFonts w:ascii="Arial" w:hAnsi="Arial"/>
          <w:sz w:val="22"/>
        </w:rPr>
        <w:t>The private member’s bill proposes a clear legal assessment framework for determining when a person can work in a self-employed capacity. There will be two assessments that a self-employed person must satisfy to be able to do so: the self-employment assessment and the working relationship assessment. This will create clarity, ensuring that parties do not find themselves facing additional tax assessments or fines later.</w:t>
      </w:r>
    </w:p>
    <w:p w14:paraId="2BDB8AD1" w14:textId="77777777" w:rsidR="00C94A1B" w:rsidRPr="00C94A1B" w:rsidRDefault="00C94A1B" w:rsidP="00C94A1B">
      <w:pPr>
        <w:rPr>
          <w:rFonts w:ascii="Arial" w:hAnsi="Arial" w:cs="Arial"/>
          <w:sz w:val="22"/>
          <w:szCs w:val="22"/>
        </w:rPr>
      </w:pPr>
    </w:p>
    <w:p w14:paraId="20694321" w14:textId="5265231B" w:rsidR="00C94A1B" w:rsidRPr="005A3489" w:rsidRDefault="00C94A1B" w:rsidP="00C94A1B">
      <w:pPr>
        <w:rPr>
          <w:rFonts w:ascii="Arial" w:hAnsi="Arial" w:cs="Arial"/>
          <w:b/>
          <w:bCs/>
          <w:sz w:val="22"/>
          <w:szCs w:val="22"/>
        </w:rPr>
      </w:pPr>
      <w:r>
        <w:rPr>
          <w:rFonts w:ascii="Arial" w:hAnsi="Arial"/>
          <w:b/>
          <w:sz w:val="22"/>
        </w:rPr>
        <w:t>Conditions of self-employment assessment</w:t>
      </w:r>
    </w:p>
    <w:p w14:paraId="0140FC3E" w14:textId="77777777" w:rsidR="00C94A1B" w:rsidRPr="00C94A1B" w:rsidRDefault="00C94A1B" w:rsidP="00C94A1B">
      <w:pPr>
        <w:rPr>
          <w:rFonts w:ascii="Arial" w:hAnsi="Arial" w:cs="Arial"/>
          <w:sz w:val="22"/>
          <w:szCs w:val="22"/>
        </w:rPr>
      </w:pPr>
      <w:r>
        <w:rPr>
          <w:rFonts w:ascii="Arial" w:hAnsi="Arial"/>
          <w:sz w:val="22"/>
        </w:rPr>
        <w:t>The conditions of the self-employment assessment are as follows:</w:t>
      </w:r>
    </w:p>
    <w:p w14:paraId="313463A3" w14:textId="2AC4828F" w:rsidR="00C94A1B" w:rsidRDefault="00927E5A" w:rsidP="002F233C">
      <w:pPr>
        <w:pStyle w:val="Lijstalinea"/>
        <w:numPr>
          <w:ilvl w:val="0"/>
          <w:numId w:val="24"/>
        </w:numPr>
        <w:rPr>
          <w:rFonts w:ascii="Arial" w:hAnsi="Arial" w:cs="Arial"/>
        </w:rPr>
      </w:pPr>
      <w:r>
        <w:rPr>
          <w:rFonts w:ascii="Arial" w:hAnsi="Arial"/>
        </w:rPr>
        <w:t>The person is working at his/her own expense and risk.</w:t>
      </w:r>
    </w:p>
    <w:p w14:paraId="41DF3CD1" w14:textId="112DBE67" w:rsidR="00C94A1B" w:rsidRDefault="00927E5A" w:rsidP="002F233C">
      <w:pPr>
        <w:pStyle w:val="Lijstalinea"/>
        <w:numPr>
          <w:ilvl w:val="0"/>
          <w:numId w:val="24"/>
        </w:numPr>
        <w:rPr>
          <w:rFonts w:ascii="Arial" w:hAnsi="Arial" w:cs="Arial"/>
        </w:rPr>
      </w:pPr>
      <w:r>
        <w:rPr>
          <w:rFonts w:ascii="Arial" w:hAnsi="Arial"/>
        </w:rPr>
        <w:t>The worker keeps proper records.</w:t>
      </w:r>
    </w:p>
    <w:p w14:paraId="2C2D02E5" w14:textId="7839C05C" w:rsidR="00C94A1B" w:rsidRDefault="00927E5A" w:rsidP="002F233C">
      <w:pPr>
        <w:pStyle w:val="Lijstalinea"/>
        <w:numPr>
          <w:ilvl w:val="0"/>
          <w:numId w:val="24"/>
        </w:numPr>
        <w:rPr>
          <w:rFonts w:ascii="Arial" w:hAnsi="Arial" w:cs="Arial"/>
        </w:rPr>
      </w:pPr>
      <w:r>
        <w:rPr>
          <w:rFonts w:ascii="Arial" w:hAnsi="Arial"/>
        </w:rPr>
        <w:t>The worker acts as an independent entrepreneur on the market.</w:t>
      </w:r>
    </w:p>
    <w:p w14:paraId="55D4C8A2" w14:textId="183D2322" w:rsidR="00C94A1B" w:rsidRDefault="00927E5A" w:rsidP="002F233C">
      <w:pPr>
        <w:pStyle w:val="Lijstalinea"/>
        <w:numPr>
          <w:ilvl w:val="0"/>
          <w:numId w:val="24"/>
        </w:numPr>
        <w:rPr>
          <w:rFonts w:ascii="Arial" w:hAnsi="Arial" w:cs="Arial"/>
        </w:rPr>
      </w:pPr>
      <w:r>
        <w:rPr>
          <w:rFonts w:ascii="Arial" w:hAnsi="Arial"/>
        </w:rPr>
        <w:t>The worker has taken appropriate steps to cover the risk of incapacity (self-employed persons can do so as they see fit).</w:t>
      </w:r>
    </w:p>
    <w:p w14:paraId="5F21C697" w14:textId="471C82D1" w:rsidR="00C94A1B" w:rsidRPr="005A3489" w:rsidRDefault="00927E5A" w:rsidP="002F233C">
      <w:pPr>
        <w:pStyle w:val="Lijstalinea"/>
        <w:numPr>
          <w:ilvl w:val="0"/>
          <w:numId w:val="24"/>
        </w:numPr>
        <w:rPr>
          <w:rFonts w:ascii="Arial" w:hAnsi="Arial" w:cs="Arial"/>
        </w:rPr>
      </w:pPr>
      <w:r>
        <w:rPr>
          <w:rFonts w:ascii="Arial" w:hAnsi="Arial"/>
        </w:rPr>
        <w:t>The worker is setting aside a sufficient proportion of his/her income for retirement. Self-employed persons can do this in a manner of their choosing.</w:t>
      </w:r>
    </w:p>
    <w:p w14:paraId="403ED311" w14:textId="77777777" w:rsidR="00927E5A" w:rsidRDefault="00927E5A" w:rsidP="00C94A1B">
      <w:pPr>
        <w:rPr>
          <w:rFonts w:ascii="Arial" w:hAnsi="Arial" w:cs="Arial"/>
          <w:sz w:val="22"/>
          <w:szCs w:val="22"/>
        </w:rPr>
      </w:pPr>
    </w:p>
    <w:p w14:paraId="2DCC8398" w14:textId="1B73791D" w:rsidR="00C94A1B" w:rsidRDefault="00927E5A" w:rsidP="00C94A1B">
      <w:pPr>
        <w:rPr>
          <w:rFonts w:ascii="Arial" w:hAnsi="Arial" w:cs="Arial"/>
          <w:sz w:val="22"/>
          <w:szCs w:val="22"/>
        </w:rPr>
      </w:pPr>
      <w:r>
        <w:rPr>
          <w:rFonts w:ascii="Arial" w:hAnsi="Arial"/>
          <w:b/>
          <w:sz w:val="22"/>
        </w:rPr>
        <w:t>Conditions of working relationship assessment</w:t>
      </w:r>
      <w:r>
        <w:rPr>
          <w:rFonts w:ascii="Arial" w:hAnsi="Arial"/>
          <w:b/>
          <w:sz w:val="22"/>
        </w:rPr>
        <w:br/>
      </w:r>
      <w:r>
        <w:rPr>
          <w:rFonts w:ascii="Arial" w:hAnsi="Arial"/>
          <w:sz w:val="22"/>
        </w:rPr>
        <w:t>The conditions of the working relationship assessment are as follows:</w:t>
      </w:r>
    </w:p>
    <w:p w14:paraId="702AA961" w14:textId="77777777" w:rsidR="00C94A1B" w:rsidRDefault="00C94A1B" w:rsidP="002F233C">
      <w:pPr>
        <w:pStyle w:val="Lijstalinea"/>
        <w:numPr>
          <w:ilvl w:val="0"/>
          <w:numId w:val="25"/>
        </w:numPr>
        <w:rPr>
          <w:rFonts w:ascii="Arial" w:hAnsi="Arial" w:cs="Arial"/>
        </w:rPr>
      </w:pPr>
      <w:r>
        <w:rPr>
          <w:rFonts w:ascii="Arial" w:hAnsi="Arial"/>
        </w:rPr>
        <w:t>There is freedom in how the work can be organised.</w:t>
      </w:r>
    </w:p>
    <w:p w14:paraId="27DC8419" w14:textId="77777777" w:rsidR="00927E5A" w:rsidRDefault="00C94A1B" w:rsidP="002F233C">
      <w:pPr>
        <w:pStyle w:val="Lijstalinea"/>
        <w:numPr>
          <w:ilvl w:val="0"/>
          <w:numId w:val="25"/>
        </w:numPr>
        <w:rPr>
          <w:rFonts w:ascii="Arial" w:hAnsi="Arial" w:cs="Arial"/>
        </w:rPr>
      </w:pPr>
      <w:r>
        <w:rPr>
          <w:rFonts w:ascii="Arial" w:hAnsi="Arial"/>
        </w:rPr>
        <w:t>There is freedom in how the working hours can be organised.</w:t>
      </w:r>
    </w:p>
    <w:p w14:paraId="1C4167F8" w14:textId="77777777" w:rsidR="00927E5A" w:rsidRDefault="00C94A1B" w:rsidP="002F233C">
      <w:pPr>
        <w:pStyle w:val="Lijstalinea"/>
        <w:numPr>
          <w:ilvl w:val="0"/>
          <w:numId w:val="25"/>
        </w:numPr>
        <w:rPr>
          <w:rFonts w:ascii="Arial" w:hAnsi="Arial" w:cs="Arial"/>
        </w:rPr>
      </w:pPr>
      <w:r>
        <w:rPr>
          <w:rFonts w:ascii="Arial" w:hAnsi="Arial"/>
        </w:rPr>
        <w:t>There is no hierarchical control.</w:t>
      </w:r>
    </w:p>
    <w:p w14:paraId="42E24D14" w14:textId="0DC3668A" w:rsidR="00C94A1B" w:rsidRDefault="00C94A1B" w:rsidP="002F233C">
      <w:pPr>
        <w:pStyle w:val="Lijstalinea"/>
        <w:numPr>
          <w:ilvl w:val="0"/>
          <w:numId w:val="25"/>
        </w:numPr>
        <w:rPr>
          <w:rFonts w:ascii="Arial" w:hAnsi="Arial" w:cs="Arial"/>
        </w:rPr>
      </w:pPr>
      <w:r>
        <w:rPr>
          <w:rFonts w:ascii="Arial" w:hAnsi="Arial"/>
        </w:rPr>
        <w:t>The parties intend for work to be carried out on a basis other than an employment contract.</w:t>
      </w:r>
    </w:p>
    <w:p w14:paraId="7735BB7B" w14:textId="77777777" w:rsidR="00927E5A" w:rsidRPr="005A3489" w:rsidRDefault="00927E5A" w:rsidP="00927E5A">
      <w:pPr>
        <w:rPr>
          <w:rFonts w:ascii="Arial" w:hAnsi="Arial" w:cs="Arial"/>
        </w:rPr>
      </w:pPr>
    </w:p>
    <w:p w14:paraId="7EB3C2F7" w14:textId="77777777" w:rsidR="00C94A1B" w:rsidRPr="005A3489" w:rsidRDefault="00C94A1B" w:rsidP="00C94A1B">
      <w:pPr>
        <w:rPr>
          <w:rFonts w:ascii="Arial" w:hAnsi="Arial" w:cs="Arial"/>
          <w:b/>
          <w:bCs/>
          <w:sz w:val="22"/>
          <w:szCs w:val="22"/>
        </w:rPr>
      </w:pPr>
      <w:r>
        <w:rPr>
          <w:rFonts w:ascii="Arial" w:hAnsi="Arial"/>
          <w:b/>
          <w:sz w:val="22"/>
        </w:rPr>
        <w:t>Legal presumption at sectoral level</w:t>
      </w:r>
    </w:p>
    <w:p w14:paraId="514B819B" w14:textId="39926139" w:rsidR="00C94A1B" w:rsidRPr="00C94A1B" w:rsidRDefault="00C94A1B" w:rsidP="00C94A1B">
      <w:pPr>
        <w:rPr>
          <w:rFonts w:ascii="Arial" w:hAnsi="Arial" w:cs="Arial"/>
          <w:sz w:val="22"/>
          <w:szCs w:val="22"/>
        </w:rPr>
      </w:pPr>
      <w:r>
        <w:rPr>
          <w:rFonts w:ascii="Arial" w:hAnsi="Arial"/>
          <w:sz w:val="22"/>
        </w:rPr>
        <w:t>The private member’s bill also includes the possibility of introducing a legal presumption at sectoral level for sectors in which there is an increased risk of bogus self-employment.</w:t>
      </w:r>
    </w:p>
    <w:p w14:paraId="58B7E528" w14:textId="77777777" w:rsidR="00C94A1B" w:rsidRPr="00C94A1B" w:rsidRDefault="00C94A1B" w:rsidP="00C94A1B">
      <w:pPr>
        <w:rPr>
          <w:rFonts w:ascii="Arial" w:hAnsi="Arial" w:cs="Arial"/>
          <w:sz w:val="22"/>
          <w:szCs w:val="22"/>
        </w:rPr>
      </w:pPr>
    </w:p>
    <w:p w14:paraId="21DF252C" w14:textId="77777777" w:rsidR="00C94A1B" w:rsidRPr="00DF3887" w:rsidRDefault="00C94A1B" w:rsidP="00DF3887">
      <w:pPr>
        <w:shd w:val="clear" w:color="auto" w:fill="D9D9D9"/>
        <w:tabs>
          <w:tab w:val="left" w:pos="283"/>
          <w:tab w:val="left" w:pos="567"/>
          <w:tab w:val="left" w:pos="5102"/>
          <w:tab w:val="right" w:pos="6236"/>
          <w:tab w:val="left" w:pos="6520"/>
          <w:tab w:val="right" w:pos="7654"/>
          <w:tab w:val="left" w:pos="7937"/>
          <w:tab w:val="right" w:pos="9071"/>
        </w:tabs>
        <w:rPr>
          <w:rFonts w:ascii="Arial" w:hAnsi="Arial" w:cs="Arial"/>
          <w:b/>
          <w:bCs/>
          <w:sz w:val="22"/>
          <w:szCs w:val="22"/>
        </w:rPr>
      </w:pPr>
      <w:r>
        <w:rPr>
          <w:rFonts w:ascii="Arial" w:hAnsi="Arial"/>
          <w:b/>
          <w:sz w:val="22"/>
        </w:rPr>
        <w:t>Please note:</w:t>
      </w:r>
    </w:p>
    <w:p w14:paraId="08A1C335" w14:textId="77777777" w:rsidR="00C94A1B" w:rsidRPr="00DF3887" w:rsidRDefault="00C94A1B" w:rsidP="00DF3887">
      <w:pPr>
        <w:shd w:val="clear" w:color="auto" w:fill="D9D9D9"/>
        <w:tabs>
          <w:tab w:val="left" w:pos="283"/>
          <w:tab w:val="left" w:pos="567"/>
          <w:tab w:val="left" w:pos="5102"/>
          <w:tab w:val="right" w:pos="6236"/>
          <w:tab w:val="left" w:pos="6520"/>
          <w:tab w:val="right" w:pos="7654"/>
          <w:tab w:val="left" w:pos="7937"/>
          <w:tab w:val="right" w:pos="9071"/>
        </w:tabs>
        <w:rPr>
          <w:rFonts w:ascii="Arial" w:hAnsi="Arial" w:cs="Arial"/>
          <w:sz w:val="22"/>
          <w:szCs w:val="22"/>
        </w:rPr>
      </w:pPr>
      <w:r>
        <w:rPr>
          <w:rFonts w:ascii="Arial" w:hAnsi="Arial"/>
          <w:sz w:val="22"/>
        </w:rPr>
        <w:t>The actual circumstances are also relevant, of course.</w:t>
      </w:r>
    </w:p>
    <w:p w14:paraId="40CA80E6" w14:textId="77777777" w:rsidR="00C94A1B" w:rsidRPr="00C94A1B" w:rsidRDefault="00C94A1B" w:rsidP="00C94A1B">
      <w:pPr>
        <w:rPr>
          <w:rFonts w:ascii="Arial" w:hAnsi="Arial" w:cs="Arial"/>
          <w:sz w:val="22"/>
          <w:szCs w:val="22"/>
        </w:rPr>
      </w:pPr>
    </w:p>
    <w:p w14:paraId="32B0FDFF" w14:textId="77777777" w:rsidR="00B15B01" w:rsidRDefault="00B15B01" w:rsidP="00C94A1B">
      <w:pPr>
        <w:rPr>
          <w:rFonts w:ascii="Arial" w:hAnsi="Arial"/>
          <w:b/>
          <w:sz w:val="22"/>
        </w:rPr>
      </w:pPr>
    </w:p>
    <w:p w14:paraId="4BB1B028" w14:textId="77777777" w:rsidR="00B15B01" w:rsidRDefault="00B15B01" w:rsidP="00C94A1B">
      <w:pPr>
        <w:rPr>
          <w:rFonts w:ascii="Arial" w:hAnsi="Arial"/>
          <w:b/>
          <w:sz w:val="22"/>
        </w:rPr>
      </w:pPr>
    </w:p>
    <w:p w14:paraId="33BFDDAF" w14:textId="4B0CF8CD" w:rsidR="00C94A1B" w:rsidRPr="005A3489" w:rsidRDefault="00C94A1B" w:rsidP="00C94A1B">
      <w:pPr>
        <w:rPr>
          <w:rFonts w:ascii="Arial" w:hAnsi="Arial" w:cs="Arial"/>
          <w:b/>
          <w:bCs/>
          <w:sz w:val="22"/>
          <w:szCs w:val="22"/>
        </w:rPr>
      </w:pPr>
      <w:r>
        <w:rPr>
          <w:rFonts w:ascii="Arial" w:hAnsi="Arial"/>
          <w:b/>
          <w:sz w:val="22"/>
        </w:rPr>
        <w:lastRenderedPageBreak/>
        <w:t>Assessment committee</w:t>
      </w:r>
    </w:p>
    <w:p w14:paraId="62A84C27" w14:textId="4A8DE662" w:rsidR="00C94A1B" w:rsidRDefault="00927E5A" w:rsidP="00C94A1B">
      <w:pPr>
        <w:rPr>
          <w:rFonts w:ascii="Arial" w:hAnsi="Arial" w:cs="Arial"/>
          <w:sz w:val="22"/>
          <w:szCs w:val="22"/>
        </w:rPr>
      </w:pPr>
      <w:r>
        <w:rPr>
          <w:rFonts w:ascii="Arial" w:hAnsi="Arial"/>
          <w:sz w:val="22"/>
        </w:rPr>
        <w:t>The private member’s bill provides for the creation of a separate assessment committee that can assess working relationships as and when necessary, in order to create clarity for the market. These assessments will be public and binding for enforcement bodies, such as the Tax and Customs Administration.</w:t>
      </w:r>
    </w:p>
    <w:p w14:paraId="37F4003D" w14:textId="77777777" w:rsidR="00816581" w:rsidRDefault="00816581" w:rsidP="00C94A1B">
      <w:pPr>
        <w:rPr>
          <w:rFonts w:ascii="Arial" w:hAnsi="Arial" w:cs="Arial"/>
          <w:sz w:val="22"/>
          <w:szCs w:val="22"/>
        </w:rPr>
      </w:pPr>
    </w:p>
    <w:p w14:paraId="23A59BD4" w14:textId="2F424481" w:rsidR="00C94A1B" w:rsidRPr="005A3489" w:rsidRDefault="00927E5A" w:rsidP="00C94A1B">
      <w:pPr>
        <w:rPr>
          <w:rFonts w:ascii="Arial" w:hAnsi="Arial" w:cs="Arial"/>
          <w:b/>
          <w:bCs/>
          <w:sz w:val="22"/>
          <w:szCs w:val="22"/>
        </w:rPr>
      </w:pPr>
      <w:r>
        <w:rPr>
          <w:rFonts w:ascii="Arial" w:hAnsi="Arial"/>
          <w:b/>
          <w:sz w:val="22"/>
        </w:rPr>
        <w:t>Legal presumption based on hourly rate</w:t>
      </w:r>
    </w:p>
    <w:p w14:paraId="1F4B5866" w14:textId="6A873813" w:rsidR="000262F6" w:rsidRDefault="00C94A1B" w:rsidP="00C94A1B">
      <w:pPr>
        <w:rPr>
          <w:rFonts w:ascii="Arial" w:hAnsi="Arial" w:cs="Arial"/>
          <w:sz w:val="22"/>
          <w:szCs w:val="22"/>
        </w:rPr>
      </w:pPr>
      <w:r>
        <w:rPr>
          <w:rFonts w:ascii="Arial" w:hAnsi="Arial"/>
          <w:sz w:val="22"/>
        </w:rPr>
        <w:t>The private member’s bill also proposes introducing a legal presumption of employee status based on an hourly rate, which will actually create an earnings floor on the market for self-employed persons, as also included in the draft Vbar legislation.</w:t>
      </w:r>
    </w:p>
    <w:p w14:paraId="2D2983B8" w14:textId="77777777" w:rsidR="00927E5A" w:rsidRDefault="00927E5A" w:rsidP="00C94A1B">
      <w:pPr>
        <w:rPr>
          <w:rFonts w:ascii="Arial" w:hAnsi="Arial" w:cs="Arial"/>
          <w:sz w:val="22"/>
          <w:szCs w:val="22"/>
        </w:rPr>
      </w:pPr>
    </w:p>
    <w:p w14:paraId="537B8B2F" w14:textId="77777777" w:rsidR="00816581" w:rsidRDefault="001F04D8" w:rsidP="00816581">
      <w:pPr>
        <w:shd w:val="clear" w:color="auto" w:fill="D9D9D9" w:themeFill="background1" w:themeFillShade="D9"/>
        <w:rPr>
          <w:rFonts w:ascii="Arial" w:hAnsi="Arial" w:cs="Arial"/>
          <w:b/>
          <w:bCs/>
          <w:sz w:val="22"/>
          <w:szCs w:val="22"/>
        </w:rPr>
      </w:pPr>
      <w:r>
        <w:rPr>
          <w:rFonts w:ascii="Arial" w:hAnsi="Arial"/>
          <w:b/>
          <w:sz w:val="22"/>
        </w:rPr>
        <w:t>Please note:</w:t>
      </w:r>
    </w:p>
    <w:p w14:paraId="0A787AEA" w14:textId="5A021B69" w:rsidR="001F04D8" w:rsidRPr="008F7730" w:rsidRDefault="001F04D8" w:rsidP="00816581">
      <w:pPr>
        <w:shd w:val="clear" w:color="auto" w:fill="D9D9D9" w:themeFill="background1" w:themeFillShade="D9"/>
        <w:rPr>
          <w:rFonts w:ascii="Arial" w:hAnsi="Arial" w:cs="Arial"/>
          <w:sz w:val="22"/>
          <w:szCs w:val="22"/>
        </w:rPr>
      </w:pPr>
      <w:r>
        <w:rPr>
          <w:rFonts w:ascii="Arial" w:hAnsi="Arial"/>
          <w:sz w:val="22"/>
        </w:rPr>
        <w:t>The private member’s bill is yet to be debated by the Lower House.</w:t>
      </w:r>
    </w:p>
    <w:p w14:paraId="305C527E" w14:textId="77777777" w:rsidR="001F04D8" w:rsidRPr="00C94A1B" w:rsidRDefault="001F04D8" w:rsidP="00C94A1B">
      <w:pPr>
        <w:rPr>
          <w:rFonts w:ascii="Arial" w:hAnsi="Arial" w:cs="Arial"/>
          <w:sz w:val="22"/>
          <w:szCs w:val="22"/>
        </w:rPr>
      </w:pPr>
    </w:p>
    <w:p w14:paraId="3469B61A" w14:textId="195FCC6E" w:rsidR="008659F6" w:rsidRPr="00FF2315" w:rsidRDefault="001B0380" w:rsidP="00957F2F">
      <w:pPr>
        <w:pStyle w:val="Kop2"/>
        <w:ind w:hanging="283"/>
        <w:rPr>
          <w:rFonts w:cs="Arial"/>
          <w:bCs/>
          <w:szCs w:val="24"/>
        </w:rPr>
      </w:pPr>
      <w:bookmarkStart w:id="107" w:name="_Toc155866656"/>
      <w:bookmarkStart w:id="108" w:name="_Toc152927386"/>
      <w:r>
        <w:t>Partial extension of soft landing in 2026 for enforcement of law relating to bogus self-employment</w:t>
      </w:r>
    </w:p>
    <w:p w14:paraId="65923178" w14:textId="5D8794D0" w:rsidR="008659F6" w:rsidRPr="00FF2315" w:rsidRDefault="008659F6" w:rsidP="008659F6">
      <w:pPr>
        <w:rPr>
          <w:rFonts w:ascii="Arial" w:hAnsi="Arial" w:cs="Arial"/>
          <w:i/>
          <w:iCs/>
          <w:sz w:val="22"/>
          <w:szCs w:val="22"/>
        </w:rPr>
      </w:pPr>
    </w:p>
    <w:p w14:paraId="484C1A2E" w14:textId="0B324C31" w:rsidR="00D2461F" w:rsidRDefault="007C777B" w:rsidP="008659F6">
      <w:pPr>
        <w:rPr>
          <w:rFonts w:ascii="Arial" w:hAnsi="Arial" w:cs="Arial"/>
          <w:sz w:val="22"/>
          <w:szCs w:val="22"/>
        </w:rPr>
      </w:pPr>
      <w:r>
        <w:rPr>
          <w:rFonts w:ascii="Arial" w:hAnsi="Arial"/>
          <w:sz w:val="22"/>
        </w:rPr>
        <w:t>The soft landing that has applied to the enforcement of the law on bogus self-employment is being partially extended in 2026. After deciding not to act on a number of previous motions that Parliament had passed on this topic, on 19 December 2025 the government partly changed tack.</w:t>
      </w:r>
    </w:p>
    <w:p w14:paraId="09539AB9" w14:textId="77777777" w:rsidR="00FF2315" w:rsidRPr="008659F6" w:rsidRDefault="00FF2315" w:rsidP="008659F6">
      <w:pPr>
        <w:rPr>
          <w:rFonts w:ascii="Arial" w:hAnsi="Arial" w:cs="Arial"/>
          <w:sz w:val="22"/>
          <w:szCs w:val="22"/>
        </w:rPr>
      </w:pPr>
    </w:p>
    <w:p w14:paraId="27766F1D" w14:textId="465822AB" w:rsidR="008659F6" w:rsidRPr="00D2461F" w:rsidRDefault="008659F6" w:rsidP="00D2461F">
      <w:pPr>
        <w:rPr>
          <w:rFonts w:ascii="Arial" w:hAnsi="Arial" w:cs="Arial"/>
          <w:b/>
          <w:bCs/>
          <w:sz w:val="22"/>
          <w:szCs w:val="22"/>
        </w:rPr>
      </w:pPr>
      <w:r>
        <w:rPr>
          <w:rFonts w:ascii="Arial" w:hAnsi="Arial"/>
          <w:b/>
          <w:sz w:val="22"/>
        </w:rPr>
        <w:t>Moratorium on enforcement in 2024</w:t>
      </w:r>
    </w:p>
    <w:p w14:paraId="7A3DE8F6" w14:textId="6502223B" w:rsidR="00D2461F" w:rsidRDefault="00CD0657" w:rsidP="008659F6">
      <w:pPr>
        <w:rPr>
          <w:rFonts w:ascii="Arial" w:hAnsi="Arial" w:cs="Arial"/>
          <w:sz w:val="22"/>
          <w:szCs w:val="22"/>
        </w:rPr>
      </w:pPr>
      <w:r>
        <w:rPr>
          <w:rFonts w:ascii="Arial" w:hAnsi="Arial"/>
          <w:sz w:val="22"/>
        </w:rPr>
        <w:t>A moratorium on enforcement still applied in 2024. This meant that, if an employment relationship was deemed to apply, in 2024 the Tax and Customs Administration only imposed correction obligations, additional assessments and possible fines in the event of malicious intent. In all other cases the Tax and Customs Administration merely issued an instruction, which the employer had to comply with.</w:t>
      </w:r>
    </w:p>
    <w:p w14:paraId="48AF43CA" w14:textId="77777777" w:rsidR="00D2461F" w:rsidRDefault="00D2461F" w:rsidP="008659F6">
      <w:pPr>
        <w:rPr>
          <w:rFonts w:ascii="Arial" w:hAnsi="Arial" w:cs="Arial"/>
          <w:sz w:val="22"/>
          <w:szCs w:val="22"/>
        </w:rPr>
      </w:pPr>
    </w:p>
    <w:p w14:paraId="6C2C5B37" w14:textId="676356D0" w:rsidR="00D2461F" w:rsidRPr="00CD0657" w:rsidRDefault="00CD0657" w:rsidP="008659F6">
      <w:pPr>
        <w:rPr>
          <w:rFonts w:ascii="Arial" w:hAnsi="Arial" w:cs="Arial"/>
          <w:b/>
          <w:bCs/>
          <w:sz w:val="22"/>
          <w:szCs w:val="22"/>
        </w:rPr>
      </w:pPr>
      <w:r>
        <w:rPr>
          <w:rFonts w:ascii="Arial" w:hAnsi="Arial"/>
          <w:b/>
          <w:sz w:val="22"/>
        </w:rPr>
        <w:t>Enforcement in 2025</w:t>
      </w:r>
    </w:p>
    <w:p w14:paraId="7016EEC7" w14:textId="6106E7BA" w:rsidR="005B4C77" w:rsidRDefault="00CD0657" w:rsidP="008659F6">
      <w:pPr>
        <w:rPr>
          <w:rFonts w:ascii="Arial" w:hAnsi="Arial" w:cs="Arial"/>
          <w:sz w:val="22"/>
          <w:szCs w:val="22"/>
        </w:rPr>
      </w:pPr>
      <w:r>
        <w:rPr>
          <w:rFonts w:ascii="Arial" w:hAnsi="Arial"/>
          <w:sz w:val="22"/>
        </w:rPr>
        <w:t>With effect from 1 January 2025 the moratorium on enforcement in relation to employment relationships was lifted entirely. This meant that from 1 January 2025 the Tax and Customs Administration started taking full enforcement action again if a working relationship had been incorrectly classified.</w:t>
      </w:r>
    </w:p>
    <w:p w14:paraId="21B15BE7" w14:textId="77777777" w:rsidR="005B4C77" w:rsidRDefault="005B4C77" w:rsidP="008659F6">
      <w:pPr>
        <w:rPr>
          <w:rFonts w:ascii="Arial" w:hAnsi="Arial" w:cs="Arial"/>
          <w:sz w:val="22"/>
          <w:szCs w:val="22"/>
        </w:rPr>
      </w:pPr>
    </w:p>
    <w:p w14:paraId="148AEDA4" w14:textId="7A9BB77D" w:rsidR="005B4C77" w:rsidRDefault="005B4C77" w:rsidP="008659F6">
      <w:pPr>
        <w:rPr>
          <w:rFonts w:ascii="Arial" w:hAnsi="Arial" w:cs="Arial"/>
          <w:sz w:val="22"/>
          <w:szCs w:val="22"/>
        </w:rPr>
      </w:pPr>
      <w:r>
        <w:rPr>
          <w:rFonts w:ascii="Arial" w:hAnsi="Arial"/>
          <w:sz w:val="22"/>
        </w:rPr>
        <w:t>In principle, it started in 2025 by making company visits during which discussions were held with the contracting organisation on the hiring of self-employed persons and external personnel. Where necessary, the contracting organisation was made aware of the need to pay attention to the classification of employment relationships and the possible risks of bogus self-employment. In this way the contracting organisation was warned about the risks. The Tax and Customs Administration could also choose to carry out an audit, if, for example, it considered there to be significant risks or if the contracting organisation was working or continuing to work with bogus self-employed workers.</w:t>
      </w:r>
    </w:p>
    <w:p w14:paraId="0C67D63B" w14:textId="77777777" w:rsidR="005B4C77" w:rsidRDefault="005B4C77" w:rsidP="008659F6">
      <w:pPr>
        <w:rPr>
          <w:rFonts w:ascii="Arial" w:hAnsi="Arial" w:cs="Arial"/>
          <w:sz w:val="22"/>
          <w:szCs w:val="22"/>
        </w:rPr>
      </w:pPr>
    </w:p>
    <w:p w14:paraId="6EEB95E3" w14:textId="25E3AFD8" w:rsidR="008659F6" w:rsidRDefault="008659F6" w:rsidP="008659F6">
      <w:pPr>
        <w:rPr>
          <w:rFonts w:ascii="Arial" w:hAnsi="Arial" w:cs="Arial"/>
          <w:sz w:val="22"/>
          <w:szCs w:val="22"/>
        </w:rPr>
      </w:pPr>
      <w:r>
        <w:rPr>
          <w:rFonts w:ascii="Arial" w:hAnsi="Arial"/>
          <w:sz w:val="22"/>
        </w:rPr>
        <w:t>Following such an audit the Tax and Customs Administration was able in all cases to impose correction obligations and additional assessments. It could only impose corrections with retroactive effect from 1 January 2025, unless it was a question of malicious intent.</w:t>
      </w:r>
    </w:p>
    <w:p w14:paraId="5FBBF3B1" w14:textId="77777777" w:rsidR="00CD0657" w:rsidRDefault="00CD0657" w:rsidP="008659F6">
      <w:pPr>
        <w:rPr>
          <w:rFonts w:ascii="Arial" w:hAnsi="Arial" w:cs="Arial"/>
          <w:sz w:val="22"/>
          <w:szCs w:val="22"/>
        </w:rPr>
      </w:pPr>
    </w:p>
    <w:p w14:paraId="43DAFCD4" w14:textId="4E56A6C8" w:rsidR="00CD0657" w:rsidRDefault="0068271B" w:rsidP="00CD0657">
      <w:pPr>
        <w:rPr>
          <w:rFonts w:ascii="Arial" w:hAnsi="Arial" w:cs="Arial"/>
          <w:sz w:val="22"/>
          <w:szCs w:val="22"/>
        </w:rPr>
      </w:pPr>
      <w:r>
        <w:rPr>
          <w:rFonts w:ascii="Arial" w:hAnsi="Arial"/>
          <w:sz w:val="22"/>
        </w:rPr>
        <w:t xml:space="preserve">For the 2025 calendar year no default or negligence penalties were imposed on employers or workers if they could demonstrate that they were taking steps to prevent bogus self-employment. This meant that there was a soft landing. A transitional period of one year </w:t>
      </w:r>
      <w:r>
        <w:rPr>
          <w:rFonts w:ascii="Arial" w:hAnsi="Arial"/>
          <w:sz w:val="22"/>
        </w:rPr>
        <w:lastRenderedPageBreak/>
        <w:t>applied during which the Tax and Customs Administration focused in particular on whether organisations had made serious efforts to combat bogus self-employment.</w:t>
      </w:r>
    </w:p>
    <w:p w14:paraId="0361616A" w14:textId="77777777" w:rsidR="00491FF1" w:rsidRDefault="00491FF1" w:rsidP="00CD0657">
      <w:pPr>
        <w:rPr>
          <w:rFonts w:ascii="Arial" w:hAnsi="Arial" w:cs="Arial"/>
          <w:sz w:val="22"/>
          <w:szCs w:val="22"/>
        </w:rPr>
      </w:pPr>
    </w:p>
    <w:p w14:paraId="12A61392" w14:textId="408565DE" w:rsidR="00491FF1" w:rsidRDefault="00491FF1" w:rsidP="00CD0657">
      <w:pPr>
        <w:rPr>
          <w:rFonts w:ascii="Arial" w:hAnsi="Arial" w:cs="Arial"/>
          <w:sz w:val="22"/>
          <w:szCs w:val="22"/>
        </w:rPr>
      </w:pPr>
      <w:r>
        <w:rPr>
          <w:rFonts w:ascii="Arial" w:hAnsi="Arial"/>
          <w:sz w:val="22"/>
        </w:rPr>
        <w:t xml:space="preserve">The Tax and Customs Administration had published an </w:t>
      </w:r>
      <w:hyperlink r:id="rId70" w:history="1">
        <w:r>
          <w:rPr>
            <w:rStyle w:val="Hyperlink"/>
            <w:rFonts w:ascii="Arial" w:hAnsi="Arial"/>
            <w:sz w:val="22"/>
          </w:rPr>
          <w:t>explanation</w:t>
        </w:r>
      </w:hyperlink>
      <w:r>
        <w:rPr>
          <w:rFonts w:ascii="Arial" w:hAnsi="Arial"/>
          <w:sz w:val="22"/>
        </w:rPr>
        <w:t xml:space="preserve"> in which it described how employment relationships would be assessed. The </w:t>
      </w:r>
      <w:hyperlink r:id="rId71" w:history="1">
        <w:r>
          <w:rPr>
            <w:rStyle w:val="Hyperlink"/>
            <w:rFonts w:ascii="Arial" w:hAnsi="Arial"/>
            <w:sz w:val="22"/>
          </w:rPr>
          <w:t>Handhavingsplan arbeidsrelaties 2025</w:t>
        </w:r>
      </w:hyperlink>
      <w:r>
        <w:rPr>
          <w:rFonts w:ascii="Arial" w:hAnsi="Arial"/>
          <w:sz w:val="22"/>
        </w:rPr>
        <w:t xml:space="preserve"> (2025 employment relationships enforcement plan) described the enforcement action that the Tax and Customs Administration would take in 2025.</w:t>
      </w:r>
    </w:p>
    <w:p w14:paraId="0183C63F" w14:textId="77777777" w:rsidR="00FF2315" w:rsidRDefault="00FF2315" w:rsidP="00CD0657">
      <w:pPr>
        <w:rPr>
          <w:rFonts w:ascii="Arial" w:hAnsi="Arial" w:cs="Arial"/>
          <w:sz w:val="22"/>
          <w:szCs w:val="22"/>
        </w:rPr>
      </w:pPr>
    </w:p>
    <w:p w14:paraId="214A4393" w14:textId="195F8369" w:rsidR="00CD0657" w:rsidRPr="00CD0657" w:rsidRDefault="002B3249" w:rsidP="002B3249">
      <w:pPr>
        <w:shd w:val="clear" w:color="auto" w:fill="D9D9D9"/>
        <w:tabs>
          <w:tab w:val="left" w:pos="283"/>
          <w:tab w:val="left" w:pos="567"/>
          <w:tab w:val="left" w:pos="5102"/>
          <w:tab w:val="right" w:pos="6236"/>
          <w:tab w:val="left" w:pos="6520"/>
          <w:tab w:val="right" w:pos="7654"/>
          <w:tab w:val="left" w:pos="7937"/>
          <w:tab w:val="right" w:pos="9071"/>
        </w:tabs>
        <w:rPr>
          <w:rFonts w:ascii="Arial" w:hAnsi="Arial" w:cs="Arial"/>
          <w:sz w:val="22"/>
          <w:szCs w:val="22"/>
        </w:rPr>
      </w:pPr>
      <w:r>
        <w:rPr>
          <w:rFonts w:ascii="Arial" w:hAnsi="Arial"/>
          <w:b/>
          <w:sz w:val="22"/>
        </w:rPr>
        <w:t>Please note:</w:t>
      </w:r>
      <w:r>
        <w:rPr>
          <w:rFonts w:ascii="Arial" w:hAnsi="Arial"/>
          <w:sz w:val="22"/>
        </w:rPr>
        <w:br/>
        <w:t>Since 6 September 2024 the Tax and Customs Administration has no longer been approving any new model agreements. However, all current approved model agreements have been automatically extended until the end of 2029. The Tax and Customs Administration may nevertheless withdraw a model agreement if it no longer complies with the legislation and case-law or if it emerges that the conditions of the model agreement are not being or cannot be followed.</w:t>
      </w:r>
    </w:p>
    <w:p w14:paraId="0CC96889" w14:textId="77777777" w:rsidR="00CD0657" w:rsidRDefault="00CD0657" w:rsidP="008659F6">
      <w:pPr>
        <w:rPr>
          <w:rFonts w:ascii="Arial" w:hAnsi="Arial" w:cs="Arial"/>
          <w:sz w:val="22"/>
          <w:szCs w:val="22"/>
        </w:rPr>
      </w:pPr>
    </w:p>
    <w:p w14:paraId="4CD86A74" w14:textId="25BCE2E6" w:rsidR="00617AEE" w:rsidRPr="00617AEE" w:rsidRDefault="00617AEE" w:rsidP="008659F6">
      <w:pPr>
        <w:rPr>
          <w:rFonts w:ascii="Arial" w:hAnsi="Arial" w:cs="Arial"/>
          <w:b/>
          <w:bCs/>
          <w:sz w:val="22"/>
          <w:szCs w:val="22"/>
        </w:rPr>
      </w:pPr>
      <w:r>
        <w:rPr>
          <w:rFonts w:ascii="Arial" w:hAnsi="Arial"/>
          <w:b/>
          <w:sz w:val="22"/>
        </w:rPr>
        <w:t>Enforcement from 2026</w:t>
      </w:r>
    </w:p>
    <w:p w14:paraId="5C5FAE2F" w14:textId="3F0D0AEC" w:rsidR="001B0380" w:rsidRPr="00FF2315" w:rsidRDefault="00617AEE" w:rsidP="00617AEE">
      <w:pPr>
        <w:rPr>
          <w:rFonts w:ascii="Arial" w:hAnsi="Arial" w:cs="Arial"/>
          <w:sz w:val="22"/>
          <w:szCs w:val="22"/>
        </w:rPr>
      </w:pPr>
      <w:r>
        <w:rPr>
          <w:rFonts w:ascii="Arial" w:hAnsi="Arial"/>
          <w:sz w:val="22"/>
        </w:rPr>
        <w:t>The moratorium on enforcement in relation to employment relationships and the soft landing were due to be withdrawn entirely with effect from 1 January 2026. However, at the end of 2025 the government decided to partially extend the soft landing. It considered a full extension to be undesirable.</w:t>
      </w:r>
    </w:p>
    <w:p w14:paraId="417BD175" w14:textId="77777777" w:rsidR="001B0380" w:rsidRPr="00FF2315" w:rsidRDefault="001B0380" w:rsidP="00617AEE">
      <w:pPr>
        <w:rPr>
          <w:rFonts w:ascii="Arial" w:hAnsi="Arial" w:cs="Arial"/>
          <w:sz w:val="22"/>
          <w:szCs w:val="22"/>
        </w:rPr>
      </w:pPr>
    </w:p>
    <w:p w14:paraId="28F96D4F" w14:textId="77777777" w:rsidR="001B0380" w:rsidRPr="00FF2315" w:rsidRDefault="001B0380" w:rsidP="001B0380">
      <w:pPr>
        <w:rPr>
          <w:rFonts w:ascii="Arial" w:hAnsi="Arial" w:cs="Arial"/>
          <w:sz w:val="22"/>
          <w:szCs w:val="22"/>
        </w:rPr>
      </w:pPr>
      <w:r>
        <w:rPr>
          <w:rFonts w:ascii="Arial" w:hAnsi="Arial"/>
          <w:sz w:val="22"/>
        </w:rPr>
        <w:t>The partial extension means that in 2026 the Tax and Customs Administration will, in principle, again start with a company visit instead of immediately proceeding to a tax audit. The entrepreneur will generally then be given the opportunity to improve its operations.</w:t>
      </w:r>
    </w:p>
    <w:p w14:paraId="5318DA48" w14:textId="77777777" w:rsidR="001B0380" w:rsidRPr="00FF2315" w:rsidRDefault="001B0380" w:rsidP="001B0380">
      <w:pPr>
        <w:rPr>
          <w:rFonts w:ascii="Arial" w:hAnsi="Arial" w:cs="Arial"/>
          <w:b/>
          <w:bCs/>
          <w:sz w:val="22"/>
          <w:szCs w:val="22"/>
        </w:rPr>
      </w:pPr>
    </w:p>
    <w:p w14:paraId="303D647B" w14:textId="77777777" w:rsidR="00FF2315" w:rsidRDefault="001B0380" w:rsidP="00816581">
      <w:pPr>
        <w:shd w:val="clear" w:color="auto" w:fill="D9D9D9" w:themeFill="background1" w:themeFillShade="D9"/>
        <w:rPr>
          <w:rFonts w:ascii="Arial" w:hAnsi="Arial" w:cs="Arial"/>
          <w:b/>
          <w:bCs/>
          <w:sz w:val="22"/>
          <w:szCs w:val="22"/>
        </w:rPr>
      </w:pPr>
      <w:r>
        <w:rPr>
          <w:rFonts w:ascii="Arial" w:hAnsi="Arial"/>
          <w:b/>
          <w:sz w:val="22"/>
        </w:rPr>
        <w:t>Please note:</w:t>
      </w:r>
    </w:p>
    <w:p w14:paraId="03E33BFB" w14:textId="0CB25396" w:rsidR="001B0380" w:rsidRPr="00FF2315" w:rsidRDefault="001B0380" w:rsidP="00816581">
      <w:pPr>
        <w:shd w:val="clear" w:color="auto" w:fill="D9D9D9" w:themeFill="background1" w:themeFillShade="D9"/>
        <w:rPr>
          <w:rFonts w:ascii="Arial" w:hAnsi="Arial" w:cs="Arial"/>
          <w:sz w:val="22"/>
          <w:szCs w:val="22"/>
        </w:rPr>
      </w:pPr>
      <w:r>
        <w:rPr>
          <w:rFonts w:ascii="Arial" w:hAnsi="Arial"/>
          <w:sz w:val="22"/>
        </w:rPr>
        <w:t>Starting with a company visit does not prevent the Tax and Customs Administration from subsequently launching a tax audit. This possibility was open to the Tax and Customs Administration in 2025 and that will remain the case in 2026.</w:t>
      </w:r>
    </w:p>
    <w:p w14:paraId="198D1E9A" w14:textId="77777777" w:rsidR="001B0380" w:rsidRPr="00FF2315" w:rsidRDefault="001B0380" w:rsidP="00617AEE">
      <w:pPr>
        <w:rPr>
          <w:rFonts w:ascii="Arial" w:hAnsi="Arial" w:cs="Arial"/>
          <w:sz w:val="22"/>
          <w:szCs w:val="22"/>
        </w:rPr>
      </w:pPr>
    </w:p>
    <w:p w14:paraId="17FB3B80" w14:textId="4B4F5A47" w:rsidR="00CA568D" w:rsidRPr="00FF2315" w:rsidRDefault="00CA568D" w:rsidP="00CA568D">
      <w:pPr>
        <w:rPr>
          <w:rFonts w:ascii="Arial" w:hAnsi="Arial" w:cs="Arial"/>
          <w:sz w:val="22"/>
          <w:szCs w:val="22"/>
        </w:rPr>
      </w:pPr>
      <w:r>
        <w:rPr>
          <w:rFonts w:ascii="Arial" w:hAnsi="Arial"/>
          <w:sz w:val="22"/>
        </w:rPr>
        <w:t>As in 2025, it will also be able to impose additional assessments in 2026. The Tax and Customs Administration will therefore be able to act in cases of (obvious) bogus self-employment. In 2025 no negligence penalties could be imposed, but this will now be possible from 2026 onwards. The extension of the soft landing therefore does not apply to negligence penalties.</w:t>
      </w:r>
    </w:p>
    <w:p w14:paraId="5A32146E" w14:textId="77777777" w:rsidR="00CA568D" w:rsidRPr="00FF2315" w:rsidRDefault="00CA568D" w:rsidP="00CA568D">
      <w:pPr>
        <w:rPr>
          <w:rFonts w:ascii="Arial" w:hAnsi="Arial" w:cs="Arial"/>
          <w:sz w:val="22"/>
          <w:szCs w:val="22"/>
        </w:rPr>
      </w:pPr>
    </w:p>
    <w:p w14:paraId="1C266476" w14:textId="77777777" w:rsidR="00CA568D" w:rsidRPr="00FF2315" w:rsidRDefault="00CA568D" w:rsidP="00CA568D">
      <w:pPr>
        <w:rPr>
          <w:rFonts w:ascii="Arial" w:hAnsi="Arial" w:cs="Arial"/>
          <w:sz w:val="22"/>
          <w:szCs w:val="22"/>
        </w:rPr>
      </w:pPr>
      <w:r>
        <w:rPr>
          <w:rFonts w:ascii="Arial" w:hAnsi="Arial"/>
          <w:sz w:val="22"/>
        </w:rPr>
        <w:t>A negligence penalty can be imposed by the Tax and Customs Administration in cases of (conditional) intent or gross negligence. The government considers it undesirable for (conditional) intent and gross negligence to remain unpunished for any longer and therefore does not want the soft landing to be extended in this particular area.</w:t>
      </w:r>
    </w:p>
    <w:p w14:paraId="75C5A5BD" w14:textId="77777777" w:rsidR="00CA568D" w:rsidRPr="00FF2315" w:rsidRDefault="00CA568D" w:rsidP="00CA568D">
      <w:pPr>
        <w:rPr>
          <w:rFonts w:ascii="Arial" w:hAnsi="Arial" w:cs="Arial"/>
          <w:sz w:val="22"/>
          <w:szCs w:val="22"/>
        </w:rPr>
      </w:pPr>
    </w:p>
    <w:p w14:paraId="084B5F92" w14:textId="77777777" w:rsidR="00CA568D" w:rsidRPr="00FF2315" w:rsidRDefault="00CA568D" w:rsidP="00816581">
      <w:pPr>
        <w:shd w:val="clear" w:color="auto" w:fill="D9D9D9" w:themeFill="background1" w:themeFillShade="D9"/>
        <w:rPr>
          <w:rFonts w:ascii="Arial" w:hAnsi="Arial" w:cs="Arial"/>
          <w:b/>
          <w:bCs/>
          <w:sz w:val="22"/>
          <w:szCs w:val="22"/>
        </w:rPr>
      </w:pPr>
      <w:r>
        <w:rPr>
          <w:rFonts w:ascii="Arial" w:hAnsi="Arial"/>
          <w:b/>
          <w:sz w:val="22"/>
        </w:rPr>
        <w:t>Please note:</w:t>
      </w:r>
    </w:p>
    <w:p w14:paraId="07E8B6DF" w14:textId="3AC3E595" w:rsidR="00CA568D" w:rsidRPr="00FF2315" w:rsidRDefault="00CA568D" w:rsidP="00816581">
      <w:pPr>
        <w:shd w:val="clear" w:color="auto" w:fill="D9D9D9" w:themeFill="background1" w:themeFillShade="D9"/>
        <w:rPr>
          <w:rFonts w:ascii="Arial" w:hAnsi="Arial" w:cs="Arial"/>
          <w:sz w:val="22"/>
          <w:szCs w:val="22"/>
        </w:rPr>
      </w:pPr>
      <w:r>
        <w:rPr>
          <w:rFonts w:ascii="Arial" w:hAnsi="Arial"/>
          <w:sz w:val="22"/>
        </w:rPr>
        <w:t>In 2026 the Tax and Customs Administration can again choose whether to conduct a tax audit in relation to a calendar year or a recent tax return period.</w:t>
      </w:r>
    </w:p>
    <w:p w14:paraId="759C8034" w14:textId="77777777" w:rsidR="00CA568D" w:rsidRPr="00FF2315" w:rsidRDefault="00CA568D" w:rsidP="00CA568D">
      <w:pPr>
        <w:rPr>
          <w:rFonts w:ascii="Arial" w:hAnsi="Arial" w:cs="Arial"/>
          <w:sz w:val="22"/>
          <w:szCs w:val="22"/>
        </w:rPr>
      </w:pPr>
    </w:p>
    <w:p w14:paraId="5E36929F" w14:textId="77777777" w:rsidR="00CA568D" w:rsidRDefault="00CA568D" w:rsidP="00CA568D">
      <w:pPr>
        <w:rPr>
          <w:rFonts w:ascii="Arial" w:hAnsi="Arial"/>
          <w:sz w:val="22"/>
        </w:rPr>
      </w:pPr>
      <w:r>
        <w:rPr>
          <w:rFonts w:ascii="Arial" w:hAnsi="Arial"/>
          <w:sz w:val="22"/>
        </w:rPr>
        <w:t>The extension of the soft landing does apply to default penalties. This means that the Tax and Customs Administration will not impose any default penalties in 2026.</w:t>
      </w:r>
    </w:p>
    <w:p w14:paraId="47AE4483" w14:textId="77777777" w:rsidR="00432308" w:rsidRDefault="00432308" w:rsidP="00CA568D">
      <w:pPr>
        <w:rPr>
          <w:rFonts w:ascii="Arial" w:hAnsi="Arial"/>
          <w:sz w:val="22"/>
        </w:rPr>
      </w:pPr>
    </w:p>
    <w:p w14:paraId="753614FE" w14:textId="77777777" w:rsidR="00432308" w:rsidRPr="00FF2315" w:rsidRDefault="00432308" w:rsidP="00CA568D">
      <w:pPr>
        <w:rPr>
          <w:rFonts w:ascii="Arial" w:hAnsi="Arial" w:cs="Arial"/>
          <w:sz w:val="22"/>
          <w:szCs w:val="22"/>
        </w:rPr>
      </w:pPr>
    </w:p>
    <w:p w14:paraId="3F35307A" w14:textId="77777777" w:rsidR="00CA568D" w:rsidRPr="00FF2315" w:rsidRDefault="00CA568D" w:rsidP="00CA568D">
      <w:pPr>
        <w:rPr>
          <w:rFonts w:ascii="Arial" w:hAnsi="Arial" w:cs="Arial"/>
          <w:sz w:val="22"/>
          <w:szCs w:val="22"/>
        </w:rPr>
      </w:pPr>
    </w:p>
    <w:p w14:paraId="19D34CCB" w14:textId="38067233" w:rsidR="00CA568D" w:rsidRPr="00FF2315" w:rsidRDefault="00CA568D" w:rsidP="00816581">
      <w:pPr>
        <w:shd w:val="clear" w:color="auto" w:fill="D9D9D9" w:themeFill="background1" w:themeFillShade="D9"/>
        <w:rPr>
          <w:rFonts w:ascii="Arial" w:hAnsi="Arial" w:cs="Arial"/>
          <w:b/>
          <w:bCs/>
          <w:sz w:val="22"/>
          <w:szCs w:val="22"/>
        </w:rPr>
      </w:pPr>
      <w:r>
        <w:rPr>
          <w:rFonts w:ascii="Arial" w:hAnsi="Arial"/>
          <w:b/>
          <w:sz w:val="22"/>
        </w:rPr>
        <w:lastRenderedPageBreak/>
        <w:t>Please note:</w:t>
      </w:r>
    </w:p>
    <w:p w14:paraId="6EA3BDF8" w14:textId="1447995D" w:rsidR="00CA568D" w:rsidRPr="00FF2315" w:rsidRDefault="00CA568D" w:rsidP="00816581">
      <w:pPr>
        <w:shd w:val="clear" w:color="auto" w:fill="D9D9D9" w:themeFill="background1" w:themeFillShade="D9"/>
        <w:rPr>
          <w:rFonts w:ascii="Arial" w:hAnsi="Arial" w:cs="Arial"/>
          <w:sz w:val="22"/>
          <w:szCs w:val="22"/>
        </w:rPr>
      </w:pPr>
      <w:r>
        <w:rPr>
          <w:rFonts w:ascii="Arial" w:hAnsi="Arial"/>
          <w:sz w:val="22"/>
        </w:rPr>
        <w:t>The soft landing will only be extended in 2026. From 2027 the Tax and Customs Administration will therefore no longer start with a company visit and will also impose default penalties.</w:t>
      </w:r>
    </w:p>
    <w:p w14:paraId="4E4CE480" w14:textId="77777777" w:rsidR="00CA568D" w:rsidRDefault="00CA568D" w:rsidP="00CA568D">
      <w:pPr>
        <w:rPr>
          <w:rFonts w:ascii="Arial" w:hAnsi="Arial" w:cs="Arial"/>
          <w:sz w:val="22"/>
          <w:szCs w:val="22"/>
        </w:rPr>
      </w:pPr>
    </w:p>
    <w:p w14:paraId="7B590F55" w14:textId="4C9B9D83" w:rsidR="00DC7149" w:rsidRDefault="00DC7149" w:rsidP="00CA568D">
      <w:pPr>
        <w:rPr>
          <w:rFonts w:ascii="Arial" w:hAnsi="Arial" w:cs="Arial"/>
          <w:sz w:val="22"/>
          <w:szCs w:val="22"/>
        </w:rPr>
      </w:pPr>
      <w:r>
        <w:rPr>
          <w:rFonts w:ascii="Arial" w:hAnsi="Arial"/>
          <w:sz w:val="22"/>
        </w:rPr>
        <w:t xml:space="preserve">The </w:t>
      </w:r>
      <w:hyperlink r:id="rId72" w:history="1">
        <w:r>
          <w:rPr>
            <w:rStyle w:val="Hyperlink"/>
            <w:rFonts w:ascii="Arial" w:hAnsi="Arial"/>
            <w:sz w:val="22"/>
          </w:rPr>
          <w:t>Handhavingsplan arbeidsrelaties 2026</w:t>
        </w:r>
      </w:hyperlink>
      <w:r>
        <w:rPr>
          <w:rFonts w:ascii="Arial" w:hAnsi="Arial"/>
          <w:sz w:val="22"/>
        </w:rPr>
        <w:t xml:space="preserve"> (2026 employment relationships enforcement plan) describes the enforcement action that the Tax and Customs Administration will take in 2026.</w:t>
      </w:r>
    </w:p>
    <w:p w14:paraId="3747DA06" w14:textId="77777777" w:rsidR="00DC7149" w:rsidRPr="00FF2315" w:rsidRDefault="00DC7149" w:rsidP="00CA568D">
      <w:pPr>
        <w:rPr>
          <w:rFonts w:ascii="Arial" w:hAnsi="Arial" w:cs="Arial"/>
          <w:sz w:val="22"/>
          <w:szCs w:val="22"/>
        </w:rPr>
      </w:pPr>
    </w:p>
    <w:p w14:paraId="36CC6874" w14:textId="0988BBA4" w:rsidR="005700E0" w:rsidRPr="00FF2315" w:rsidRDefault="005700E0" w:rsidP="008659F6">
      <w:pPr>
        <w:rPr>
          <w:rFonts w:ascii="Arial" w:hAnsi="Arial" w:cs="Arial"/>
          <w:b/>
          <w:bCs/>
          <w:sz w:val="22"/>
          <w:szCs w:val="22"/>
        </w:rPr>
      </w:pPr>
      <w:r>
        <w:rPr>
          <w:rFonts w:ascii="Arial" w:hAnsi="Arial"/>
          <w:b/>
          <w:sz w:val="22"/>
        </w:rPr>
        <w:t>Preliminary consultation</w:t>
      </w:r>
    </w:p>
    <w:p w14:paraId="5F91C22B" w14:textId="77777777" w:rsidR="00DC7149" w:rsidRDefault="005700E0" w:rsidP="008659F6">
      <w:pPr>
        <w:rPr>
          <w:rFonts w:ascii="Arial" w:hAnsi="Arial" w:cs="Arial"/>
          <w:sz w:val="22"/>
          <w:szCs w:val="22"/>
        </w:rPr>
      </w:pPr>
      <w:r>
        <w:rPr>
          <w:rFonts w:ascii="Arial" w:hAnsi="Arial"/>
          <w:sz w:val="22"/>
        </w:rPr>
        <w:t xml:space="preserve">The Tax and Customs Administration has published the form </w:t>
      </w:r>
      <w:hyperlink r:id="rId73" w:tgtFrame="_blank" w:tooltip="Request for preliminary consultation on assessment of employment relationship" w:history="1">
        <w:r>
          <w:rPr>
            <w:rStyle w:val="Hyperlink"/>
            <w:rFonts w:ascii="Arial" w:hAnsi="Arial"/>
            <w:sz w:val="22"/>
          </w:rPr>
          <w:t>Verzoek vooroverleg beoordeling arbeidsrelatie</w:t>
        </w:r>
      </w:hyperlink>
      <w:r>
        <w:rPr>
          <w:rFonts w:ascii="Arial" w:hAnsi="Arial"/>
          <w:sz w:val="22"/>
        </w:rPr>
        <w:t xml:space="preserve"> (Request for preliminary consultation on assessment of employment relationship). You can use this form if you want the Tax and Customs Administration to assess an employment relationship. </w:t>
      </w:r>
    </w:p>
    <w:p w14:paraId="4F9B7582" w14:textId="6FA9C905" w:rsidR="005700E0" w:rsidRPr="00FF2315" w:rsidRDefault="005700E0" w:rsidP="008659F6">
      <w:pPr>
        <w:rPr>
          <w:rFonts w:ascii="Arial" w:hAnsi="Arial" w:cs="Arial"/>
          <w:sz w:val="22"/>
          <w:szCs w:val="22"/>
        </w:rPr>
      </w:pPr>
      <w:r>
        <w:rPr>
          <w:rFonts w:ascii="Arial" w:hAnsi="Arial"/>
          <w:sz w:val="22"/>
        </w:rPr>
        <w:t xml:space="preserve">Also use the </w:t>
      </w:r>
      <w:hyperlink r:id="rId74" w:tgtFrame="_blank" w:tooltip="Preliminary consultation on assessment of employment relationship checklist" w:history="1">
        <w:r>
          <w:rPr>
            <w:rStyle w:val="Hyperlink"/>
            <w:rFonts w:ascii="Arial" w:hAnsi="Arial"/>
            <w:sz w:val="22"/>
          </w:rPr>
          <w:t>Checklist vooroverleg beoordeling arbeidsrelatie</w:t>
        </w:r>
      </w:hyperlink>
      <w:r>
        <w:rPr>
          <w:rFonts w:ascii="Arial" w:hAnsi="Arial"/>
          <w:sz w:val="22"/>
        </w:rPr>
        <w:t xml:space="preserve"> (Preliminary consultation on assessment of employment relationship checklist). This checklist tells you the minimum information that you need to include in your request.</w:t>
      </w:r>
    </w:p>
    <w:p w14:paraId="7E4A9D34" w14:textId="77777777" w:rsidR="005700E0" w:rsidRPr="00FF2315" w:rsidRDefault="005700E0" w:rsidP="008659F6">
      <w:pPr>
        <w:rPr>
          <w:rFonts w:ascii="Arial" w:hAnsi="Arial" w:cs="Arial"/>
          <w:sz w:val="22"/>
          <w:szCs w:val="22"/>
        </w:rPr>
      </w:pPr>
    </w:p>
    <w:p w14:paraId="0797CBFE" w14:textId="5EFD3253" w:rsidR="00CD0657" w:rsidRPr="00CD0657" w:rsidRDefault="00CD0657" w:rsidP="008659F6">
      <w:pPr>
        <w:rPr>
          <w:rFonts w:ascii="Arial" w:hAnsi="Arial" w:cs="Arial"/>
          <w:sz w:val="22"/>
          <w:szCs w:val="22"/>
        </w:rPr>
      </w:pPr>
      <w:r>
        <w:rPr>
          <w:rFonts w:ascii="Arial" w:hAnsi="Arial"/>
          <w:b/>
          <w:sz w:val="22"/>
        </w:rPr>
        <w:t>Risk for contracting organisation/employer</w:t>
      </w:r>
      <w:r>
        <w:rPr>
          <w:rFonts w:ascii="Arial" w:hAnsi="Arial"/>
          <w:b/>
          <w:sz w:val="22"/>
        </w:rPr>
        <w:br/>
      </w:r>
      <w:r>
        <w:rPr>
          <w:rFonts w:ascii="Arial" w:hAnsi="Arial"/>
          <w:sz w:val="22"/>
        </w:rPr>
        <w:t>If it subsequently becomes apparent, when an employment relationship is reclassified, that an employment contract applies, the contracting organisation runs the risk of having to pay (backdated) payroll tax, leave, holiday allowance, contributions to employee insurance schemes and the employer’s portion of the pension contribution. From 2026 it will also be possible for a penalty to be imposed earlier in the event of malicious intent.</w:t>
      </w:r>
    </w:p>
    <w:p w14:paraId="0BD4E5C6" w14:textId="77777777" w:rsidR="00232FF2" w:rsidRPr="00371158" w:rsidRDefault="00232FF2" w:rsidP="00371158">
      <w:pPr>
        <w:rPr>
          <w:rFonts w:ascii="Arial" w:hAnsi="Arial" w:cs="Arial"/>
          <w:sz w:val="22"/>
          <w:szCs w:val="22"/>
        </w:rPr>
      </w:pPr>
    </w:p>
    <w:p w14:paraId="0890681B" w14:textId="434010E4" w:rsidR="00207639" w:rsidRPr="002A3525" w:rsidRDefault="00232FF2" w:rsidP="003E234B">
      <w:pPr>
        <w:pStyle w:val="Kop2"/>
        <w:ind w:hanging="283"/>
        <w:rPr>
          <w:rFonts w:cs="Arial"/>
          <w:bCs/>
          <w:sz w:val="22"/>
        </w:rPr>
      </w:pPr>
      <w:r>
        <w:t>Compulsory invalidity insurance for self-employed persons</w:t>
      </w:r>
    </w:p>
    <w:p w14:paraId="65A3C824" w14:textId="77777777" w:rsidR="001A5ED1" w:rsidRDefault="001A5ED1" w:rsidP="00207639"/>
    <w:p w14:paraId="202D734C" w14:textId="2BBFEF03" w:rsidR="005F3324" w:rsidRDefault="005F3324" w:rsidP="00207639">
      <w:pPr>
        <w:rPr>
          <w:rFonts w:ascii="Arial" w:hAnsi="Arial" w:cs="Arial"/>
          <w:sz w:val="22"/>
          <w:szCs w:val="22"/>
        </w:rPr>
      </w:pPr>
      <w:r>
        <w:rPr>
          <w:rFonts w:ascii="Arial" w:hAnsi="Arial"/>
          <w:sz w:val="22"/>
        </w:rPr>
        <w:t>The legislative proposal on the Basic Invalidity Insurance for Self-Employed Persons Act (</w:t>
      </w:r>
      <w:r>
        <w:rPr>
          <w:rFonts w:ascii="Arial" w:hAnsi="Arial"/>
          <w:i/>
          <w:iCs/>
          <w:sz w:val="22"/>
        </w:rPr>
        <w:t>Wet basisverzekering arbeidsongeschiktheid zelfstandigen</w:t>
      </w:r>
      <w:r>
        <w:rPr>
          <w:rFonts w:ascii="Arial" w:hAnsi="Arial"/>
          <w:sz w:val="22"/>
        </w:rPr>
        <w:t xml:space="preserve"> – Baz) has been submitted to the Council of State for an opinion.</w:t>
      </w:r>
    </w:p>
    <w:p w14:paraId="59129B51" w14:textId="77777777" w:rsidR="005F3324" w:rsidRDefault="005F3324" w:rsidP="00207639">
      <w:pPr>
        <w:rPr>
          <w:rFonts w:ascii="Arial" w:hAnsi="Arial" w:cs="Arial"/>
          <w:sz w:val="22"/>
          <w:szCs w:val="22"/>
        </w:rPr>
      </w:pPr>
    </w:p>
    <w:p w14:paraId="1E1A31B4" w14:textId="77777777" w:rsidR="005F3324" w:rsidRPr="007C777B" w:rsidRDefault="005F3324" w:rsidP="005F3324">
      <w:pPr>
        <w:rPr>
          <w:rFonts w:ascii="Arial" w:hAnsi="Arial" w:cs="Arial"/>
          <w:b/>
          <w:bCs/>
          <w:sz w:val="22"/>
          <w:szCs w:val="22"/>
        </w:rPr>
      </w:pPr>
      <w:r>
        <w:rPr>
          <w:rFonts w:ascii="Arial" w:hAnsi="Arial"/>
          <w:b/>
          <w:sz w:val="22"/>
        </w:rPr>
        <w:t>Reason for Baz</w:t>
      </w:r>
    </w:p>
    <w:p w14:paraId="2D48CAA5" w14:textId="3F44C0E1" w:rsidR="005F3324" w:rsidRDefault="005F3324" w:rsidP="00207639">
      <w:pPr>
        <w:rPr>
          <w:rFonts w:ascii="Arial" w:hAnsi="Arial" w:cs="Arial"/>
          <w:sz w:val="22"/>
          <w:szCs w:val="22"/>
        </w:rPr>
      </w:pPr>
      <w:r>
        <w:rPr>
          <w:rFonts w:ascii="Arial" w:hAnsi="Arial"/>
          <w:sz w:val="22"/>
        </w:rPr>
        <w:t>The reason for this legislative proposal is that around 75% of self-employed people currently have no invalidity insurance. Generally, that is because they consider the cost to be too high, but some self-employed people are unable to obtain insurance due to their age or state of health. One of the aims of the Baz is to give self-employed people greater certainty with regard to their income.</w:t>
      </w:r>
    </w:p>
    <w:p w14:paraId="0C254D62" w14:textId="77777777" w:rsidR="005F3324" w:rsidRDefault="005F3324" w:rsidP="00207639">
      <w:pPr>
        <w:rPr>
          <w:rFonts w:ascii="Arial" w:hAnsi="Arial" w:cs="Arial"/>
          <w:sz w:val="22"/>
          <w:szCs w:val="22"/>
        </w:rPr>
      </w:pPr>
    </w:p>
    <w:p w14:paraId="3321DD06" w14:textId="77777777" w:rsidR="005F3324" w:rsidRPr="007C777B" w:rsidRDefault="005F3324" w:rsidP="005F3324">
      <w:pPr>
        <w:rPr>
          <w:rFonts w:ascii="Arial" w:hAnsi="Arial" w:cs="Arial"/>
          <w:b/>
          <w:bCs/>
          <w:sz w:val="22"/>
          <w:szCs w:val="22"/>
        </w:rPr>
      </w:pPr>
      <w:r>
        <w:rPr>
          <w:rFonts w:ascii="Arial" w:hAnsi="Arial"/>
          <w:b/>
          <w:sz w:val="22"/>
        </w:rPr>
        <w:t>Baz</w:t>
      </w:r>
    </w:p>
    <w:p w14:paraId="35290C3E" w14:textId="77777777" w:rsidR="005F3324" w:rsidRPr="005F3324" w:rsidRDefault="005F3324" w:rsidP="005F3324">
      <w:pPr>
        <w:rPr>
          <w:rFonts w:ascii="Arial" w:hAnsi="Arial" w:cs="Arial"/>
          <w:sz w:val="22"/>
          <w:szCs w:val="22"/>
        </w:rPr>
      </w:pPr>
      <w:r>
        <w:rPr>
          <w:rFonts w:ascii="Arial" w:hAnsi="Arial"/>
          <w:sz w:val="22"/>
        </w:rPr>
        <w:t>Under the proposed Baz legislation every self-employed person will be obliged to take out invalidity insurance up to state-pension age. They will be able to do so by participating in the Baz insurance scheme, but it will also be possible to take out private insurance, subject to certain conditions.</w:t>
      </w:r>
    </w:p>
    <w:p w14:paraId="02C770EE" w14:textId="77777777" w:rsidR="005F3324" w:rsidRPr="005F3324" w:rsidRDefault="005F3324" w:rsidP="005F3324">
      <w:pPr>
        <w:rPr>
          <w:rFonts w:ascii="Arial" w:hAnsi="Arial" w:cs="Arial"/>
          <w:sz w:val="22"/>
          <w:szCs w:val="22"/>
        </w:rPr>
      </w:pPr>
    </w:p>
    <w:p w14:paraId="38441C19" w14:textId="77777777" w:rsidR="005F3324" w:rsidRPr="005F3324" w:rsidRDefault="005F3324" w:rsidP="005F3324">
      <w:pPr>
        <w:rPr>
          <w:rFonts w:ascii="Arial" w:hAnsi="Arial" w:cs="Arial"/>
          <w:sz w:val="22"/>
          <w:szCs w:val="22"/>
        </w:rPr>
      </w:pPr>
      <w:r>
        <w:rPr>
          <w:rFonts w:ascii="Arial" w:hAnsi="Arial"/>
          <w:sz w:val="22"/>
        </w:rPr>
        <w:t>The legislative proposal submitted to the Council of State contains changes compared to a previous proposal.</w:t>
      </w:r>
    </w:p>
    <w:p w14:paraId="27F6C96C" w14:textId="77777777" w:rsidR="005F3324" w:rsidRPr="005F3324" w:rsidRDefault="005F3324" w:rsidP="005F3324">
      <w:pPr>
        <w:rPr>
          <w:rFonts w:ascii="Arial" w:hAnsi="Arial" w:cs="Arial"/>
          <w:sz w:val="22"/>
          <w:szCs w:val="22"/>
        </w:rPr>
      </w:pPr>
    </w:p>
    <w:p w14:paraId="4199F2A6" w14:textId="77777777" w:rsidR="005F3324" w:rsidRPr="007C777B" w:rsidRDefault="005F3324" w:rsidP="005F3324">
      <w:pPr>
        <w:rPr>
          <w:rFonts w:ascii="Arial" w:hAnsi="Arial" w:cs="Arial"/>
          <w:b/>
          <w:bCs/>
          <w:sz w:val="22"/>
          <w:szCs w:val="22"/>
        </w:rPr>
      </w:pPr>
      <w:r>
        <w:rPr>
          <w:rFonts w:ascii="Arial" w:hAnsi="Arial"/>
          <w:b/>
          <w:sz w:val="22"/>
        </w:rPr>
        <w:t>Lower contribution</w:t>
      </w:r>
    </w:p>
    <w:p w14:paraId="49FEAFE8" w14:textId="52F5D6C3" w:rsidR="005F3324" w:rsidRPr="005F3324" w:rsidRDefault="005F3324" w:rsidP="005F3324">
      <w:pPr>
        <w:rPr>
          <w:rFonts w:ascii="Arial" w:hAnsi="Arial" w:cs="Arial"/>
          <w:sz w:val="22"/>
          <w:szCs w:val="22"/>
        </w:rPr>
      </w:pPr>
      <w:r>
        <w:rPr>
          <w:rFonts w:ascii="Arial" w:hAnsi="Arial"/>
          <w:sz w:val="22"/>
        </w:rPr>
        <w:t>The contribution has been lowered from 6.5% to 5.4% of the self-employed person’s profits, up to an expected maximum of € 171 gross per month.</w:t>
      </w:r>
    </w:p>
    <w:p w14:paraId="4AAF3CCF" w14:textId="77777777" w:rsidR="005F3324" w:rsidRPr="005F3324" w:rsidRDefault="005F3324" w:rsidP="005F3324">
      <w:pPr>
        <w:rPr>
          <w:rFonts w:ascii="Arial" w:hAnsi="Arial" w:cs="Arial"/>
          <w:sz w:val="22"/>
          <w:szCs w:val="22"/>
        </w:rPr>
      </w:pPr>
    </w:p>
    <w:p w14:paraId="525867DE" w14:textId="77777777" w:rsidR="00A33DE5" w:rsidRDefault="005F3324" w:rsidP="00816581">
      <w:pPr>
        <w:shd w:val="clear" w:color="auto" w:fill="D9D9D9" w:themeFill="background1" w:themeFillShade="D9"/>
        <w:rPr>
          <w:rFonts w:ascii="Arial" w:hAnsi="Arial" w:cs="Arial"/>
          <w:b/>
          <w:bCs/>
          <w:sz w:val="22"/>
          <w:szCs w:val="22"/>
        </w:rPr>
      </w:pPr>
      <w:r>
        <w:rPr>
          <w:rFonts w:ascii="Arial" w:hAnsi="Arial"/>
          <w:b/>
          <w:sz w:val="22"/>
        </w:rPr>
        <w:lastRenderedPageBreak/>
        <w:t>Please note:</w:t>
      </w:r>
    </w:p>
    <w:p w14:paraId="44AF8828" w14:textId="38FC14D7" w:rsidR="005F3324" w:rsidRPr="005F3324" w:rsidRDefault="005F3324" w:rsidP="00816581">
      <w:pPr>
        <w:shd w:val="clear" w:color="auto" w:fill="D9D9D9" w:themeFill="background1" w:themeFillShade="D9"/>
        <w:rPr>
          <w:rFonts w:ascii="Arial" w:hAnsi="Arial" w:cs="Arial"/>
          <w:sz w:val="22"/>
          <w:szCs w:val="22"/>
        </w:rPr>
      </w:pPr>
      <w:r>
        <w:rPr>
          <w:rFonts w:ascii="Arial" w:hAnsi="Arial"/>
          <w:sz w:val="22"/>
        </w:rPr>
        <w:t>Self-employed persons who also have employed work already have invalidity insurance. If they are already entitled to a benefit at the level of the minimum wage under the Work and Income (Capacity for Work) Act (WIA), they will not have to pay a Baz premium.</w:t>
      </w:r>
    </w:p>
    <w:p w14:paraId="1D0748D7" w14:textId="77777777" w:rsidR="005F3324" w:rsidRPr="005F3324" w:rsidRDefault="005F3324" w:rsidP="005F3324">
      <w:pPr>
        <w:rPr>
          <w:rFonts w:ascii="Arial" w:hAnsi="Arial" w:cs="Arial"/>
          <w:sz w:val="22"/>
          <w:szCs w:val="22"/>
        </w:rPr>
      </w:pPr>
    </w:p>
    <w:p w14:paraId="3B821F92" w14:textId="77777777" w:rsidR="005F3324" w:rsidRPr="007C777B" w:rsidRDefault="005F3324" w:rsidP="005F3324">
      <w:pPr>
        <w:rPr>
          <w:rFonts w:ascii="Arial" w:hAnsi="Arial" w:cs="Arial"/>
          <w:b/>
          <w:bCs/>
          <w:sz w:val="22"/>
          <w:szCs w:val="22"/>
        </w:rPr>
      </w:pPr>
      <w:r>
        <w:rPr>
          <w:rFonts w:ascii="Arial" w:hAnsi="Arial"/>
          <w:b/>
          <w:sz w:val="22"/>
        </w:rPr>
        <w:t>Longer waiting period</w:t>
      </w:r>
    </w:p>
    <w:p w14:paraId="0A01F81D" w14:textId="77777777" w:rsidR="005F3324" w:rsidRPr="005F3324" w:rsidRDefault="005F3324" w:rsidP="005F3324">
      <w:pPr>
        <w:rPr>
          <w:rFonts w:ascii="Arial" w:hAnsi="Arial" w:cs="Arial"/>
          <w:sz w:val="22"/>
          <w:szCs w:val="22"/>
        </w:rPr>
      </w:pPr>
      <w:r>
        <w:rPr>
          <w:rFonts w:ascii="Arial" w:hAnsi="Arial"/>
          <w:sz w:val="22"/>
        </w:rPr>
        <w:t>The waiting period that applies before a self-employed person receives an invalidity insurance (AOV) benefit has been extended to two years. This is comparable with the waiting period for a sick employee to receive a benefit under the WIA.</w:t>
      </w:r>
    </w:p>
    <w:p w14:paraId="08981C5F" w14:textId="77777777" w:rsidR="005F3324" w:rsidRPr="005F3324" w:rsidRDefault="005F3324" w:rsidP="005F3324">
      <w:pPr>
        <w:rPr>
          <w:rFonts w:ascii="Arial" w:hAnsi="Arial" w:cs="Arial"/>
          <w:sz w:val="22"/>
          <w:szCs w:val="22"/>
        </w:rPr>
      </w:pPr>
    </w:p>
    <w:p w14:paraId="4E8525F4" w14:textId="77777777" w:rsidR="005F3324" w:rsidRPr="007C777B" w:rsidRDefault="005F3324" w:rsidP="005F3324">
      <w:pPr>
        <w:rPr>
          <w:rFonts w:ascii="Arial" w:hAnsi="Arial" w:cs="Arial"/>
          <w:b/>
          <w:bCs/>
          <w:sz w:val="22"/>
          <w:szCs w:val="22"/>
        </w:rPr>
      </w:pPr>
      <w:r>
        <w:rPr>
          <w:rFonts w:ascii="Arial" w:hAnsi="Arial"/>
          <w:b/>
          <w:sz w:val="22"/>
        </w:rPr>
        <w:t>Next steps</w:t>
      </w:r>
    </w:p>
    <w:p w14:paraId="6DDC4E59" w14:textId="133D2A72" w:rsidR="00A33DE5" w:rsidRDefault="005F3324" w:rsidP="00A33DE5">
      <w:pPr>
        <w:rPr>
          <w:rFonts w:ascii="Arial" w:hAnsi="Arial" w:cs="Arial"/>
          <w:sz w:val="22"/>
          <w:szCs w:val="22"/>
        </w:rPr>
      </w:pPr>
      <w:r>
        <w:rPr>
          <w:rFonts w:ascii="Arial" w:hAnsi="Arial"/>
          <w:sz w:val="22"/>
        </w:rPr>
        <w:t>It is now a question of waiting for the Council of State’s opinion. The legislative proposal will then have to be presented to the Lower House and both the Lower and Upper House will have to approve it. It is therefore not yet certain whether compulsory invalidity insurance for self-employed persons will be introduced and, if so, from what date. The UWV has already indicated that it will not be able to implement this insurance scheme before 2030.</w:t>
      </w:r>
    </w:p>
    <w:p w14:paraId="1069D392" w14:textId="77777777" w:rsidR="00E86CA3" w:rsidRPr="00E86CA3" w:rsidRDefault="00E86CA3" w:rsidP="00E86CA3"/>
    <w:p w14:paraId="5A5AD377" w14:textId="0DF1DD75" w:rsidR="0093414D" w:rsidRPr="00231D10" w:rsidRDefault="00CF757C" w:rsidP="003E234B">
      <w:pPr>
        <w:pStyle w:val="Kop2"/>
        <w:ind w:hanging="283"/>
        <w:rPr>
          <w:rFonts w:cs="Arial"/>
          <w:bCs/>
          <w:sz w:val="22"/>
        </w:rPr>
      </w:pPr>
      <w:bookmarkStart w:id="109" w:name="_Hlk169515190"/>
      <w:r>
        <w:t>Voluntary pension fund membership for self-employed persons</w:t>
      </w:r>
      <w:bookmarkEnd w:id="107"/>
    </w:p>
    <w:p w14:paraId="30EAE571" w14:textId="77777777" w:rsidR="001A5ED1" w:rsidRDefault="001A5ED1" w:rsidP="00C72605">
      <w:pPr>
        <w:rPr>
          <w:rFonts w:ascii="Arial" w:hAnsi="Arial" w:cs="Arial"/>
          <w:sz w:val="22"/>
          <w:szCs w:val="22"/>
        </w:rPr>
      </w:pPr>
    </w:p>
    <w:p w14:paraId="4332B9AA" w14:textId="77777777" w:rsidR="00DC7149" w:rsidRDefault="00CF757C" w:rsidP="00C72605">
      <w:pPr>
        <w:rPr>
          <w:rFonts w:ascii="Arial" w:hAnsi="Arial" w:cs="Arial"/>
          <w:sz w:val="22"/>
          <w:szCs w:val="22"/>
        </w:rPr>
      </w:pPr>
      <w:r>
        <w:rPr>
          <w:rFonts w:ascii="Arial" w:hAnsi="Arial"/>
          <w:sz w:val="22"/>
        </w:rPr>
        <w:t>Self-employed persons may be able to join a pension fund on a voluntary basis. This is one of the agreements included in the new Future of Pensions Act (Wtp).</w:t>
      </w:r>
      <w:bookmarkEnd w:id="108"/>
    </w:p>
    <w:p w14:paraId="730D2ADB" w14:textId="6F5E6739" w:rsidR="00CF757C" w:rsidRPr="00DC7149" w:rsidRDefault="00CF757C" w:rsidP="00C72605">
      <w:pPr>
        <w:rPr>
          <w:rFonts w:ascii="Arial" w:hAnsi="Arial" w:cs="Arial"/>
          <w:bCs/>
          <w:sz w:val="22"/>
        </w:rPr>
      </w:pPr>
    </w:p>
    <w:p w14:paraId="5B31FE68" w14:textId="77777777" w:rsidR="00CF757C" w:rsidRPr="0093414D" w:rsidRDefault="00CF757C" w:rsidP="0093414D">
      <w:pPr>
        <w:rPr>
          <w:rFonts w:ascii="Arial" w:hAnsi="Arial" w:cs="Arial"/>
          <w:b/>
          <w:bCs/>
          <w:sz w:val="22"/>
          <w:szCs w:val="22"/>
        </w:rPr>
      </w:pPr>
      <w:bookmarkStart w:id="110" w:name="_Toc152927387"/>
      <w:r>
        <w:rPr>
          <w:rFonts w:ascii="Arial" w:hAnsi="Arial"/>
          <w:b/>
          <w:sz w:val="22"/>
        </w:rPr>
        <w:t>Pension Agreement</w:t>
      </w:r>
      <w:bookmarkEnd w:id="110"/>
    </w:p>
    <w:p w14:paraId="27F9B685" w14:textId="3F1260BB" w:rsidR="00CF757C" w:rsidRPr="009354EC" w:rsidRDefault="00CF757C" w:rsidP="00CF757C">
      <w:pPr>
        <w:rPr>
          <w:rFonts w:ascii="Arial" w:hAnsi="Arial" w:cs="Arial"/>
          <w:sz w:val="22"/>
          <w:szCs w:val="22"/>
        </w:rPr>
      </w:pPr>
      <w:r>
        <w:rPr>
          <w:rFonts w:ascii="Arial" w:hAnsi="Arial"/>
          <w:sz w:val="22"/>
        </w:rPr>
        <w:t>The Future of Pensions Act sets out the agreements contained in the Pension Agreement. When this Act entered into force on 1 July 2023 it also became possible for self-employed persons to join a pension fund on a voluntary basis.</w:t>
      </w:r>
    </w:p>
    <w:p w14:paraId="0E834C5C" w14:textId="77777777" w:rsidR="00CF757C" w:rsidRPr="009354EC" w:rsidRDefault="00CF757C" w:rsidP="00CF757C">
      <w:pPr>
        <w:rPr>
          <w:rFonts w:ascii="Arial" w:hAnsi="Arial" w:cs="Arial"/>
          <w:sz w:val="22"/>
          <w:szCs w:val="22"/>
        </w:rPr>
      </w:pPr>
    </w:p>
    <w:p w14:paraId="31DBE4E2" w14:textId="77777777" w:rsidR="00CF757C" w:rsidRPr="009354EC" w:rsidRDefault="00CF757C" w:rsidP="0093414D">
      <w:pPr>
        <w:rPr>
          <w:rFonts w:cs="Arial"/>
          <w:sz w:val="22"/>
        </w:rPr>
      </w:pPr>
      <w:bookmarkStart w:id="111" w:name="_Toc152927388"/>
      <w:r>
        <w:rPr>
          <w:rFonts w:ascii="Arial" w:hAnsi="Arial"/>
          <w:b/>
          <w:sz w:val="22"/>
        </w:rPr>
        <w:t>Pension fund conditions</w:t>
      </w:r>
      <w:bookmarkEnd w:id="111"/>
    </w:p>
    <w:p w14:paraId="5BE88066" w14:textId="77777777" w:rsidR="00CF757C" w:rsidRPr="009354EC" w:rsidRDefault="00CF757C" w:rsidP="00CF757C">
      <w:pPr>
        <w:rPr>
          <w:rFonts w:ascii="Arial" w:hAnsi="Arial" w:cs="Arial"/>
          <w:sz w:val="22"/>
          <w:szCs w:val="22"/>
        </w:rPr>
      </w:pPr>
      <w:r>
        <w:rPr>
          <w:rFonts w:ascii="Arial" w:hAnsi="Arial"/>
          <w:sz w:val="22"/>
        </w:rPr>
        <w:t>It must, however, be a pension fund in the sector in which the self-employed person is working. The pension fund must also offer the option of voluntary membership. You should therefore enquire with the pension fund as to whether this option is available.</w:t>
      </w:r>
    </w:p>
    <w:p w14:paraId="7880AE50" w14:textId="77777777" w:rsidR="00930140" w:rsidRPr="0080169D" w:rsidRDefault="00930140" w:rsidP="00930140">
      <w:pPr>
        <w:pStyle w:val="Normaalweb"/>
        <w:spacing w:before="0" w:beforeAutospacing="0" w:after="0" w:afterAutospacing="0"/>
        <w:rPr>
          <w:rFonts w:ascii="Arial" w:hAnsi="Arial" w:cs="Arial"/>
          <w:sz w:val="22"/>
          <w:szCs w:val="22"/>
        </w:rPr>
      </w:pPr>
    </w:p>
    <w:p w14:paraId="7BAC37D5" w14:textId="77777777" w:rsidR="00930140" w:rsidRDefault="00930140" w:rsidP="00930140">
      <w:pPr>
        <w:shd w:val="clear" w:color="auto" w:fill="D9D9D9"/>
        <w:tabs>
          <w:tab w:val="left" w:pos="283"/>
          <w:tab w:val="left" w:pos="567"/>
          <w:tab w:val="left" w:pos="5102"/>
          <w:tab w:val="right" w:pos="6236"/>
          <w:tab w:val="left" w:pos="6520"/>
          <w:tab w:val="right" w:pos="7654"/>
          <w:tab w:val="left" w:pos="7937"/>
          <w:tab w:val="right" w:pos="9071"/>
        </w:tabs>
        <w:rPr>
          <w:rFonts w:ascii="Arial" w:hAnsi="Arial" w:cs="Arial"/>
          <w:b/>
          <w:bCs/>
          <w:sz w:val="22"/>
          <w:szCs w:val="22"/>
        </w:rPr>
      </w:pPr>
      <w:r>
        <w:rPr>
          <w:rFonts w:ascii="Arial" w:hAnsi="Arial"/>
          <w:b/>
          <w:sz w:val="22"/>
        </w:rPr>
        <w:t>Please note:</w:t>
      </w:r>
    </w:p>
    <w:p w14:paraId="40D4EF27" w14:textId="329E4E37" w:rsidR="00930140" w:rsidRPr="00C37B9D" w:rsidRDefault="00930140" w:rsidP="00930140">
      <w:pPr>
        <w:shd w:val="clear" w:color="auto" w:fill="D9D9D9"/>
        <w:tabs>
          <w:tab w:val="left" w:pos="283"/>
          <w:tab w:val="left" w:pos="567"/>
          <w:tab w:val="left" w:pos="5102"/>
          <w:tab w:val="right" w:pos="6236"/>
          <w:tab w:val="left" w:pos="6520"/>
          <w:tab w:val="right" w:pos="7654"/>
          <w:tab w:val="left" w:pos="7937"/>
          <w:tab w:val="right" w:pos="9071"/>
        </w:tabs>
        <w:rPr>
          <w:rFonts w:ascii="Arial" w:hAnsi="Arial" w:cs="Arial"/>
          <w:sz w:val="22"/>
          <w:szCs w:val="22"/>
        </w:rPr>
      </w:pPr>
      <w:r>
        <w:rPr>
          <w:rFonts w:ascii="Arial" w:hAnsi="Arial"/>
          <w:sz w:val="22"/>
        </w:rPr>
        <w:t>Before 1 July 2023, it was already possible, under certain conditions, for employees who were leaving a company to voluntarily join the pension fund of their former employer. This possibility remains available.</w:t>
      </w:r>
    </w:p>
    <w:p w14:paraId="6C653CAB" w14:textId="77777777" w:rsidR="00930140" w:rsidRPr="003D7A60" w:rsidRDefault="00930140" w:rsidP="00930140">
      <w:pPr>
        <w:rPr>
          <w:rFonts w:ascii="Arial" w:hAnsi="Arial" w:cs="Arial"/>
          <w:sz w:val="22"/>
          <w:szCs w:val="22"/>
        </w:rPr>
      </w:pPr>
    </w:p>
    <w:p w14:paraId="762EA6EE" w14:textId="77777777" w:rsidR="00CF757C" w:rsidRPr="0093414D" w:rsidRDefault="00CF757C" w:rsidP="0093414D">
      <w:pPr>
        <w:rPr>
          <w:rFonts w:ascii="Arial" w:hAnsi="Arial" w:cs="Arial"/>
          <w:b/>
          <w:bCs/>
          <w:sz w:val="22"/>
          <w:szCs w:val="22"/>
        </w:rPr>
      </w:pPr>
      <w:bookmarkStart w:id="112" w:name="_Toc152927389"/>
      <w:r>
        <w:rPr>
          <w:rFonts w:ascii="Arial" w:hAnsi="Arial"/>
          <w:b/>
          <w:sz w:val="22"/>
        </w:rPr>
        <w:t>Deduction for income tax purposes</w:t>
      </w:r>
      <w:bookmarkEnd w:id="112"/>
    </w:p>
    <w:p w14:paraId="76C70014" w14:textId="77777777" w:rsidR="00CF757C" w:rsidRPr="009354EC" w:rsidRDefault="00CF757C" w:rsidP="00CF757C">
      <w:pPr>
        <w:rPr>
          <w:rFonts w:ascii="Arial" w:hAnsi="Arial" w:cs="Arial"/>
          <w:sz w:val="22"/>
          <w:szCs w:val="22"/>
        </w:rPr>
      </w:pPr>
      <w:r>
        <w:rPr>
          <w:rFonts w:ascii="Arial" w:hAnsi="Arial"/>
          <w:sz w:val="22"/>
        </w:rPr>
        <w:t>Self-employed persons who take advantage of this option can deduct the contributions paid to the pension fund in their income tax return.</w:t>
      </w:r>
    </w:p>
    <w:p w14:paraId="797B0DD0" w14:textId="77777777" w:rsidR="00930140" w:rsidRPr="0080169D" w:rsidRDefault="00930140" w:rsidP="00930140">
      <w:pPr>
        <w:pStyle w:val="Normaalweb"/>
        <w:spacing w:before="0" w:beforeAutospacing="0" w:after="0" w:afterAutospacing="0"/>
        <w:rPr>
          <w:rFonts w:ascii="Arial" w:hAnsi="Arial" w:cs="Arial"/>
          <w:sz w:val="22"/>
          <w:szCs w:val="22"/>
        </w:rPr>
      </w:pPr>
    </w:p>
    <w:p w14:paraId="00CDCCCB" w14:textId="77777777" w:rsidR="00930140" w:rsidRDefault="00930140" w:rsidP="00930140">
      <w:pPr>
        <w:shd w:val="clear" w:color="auto" w:fill="D9D9D9"/>
        <w:tabs>
          <w:tab w:val="left" w:pos="283"/>
          <w:tab w:val="left" w:pos="567"/>
          <w:tab w:val="left" w:pos="5102"/>
          <w:tab w:val="right" w:pos="6236"/>
          <w:tab w:val="left" w:pos="6520"/>
          <w:tab w:val="right" w:pos="7654"/>
          <w:tab w:val="left" w:pos="7937"/>
          <w:tab w:val="right" w:pos="9071"/>
        </w:tabs>
        <w:rPr>
          <w:rFonts w:ascii="Arial" w:hAnsi="Arial" w:cs="Arial"/>
          <w:b/>
          <w:bCs/>
          <w:sz w:val="22"/>
          <w:szCs w:val="22"/>
        </w:rPr>
      </w:pPr>
      <w:r>
        <w:rPr>
          <w:rFonts w:ascii="Arial" w:hAnsi="Arial"/>
          <w:b/>
          <w:sz w:val="22"/>
        </w:rPr>
        <w:t>Please note:</w:t>
      </w:r>
    </w:p>
    <w:p w14:paraId="7F7327FB" w14:textId="4DE01255" w:rsidR="00930140" w:rsidRDefault="00930140" w:rsidP="00930140">
      <w:pPr>
        <w:shd w:val="clear" w:color="auto" w:fill="D9D9D9"/>
        <w:tabs>
          <w:tab w:val="left" w:pos="283"/>
          <w:tab w:val="left" w:pos="567"/>
          <w:tab w:val="left" w:pos="5102"/>
          <w:tab w:val="right" w:pos="6236"/>
          <w:tab w:val="left" w:pos="6520"/>
          <w:tab w:val="right" w:pos="7654"/>
          <w:tab w:val="left" w:pos="7937"/>
          <w:tab w:val="right" w:pos="9071"/>
        </w:tabs>
        <w:rPr>
          <w:rFonts w:ascii="Arial" w:hAnsi="Arial" w:cs="Arial"/>
          <w:sz w:val="22"/>
          <w:szCs w:val="22"/>
        </w:rPr>
      </w:pPr>
      <w:r>
        <w:rPr>
          <w:rFonts w:ascii="Arial" w:hAnsi="Arial"/>
          <w:sz w:val="22"/>
        </w:rPr>
        <w:t>It is worth bearing in mind that this is an experiment. If the experiment is discontinued or is not converted into a definitive scheme, the self-employed person can leave the money in the pension fund or withdraw it and deposit it with a bank or insurer.</w:t>
      </w:r>
    </w:p>
    <w:p w14:paraId="4AEB7539" w14:textId="77777777" w:rsidR="00563825" w:rsidRDefault="00563825" w:rsidP="00930140">
      <w:pPr>
        <w:rPr>
          <w:rFonts w:ascii="Arial" w:hAnsi="Arial" w:cs="Arial"/>
          <w:sz w:val="22"/>
          <w:szCs w:val="22"/>
        </w:rPr>
      </w:pPr>
    </w:p>
    <w:p w14:paraId="7D6EEBAE" w14:textId="77777777" w:rsidR="00CF757C" w:rsidRPr="0093414D" w:rsidRDefault="00CF757C" w:rsidP="0093414D">
      <w:pPr>
        <w:rPr>
          <w:rFonts w:ascii="Arial" w:hAnsi="Arial" w:cs="Arial"/>
          <w:b/>
          <w:bCs/>
          <w:sz w:val="22"/>
          <w:szCs w:val="22"/>
        </w:rPr>
      </w:pPr>
      <w:bookmarkStart w:id="113" w:name="_Toc152927390"/>
      <w:r>
        <w:rPr>
          <w:rFonts w:ascii="Arial" w:hAnsi="Arial"/>
          <w:b/>
          <w:sz w:val="22"/>
        </w:rPr>
        <w:t>Compulsory pension scheme</w:t>
      </w:r>
      <w:bookmarkEnd w:id="113"/>
    </w:p>
    <w:p w14:paraId="23547E07" w14:textId="54675149" w:rsidR="00CF757C" w:rsidRDefault="00CF757C" w:rsidP="00CF757C">
      <w:pPr>
        <w:rPr>
          <w:rFonts w:ascii="Arial" w:hAnsi="Arial" w:cs="Arial"/>
          <w:sz w:val="22"/>
          <w:szCs w:val="22"/>
        </w:rPr>
      </w:pPr>
      <w:r>
        <w:rPr>
          <w:rFonts w:ascii="Arial" w:hAnsi="Arial"/>
          <w:sz w:val="22"/>
        </w:rPr>
        <w:t>For certain professional groups and sectors there is an obligation for entrepreneurs to participate in the pension scheme. This has been the case for some time and is not therefore a result of the entry into force of the Wtp.</w:t>
      </w:r>
    </w:p>
    <w:p w14:paraId="1B756AF9" w14:textId="77777777" w:rsidR="00316549" w:rsidRDefault="00316549" w:rsidP="00CF757C">
      <w:pPr>
        <w:rPr>
          <w:rFonts w:ascii="Arial" w:hAnsi="Arial" w:cs="Arial"/>
          <w:sz w:val="22"/>
          <w:szCs w:val="22"/>
        </w:rPr>
      </w:pPr>
    </w:p>
    <w:p w14:paraId="7B73AA48" w14:textId="091E0605" w:rsidR="00CF757C" w:rsidRPr="009354EC" w:rsidRDefault="00CF757C" w:rsidP="00CF757C">
      <w:pPr>
        <w:rPr>
          <w:rFonts w:ascii="Arial" w:hAnsi="Arial" w:cs="Arial"/>
          <w:sz w:val="22"/>
          <w:szCs w:val="22"/>
        </w:rPr>
      </w:pPr>
      <w:r>
        <w:rPr>
          <w:rFonts w:ascii="Arial" w:hAnsi="Arial"/>
          <w:sz w:val="22"/>
        </w:rPr>
        <w:lastRenderedPageBreak/>
        <w:t>The obligation applies to entrepreneurs with a painting and decorating business, plastering business, glazing business, finishing business, natural stone business or terrazzo or flooring business. It also covers entrepreneurs who practise the profession of pharmacist, physiotherapist, general practitioner, midwife, medical specialist, vet, civil-law notary or junior civil-law notary, or pilot or boatman at the Port of Rotterdam.</w:t>
      </w:r>
    </w:p>
    <w:bookmarkEnd w:id="109"/>
    <w:p w14:paraId="1F5880E6" w14:textId="77777777" w:rsidR="00CF757C" w:rsidRPr="009354EC" w:rsidRDefault="00CF757C" w:rsidP="00CF757C">
      <w:pPr>
        <w:rPr>
          <w:rFonts w:ascii="Arial" w:hAnsi="Arial" w:cs="Arial"/>
          <w:sz w:val="22"/>
          <w:szCs w:val="22"/>
        </w:rPr>
      </w:pPr>
    </w:p>
    <w:p w14:paraId="5BA0E6A9" w14:textId="2730C20A" w:rsidR="00D504B9" w:rsidRDefault="00D504B9" w:rsidP="003E234B">
      <w:pPr>
        <w:pStyle w:val="Kop2"/>
        <w:ind w:hanging="283"/>
      </w:pPr>
      <w:bookmarkStart w:id="114" w:name="_Toc155866657"/>
      <w:r>
        <w:t>Declare payments to natural persons to Tax and Customs Administration</w:t>
      </w:r>
      <w:bookmarkEnd w:id="114"/>
    </w:p>
    <w:p w14:paraId="2585BA8D" w14:textId="77777777" w:rsidR="00B97D09" w:rsidRPr="00B97D09" w:rsidRDefault="00B97D09" w:rsidP="00B97D09"/>
    <w:p w14:paraId="7071B4EE" w14:textId="57B536A0" w:rsidR="00D67E27" w:rsidRDefault="00D67E27" w:rsidP="00D67E27">
      <w:pPr>
        <w:rPr>
          <w:rFonts w:ascii="Arial" w:hAnsi="Arial" w:cs="Arial"/>
          <w:sz w:val="22"/>
          <w:szCs w:val="22"/>
        </w:rPr>
      </w:pPr>
      <w:r>
        <w:rPr>
          <w:rFonts w:ascii="Arial" w:hAnsi="Arial"/>
          <w:sz w:val="22"/>
        </w:rPr>
        <w:t>Withholding entities must declare amounts paid to natural persons in 2025 to the Tax and Customs Administration before 1 February 2026. This does not apply if these natural persons are employed by the withholding entity or issue an invoice including VAT to it.</w:t>
      </w:r>
    </w:p>
    <w:p w14:paraId="60F71937" w14:textId="77777777" w:rsidR="00D67E27" w:rsidRPr="00D67E27" w:rsidRDefault="00D67E27" w:rsidP="00D67E27">
      <w:pPr>
        <w:rPr>
          <w:rFonts w:ascii="Arial" w:hAnsi="Arial" w:cs="Arial"/>
          <w:sz w:val="22"/>
          <w:szCs w:val="22"/>
        </w:rPr>
      </w:pPr>
    </w:p>
    <w:p w14:paraId="55370AEA" w14:textId="1409817B" w:rsidR="00D67E27" w:rsidRDefault="00D67E27" w:rsidP="00D67E27">
      <w:pPr>
        <w:rPr>
          <w:rFonts w:ascii="Arial" w:hAnsi="Arial" w:cs="Arial"/>
          <w:sz w:val="22"/>
          <w:szCs w:val="22"/>
        </w:rPr>
      </w:pPr>
      <w:r>
        <w:rPr>
          <w:rFonts w:ascii="Arial" w:hAnsi="Arial"/>
          <w:b/>
          <w:sz w:val="22"/>
        </w:rPr>
        <w:t>Statement of amounts paid to third parties (UBD statement)</w:t>
      </w:r>
      <w:r>
        <w:rPr>
          <w:rFonts w:ascii="Arial" w:hAnsi="Arial"/>
          <w:b/>
          <w:sz w:val="22"/>
        </w:rPr>
        <w:br/>
      </w:r>
      <w:r>
        <w:rPr>
          <w:rFonts w:ascii="Arial" w:hAnsi="Arial"/>
          <w:sz w:val="22"/>
        </w:rPr>
        <w:t>This obligation is referred to as the statement of amounts paid to third parties (</w:t>
      </w:r>
      <w:r>
        <w:rPr>
          <w:rFonts w:ascii="Arial" w:hAnsi="Arial"/>
          <w:i/>
          <w:iCs/>
          <w:sz w:val="22"/>
        </w:rPr>
        <w:t>Opgaaf Uitbetaling bedragen aan derden</w:t>
      </w:r>
      <w:r>
        <w:rPr>
          <w:rFonts w:ascii="Arial" w:hAnsi="Arial"/>
          <w:sz w:val="22"/>
        </w:rPr>
        <w:t xml:space="preserve"> (UBD statement)). It means that all withholding entities (i.e. legal entities/persons with a payroll tax number) and certain collective management societies must declare amounts that they have paid to third parties to the Tax and Customs Administration on their own initiative. In other words, they will not receive a request to provide this information.</w:t>
      </w:r>
    </w:p>
    <w:p w14:paraId="49D404AB" w14:textId="77777777" w:rsidR="00D67E27" w:rsidRPr="00D67E27" w:rsidRDefault="00D67E27" w:rsidP="00D67E27">
      <w:pPr>
        <w:rPr>
          <w:rFonts w:ascii="Arial" w:hAnsi="Arial" w:cs="Arial"/>
          <w:sz w:val="22"/>
          <w:szCs w:val="22"/>
        </w:rPr>
      </w:pPr>
    </w:p>
    <w:p w14:paraId="0834E639" w14:textId="77777777" w:rsidR="009302BC" w:rsidRDefault="009302BC" w:rsidP="009302BC">
      <w:pPr>
        <w:shd w:val="clear" w:color="auto" w:fill="D9D9D9"/>
        <w:tabs>
          <w:tab w:val="left" w:pos="283"/>
          <w:tab w:val="left" w:pos="567"/>
          <w:tab w:val="left" w:pos="5102"/>
          <w:tab w:val="right" w:pos="6236"/>
          <w:tab w:val="left" w:pos="6520"/>
          <w:tab w:val="right" w:pos="7654"/>
          <w:tab w:val="left" w:pos="7937"/>
          <w:tab w:val="right" w:pos="9071"/>
        </w:tabs>
        <w:rPr>
          <w:rFonts w:ascii="Arial" w:hAnsi="Arial" w:cs="Arial"/>
          <w:b/>
          <w:bCs/>
          <w:sz w:val="22"/>
          <w:szCs w:val="22"/>
        </w:rPr>
      </w:pPr>
      <w:r>
        <w:rPr>
          <w:rFonts w:ascii="Arial" w:hAnsi="Arial"/>
          <w:b/>
          <w:sz w:val="22"/>
        </w:rPr>
        <w:t>Please note:</w:t>
      </w:r>
    </w:p>
    <w:p w14:paraId="0366F34D" w14:textId="4BB901B5" w:rsidR="009302BC" w:rsidRDefault="009302BC" w:rsidP="009302BC">
      <w:pPr>
        <w:shd w:val="clear" w:color="auto" w:fill="D9D9D9"/>
        <w:tabs>
          <w:tab w:val="left" w:pos="283"/>
          <w:tab w:val="left" w:pos="567"/>
          <w:tab w:val="left" w:pos="5102"/>
          <w:tab w:val="right" w:pos="6236"/>
          <w:tab w:val="left" w:pos="6520"/>
          <w:tab w:val="right" w:pos="7654"/>
          <w:tab w:val="left" w:pos="7937"/>
          <w:tab w:val="right" w:pos="9071"/>
        </w:tabs>
        <w:rPr>
          <w:rFonts w:ascii="Arial" w:hAnsi="Arial" w:cs="Arial"/>
          <w:sz w:val="22"/>
          <w:szCs w:val="22"/>
        </w:rPr>
      </w:pPr>
      <w:r>
        <w:rPr>
          <w:rFonts w:ascii="Arial" w:hAnsi="Arial"/>
          <w:sz w:val="22"/>
        </w:rPr>
        <w:t>The obligation also applies if you no longer have any employees, but still have a payroll tax number.</w:t>
      </w:r>
    </w:p>
    <w:p w14:paraId="7CA3F316" w14:textId="1B561100" w:rsidR="00D67E27" w:rsidRPr="009302BC" w:rsidRDefault="00D67E27" w:rsidP="00D67E27">
      <w:pPr>
        <w:rPr>
          <w:rFonts w:ascii="Arial" w:hAnsi="Arial" w:cs="Arial"/>
          <w:sz w:val="22"/>
          <w:szCs w:val="22"/>
        </w:rPr>
      </w:pPr>
    </w:p>
    <w:p w14:paraId="1CFAC3B1" w14:textId="5B2D8714" w:rsidR="00D67E27" w:rsidRPr="00D67E27" w:rsidRDefault="00D67E27" w:rsidP="00D67E27">
      <w:pPr>
        <w:rPr>
          <w:rFonts w:ascii="Arial" w:hAnsi="Arial" w:cs="Arial"/>
          <w:sz w:val="22"/>
          <w:szCs w:val="22"/>
        </w:rPr>
      </w:pPr>
      <w:r>
        <w:rPr>
          <w:rFonts w:ascii="Arial" w:hAnsi="Arial"/>
          <w:b/>
          <w:sz w:val="22"/>
        </w:rPr>
        <w:t>Exceptions</w:t>
      </w:r>
      <w:r>
        <w:rPr>
          <w:rFonts w:ascii="Arial" w:hAnsi="Arial"/>
          <w:b/>
          <w:sz w:val="22"/>
        </w:rPr>
        <w:br/>
      </w:r>
      <w:r>
        <w:rPr>
          <w:rFonts w:ascii="Arial" w:hAnsi="Arial"/>
          <w:sz w:val="22"/>
        </w:rPr>
        <w:t>The UBD statement for payments made to natural persons only applies if the payment in question relates to work and services they have performed. Certain exceptions apply:</w:t>
      </w:r>
    </w:p>
    <w:p w14:paraId="5B3214AC" w14:textId="413EB2CC" w:rsidR="00D67E27" w:rsidRPr="00D67E27" w:rsidRDefault="00D67E27" w:rsidP="002F233C">
      <w:pPr>
        <w:numPr>
          <w:ilvl w:val="0"/>
          <w:numId w:val="17"/>
        </w:numPr>
        <w:rPr>
          <w:rFonts w:ascii="Arial" w:hAnsi="Arial" w:cs="Arial"/>
          <w:sz w:val="22"/>
          <w:szCs w:val="22"/>
        </w:rPr>
      </w:pPr>
      <w:r>
        <w:rPr>
          <w:rFonts w:ascii="Arial" w:hAnsi="Arial"/>
          <w:sz w:val="22"/>
        </w:rPr>
        <w:t>Payments you make to a natural person who is employed by you do not have to be declared.</w:t>
      </w:r>
    </w:p>
    <w:p w14:paraId="2B4FED3E" w14:textId="5DFD6C0B" w:rsidR="00D67E27" w:rsidRPr="00D67E27" w:rsidRDefault="00D67E27" w:rsidP="002F233C">
      <w:pPr>
        <w:numPr>
          <w:ilvl w:val="0"/>
          <w:numId w:val="17"/>
        </w:numPr>
        <w:rPr>
          <w:rFonts w:ascii="Arial" w:hAnsi="Arial" w:cs="Arial"/>
          <w:sz w:val="22"/>
          <w:szCs w:val="22"/>
        </w:rPr>
      </w:pPr>
      <w:r>
        <w:rPr>
          <w:rFonts w:ascii="Arial" w:hAnsi="Arial"/>
          <w:sz w:val="22"/>
        </w:rPr>
        <w:t>This also applies to payments you make to a natural person who falls under the tax exemption for volunteers (</w:t>
      </w:r>
      <w:r>
        <w:rPr>
          <w:rFonts w:ascii="Arial" w:hAnsi="Arial"/>
          <w:i/>
          <w:iCs/>
          <w:sz w:val="22"/>
        </w:rPr>
        <w:t>vrijwilligersregeling</w:t>
      </w:r>
      <w:r>
        <w:rPr>
          <w:rFonts w:ascii="Arial" w:hAnsi="Arial"/>
          <w:sz w:val="22"/>
        </w:rPr>
        <w:t>) (this means, amongst other things, that the payment was no more than € 210 per month and € 2,100 per year in 2025).</w:t>
      </w:r>
    </w:p>
    <w:p w14:paraId="344D266F" w14:textId="77777777" w:rsidR="00D67E27" w:rsidRPr="00D67E27" w:rsidRDefault="00D67E27" w:rsidP="002F233C">
      <w:pPr>
        <w:numPr>
          <w:ilvl w:val="0"/>
          <w:numId w:val="17"/>
        </w:numPr>
        <w:rPr>
          <w:rFonts w:ascii="Arial" w:hAnsi="Arial" w:cs="Arial"/>
          <w:sz w:val="22"/>
          <w:szCs w:val="22"/>
        </w:rPr>
      </w:pPr>
      <w:r>
        <w:rPr>
          <w:rFonts w:ascii="Arial" w:hAnsi="Arial"/>
          <w:sz w:val="22"/>
        </w:rPr>
        <w:t>If the natural person issues an invoice including VAT to you for the work, no UBD statement is required for this.</w:t>
      </w:r>
    </w:p>
    <w:p w14:paraId="10124F5C" w14:textId="77777777" w:rsidR="00D67E27" w:rsidRDefault="00D67E27" w:rsidP="00D67E27">
      <w:pPr>
        <w:rPr>
          <w:rFonts w:ascii="Arial" w:hAnsi="Arial" w:cs="Arial"/>
          <w:b/>
          <w:bCs/>
          <w:sz w:val="22"/>
          <w:szCs w:val="22"/>
        </w:rPr>
      </w:pPr>
    </w:p>
    <w:p w14:paraId="0EC85209" w14:textId="0389D38E" w:rsidR="00D67E27" w:rsidRPr="00D67E27" w:rsidRDefault="00D67E27" w:rsidP="00D67E27">
      <w:pPr>
        <w:rPr>
          <w:rFonts w:ascii="Arial" w:hAnsi="Arial" w:cs="Arial"/>
          <w:sz w:val="22"/>
          <w:szCs w:val="22"/>
        </w:rPr>
      </w:pPr>
      <w:r>
        <w:rPr>
          <w:rFonts w:ascii="Arial" w:hAnsi="Arial"/>
          <w:b/>
          <w:sz w:val="22"/>
        </w:rPr>
        <w:t>UBD statement required in the event of VAT exemption, VAT reverse charging and small business scheme (KOR)</w:t>
      </w:r>
      <w:r>
        <w:rPr>
          <w:rFonts w:ascii="Arial" w:hAnsi="Arial"/>
          <w:b/>
          <w:sz w:val="22"/>
        </w:rPr>
        <w:br/>
      </w:r>
      <w:r>
        <w:rPr>
          <w:rFonts w:ascii="Arial" w:hAnsi="Arial"/>
          <w:sz w:val="22"/>
        </w:rPr>
        <w:t>An entrepreneur – a natural person – who carries out VAT-exempt work for you is not exempted from the UBD statement. Although this entrepreneur may issue an invoice, no VAT is included on it. The same goes for a natural person who applies the small businesses scheme (KOR) or reverse-charges the VAT to you. You also have to submit a UBD statement for payments made to these natural persons.</w:t>
      </w:r>
    </w:p>
    <w:p w14:paraId="6FC377DD" w14:textId="77777777" w:rsidR="00563825" w:rsidRDefault="00563825" w:rsidP="00D67E27">
      <w:pPr>
        <w:rPr>
          <w:rFonts w:ascii="Arial" w:hAnsi="Arial" w:cs="Arial"/>
          <w:b/>
          <w:bCs/>
          <w:sz w:val="22"/>
          <w:szCs w:val="22"/>
        </w:rPr>
      </w:pPr>
    </w:p>
    <w:p w14:paraId="35FFD15A" w14:textId="297B306C" w:rsidR="00D67E27" w:rsidRPr="00D67E27" w:rsidRDefault="00D67E27" w:rsidP="00D67E27">
      <w:pPr>
        <w:rPr>
          <w:rFonts w:ascii="Arial" w:hAnsi="Arial" w:cs="Arial"/>
          <w:sz w:val="22"/>
          <w:szCs w:val="22"/>
        </w:rPr>
      </w:pPr>
      <w:r>
        <w:rPr>
          <w:rFonts w:ascii="Arial" w:hAnsi="Arial"/>
          <w:b/>
          <w:sz w:val="22"/>
        </w:rPr>
        <w:t>What do you declare?</w:t>
      </w:r>
      <w:r>
        <w:rPr>
          <w:rFonts w:ascii="Arial" w:hAnsi="Arial"/>
          <w:b/>
          <w:sz w:val="22"/>
        </w:rPr>
        <w:br/>
      </w:r>
      <w:r>
        <w:rPr>
          <w:rFonts w:ascii="Arial" w:hAnsi="Arial"/>
          <w:sz w:val="22"/>
        </w:rPr>
        <w:t>You submit the UBD statement digitally. You must include the following:</w:t>
      </w:r>
    </w:p>
    <w:p w14:paraId="320F385F" w14:textId="30673959" w:rsidR="00D67E27" w:rsidRPr="00D67E27" w:rsidRDefault="00D67E27" w:rsidP="002F233C">
      <w:pPr>
        <w:numPr>
          <w:ilvl w:val="0"/>
          <w:numId w:val="18"/>
        </w:numPr>
        <w:tabs>
          <w:tab w:val="num" w:pos="720"/>
        </w:tabs>
        <w:rPr>
          <w:rFonts w:ascii="Arial" w:hAnsi="Arial" w:cs="Arial"/>
          <w:sz w:val="22"/>
          <w:szCs w:val="22"/>
        </w:rPr>
      </w:pPr>
      <w:r>
        <w:rPr>
          <w:rFonts w:ascii="Arial" w:hAnsi="Arial"/>
          <w:sz w:val="22"/>
        </w:rPr>
        <w:t>name, address, citizen service number (BSN) and date of birth of the natural person;</w:t>
      </w:r>
    </w:p>
    <w:p w14:paraId="0CF263B7" w14:textId="5E26CC9E" w:rsidR="00D67E27" w:rsidRPr="00D67E27" w:rsidRDefault="00D67E27" w:rsidP="002F233C">
      <w:pPr>
        <w:numPr>
          <w:ilvl w:val="0"/>
          <w:numId w:val="18"/>
        </w:numPr>
        <w:tabs>
          <w:tab w:val="num" w:pos="720"/>
        </w:tabs>
        <w:rPr>
          <w:rFonts w:ascii="Arial" w:hAnsi="Arial" w:cs="Arial"/>
          <w:sz w:val="22"/>
          <w:szCs w:val="22"/>
        </w:rPr>
      </w:pPr>
      <w:r>
        <w:rPr>
          <w:rFonts w:ascii="Arial" w:hAnsi="Arial"/>
          <w:sz w:val="22"/>
        </w:rPr>
        <w:t>the amounts paid in 2025, including any expense allowances paid to the natural person;</w:t>
      </w:r>
    </w:p>
    <w:p w14:paraId="49E816BB" w14:textId="1870DBB2" w:rsidR="00D67E27" w:rsidRPr="00432308" w:rsidRDefault="00D67E27" w:rsidP="002F233C">
      <w:pPr>
        <w:numPr>
          <w:ilvl w:val="0"/>
          <w:numId w:val="18"/>
        </w:numPr>
        <w:tabs>
          <w:tab w:val="num" w:pos="720"/>
        </w:tabs>
        <w:rPr>
          <w:rFonts w:ascii="Arial" w:hAnsi="Arial" w:cs="Arial"/>
          <w:sz w:val="22"/>
          <w:szCs w:val="22"/>
        </w:rPr>
      </w:pPr>
      <w:r>
        <w:rPr>
          <w:rFonts w:ascii="Arial" w:hAnsi="Arial"/>
          <w:sz w:val="22"/>
        </w:rPr>
        <w:t>the date on which you made the payment.</w:t>
      </w:r>
    </w:p>
    <w:p w14:paraId="6D5D4B12" w14:textId="77777777" w:rsidR="00432308" w:rsidRPr="00D67E27" w:rsidRDefault="00432308" w:rsidP="00432308">
      <w:pPr>
        <w:ind w:left="360"/>
        <w:rPr>
          <w:rFonts w:ascii="Arial" w:hAnsi="Arial" w:cs="Arial"/>
          <w:sz w:val="22"/>
          <w:szCs w:val="22"/>
        </w:rPr>
      </w:pPr>
    </w:p>
    <w:p w14:paraId="011EF98B" w14:textId="70FE803F" w:rsidR="00B35218" w:rsidRDefault="00B35218">
      <w:pPr>
        <w:rPr>
          <w:rFonts w:ascii="Arial" w:hAnsi="Arial" w:cs="Arial"/>
          <w:b/>
          <w:bCs/>
          <w:sz w:val="22"/>
          <w:szCs w:val="22"/>
          <w:highlight w:val="lightGray"/>
        </w:rPr>
      </w:pPr>
    </w:p>
    <w:p w14:paraId="2A349929" w14:textId="77777777" w:rsidR="00B15B01" w:rsidRDefault="00B15B01">
      <w:pPr>
        <w:rPr>
          <w:rFonts w:ascii="Arial" w:hAnsi="Arial" w:cs="Arial"/>
          <w:b/>
          <w:bCs/>
          <w:sz w:val="22"/>
          <w:szCs w:val="22"/>
          <w:highlight w:val="lightGray"/>
        </w:rPr>
      </w:pPr>
    </w:p>
    <w:p w14:paraId="6C748140" w14:textId="33C62E45" w:rsidR="009302BC" w:rsidRDefault="009302BC" w:rsidP="009302BC">
      <w:pPr>
        <w:shd w:val="clear" w:color="auto" w:fill="D9D9D9"/>
        <w:tabs>
          <w:tab w:val="left" w:pos="283"/>
          <w:tab w:val="left" w:pos="567"/>
          <w:tab w:val="left" w:pos="5102"/>
          <w:tab w:val="right" w:pos="6236"/>
          <w:tab w:val="left" w:pos="6520"/>
          <w:tab w:val="right" w:pos="7654"/>
          <w:tab w:val="left" w:pos="7937"/>
          <w:tab w:val="right" w:pos="9071"/>
        </w:tabs>
        <w:rPr>
          <w:rFonts w:ascii="Arial" w:hAnsi="Arial" w:cs="Arial"/>
          <w:b/>
          <w:bCs/>
          <w:sz w:val="22"/>
          <w:szCs w:val="22"/>
        </w:rPr>
      </w:pPr>
      <w:r>
        <w:rPr>
          <w:rFonts w:ascii="Arial" w:hAnsi="Arial"/>
          <w:b/>
          <w:sz w:val="22"/>
        </w:rPr>
        <w:lastRenderedPageBreak/>
        <w:t>Tip:</w:t>
      </w:r>
    </w:p>
    <w:p w14:paraId="6DD47160" w14:textId="6E8AD73C" w:rsidR="009302BC" w:rsidRDefault="009302BC" w:rsidP="009302BC">
      <w:pPr>
        <w:shd w:val="clear" w:color="auto" w:fill="D9D9D9"/>
        <w:tabs>
          <w:tab w:val="left" w:pos="283"/>
          <w:tab w:val="left" w:pos="567"/>
          <w:tab w:val="left" w:pos="5102"/>
          <w:tab w:val="right" w:pos="6236"/>
          <w:tab w:val="left" w:pos="6520"/>
          <w:tab w:val="right" w:pos="7654"/>
          <w:tab w:val="left" w:pos="7937"/>
          <w:tab w:val="right" w:pos="9071"/>
        </w:tabs>
        <w:rPr>
          <w:rFonts w:ascii="Arial" w:hAnsi="Arial" w:cs="Arial"/>
          <w:sz w:val="22"/>
          <w:szCs w:val="22"/>
        </w:rPr>
      </w:pPr>
      <w:r>
        <w:rPr>
          <w:rFonts w:ascii="Arial" w:hAnsi="Arial"/>
          <w:sz w:val="22"/>
        </w:rPr>
        <w:t>If you made multiple payments to the same natural person in 2025, you may also add these payments together. You should then provide the date of the last payment in 2025 as the payment date.</w:t>
      </w:r>
    </w:p>
    <w:p w14:paraId="6F2A93D9" w14:textId="77777777" w:rsidR="00712008" w:rsidRPr="009302BC" w:rsidRDefault="00712008" w:rsidP="00D67E27">
      <w:pPr>
        <w:rPr>
          <w:rFonts w:ascii="Arial" w:hAnsi="Arial" w:cs="Arial"/>
          <w:sz w:val="22"/>
          <w:szCs w:val="22"/>
        </w:rPr>
      </w:pPr>
    </w:p>
    <w:p w14:paraId="24A07CCA" w14:textId="4765B40A" w:rsidR="009302BC" w:rsidRDefault="009302BC" w:rsidP="009302BC">
      <w:pPr>
        <w:shd w:val="clear" w:color="auto" w:fill="D9D9D9"/>
        <w:tabs>
          <w:tab w:val="left" w:pos="283"/>
          <w:tab w:val="left" w:pos="567"/>
          <w:tab w:val="left" w:pos="5102"/>
          <w:tab w:val="right" w:pos="6236"/>
          <w:tab w:val="left" w:pos="6520"/>
          <w:tab w:val="right" w:pos="7654"/>
          <w:tab w:val="left" w:pos="7937"/>
          <w:tab w:val="right" w:pos="9071"/>
        </w:tabs>
        <w:rPr>
          <w:rFonts w:ascii="Arial" w:hAnsi="Arial" w:cs="Arial"/>
          <w:b/>
          <w:bCs/>
          <w:sz w:val="22"/>
          <w:szCs w:val="22"/>
        </w:rPr>
      </w:pPr>
      <w:r>
        <w:rPr>
          <w:rFonts w:ascii="Arial" w:hAnsi="Arial"/>
          <w:b/>
          <w:sz w:val="22"/>
        </w:rPr>
        <w:t>Please note:</w:t>
      </w:r>
    </w:p>
    <w:p w14:paraId="3BE00A2E" w14:textId="4D065583" w:rsidR="009302BC" w:rsidRDefault="009302BC" w:rsidP="009302BC">
      <w:pPr>
        <w:shd w:val="clear" w:color="auto" w:fill="D9D9D9"/>
        <w:tabs>
          <w:tab w:val="left" w:pos="283"/>
          <w:tab w:val="left" w:pos="567"/>
          <w:tab w:val="left" w:pos="5102"/>
          <w:tab w:val="right" w:pos="6236"/>
          <w:tab w:val="left" w:pos="6520"/>
          <w:tab w:val="right" w:pos="7654"/>
          <w:tab w:val="left" w:pos="7937"/>
          <w:tab w:val="right" w:pos="9071"/>
        </w:tabs>
        <w:rPr>
          <w:rFonts w:ascii="Arial" w:hAnsi="Arial" w:cs="Arial"/>
          <w:sz w:val="22"/>
          <w:szCs w:val="22"/>
        </w:rPr>
      </w:pPr>
      <w:r>
        <w:rPr>
          <w:rFonts w:ascii="Arial" w:hAnsi="Arial"/>
          <w:sz w:val="22"/>
        </w:rPr>
        <w:t xml:space="preserve">You have to declare not only payments in cash, but also payments in kind. </w:t>
      </w:r>
    </w:p>
    <w:p w14:paraId="18A4D90D" w14:textId="77777777" w:rsidR="00712008" w:rsidRPr="00712008" w:rsidRDefault="00712008" w:rsidP="00D67E27">
      <w:pPr>
        <w:rPr>
          <w:rFonts w:ascii="Arial" w:hAnsi="Arial" w:cs="Arial"/>
          <w:sz w:val="22"/>
          <w:szCs w:val="22"/>
        </w:rPr>
      </w:pPr>
    </w:p>
    <w:p w14:paraId="77AF25C6" w14:textId="5B9288B9" w:rsidR="00D67E27" w:rsidRPr="00D67E27" w:rsidRDefault="00D67E27" w:rsidP="00D67E27">
      <w:pPr>
        <w:rPr>
          <w:rFonts w:ascii="Arial" w:hAnsi="Arial" w:cs="Arial"/>
          <w:sz w:val="22"/>
          <w:szCs w:val="22"/>
        </w:rPr>
      </w:pPr>
      <w:r>
        <w:rPr>
          <w:rFonts w:ascii="Arial" w:hAnsi="Arial"/>
          <w:b/>
          <w:sz w:val="22"/>
        </w:rPr>
        <w:t>Deadline of 31 January 2026</w:t>
      </w:r>
      <w:r>
        <w:rPr>
          <w:rFonts w:ascii="Arial" w:hAnsi="Arial"/>
          <w:b/>
          <w:sz w:val="22"/>
        </w:rPr>
        <w:br/>
      </w:r>
      <w:r>
        <w:rPr>
          <w:rFonts w:ascii="Arial" w:hAnsi="Arial"/>
          <w:sz w:val="22"/>
        </w:rPr>
        <w:t>The 2025 UBD statement must be submitted by no later than 31 January 2026. If you are not a withholding entity for payroll tax purposes or a collective management society, you only have to do this if the Tax and Customs Administration specifically requests it.</w:t>
      </w:r>
    </w:p>
    <w:p w14:paraId="511EE8B4" w14:textId="77777777" w:rsidR="00D67E27" w:rsidRDefault="00D67E27" w:rsidP="00D67E27">
      <w:pPr>
        <w:rPr>
          <w:rFonts w:ascii="Arial" w:hAnsi="Arial" w:cs="Arial"/>
          <w:b/>
          <w:bCs/>
          <w:sz w:val="22"/>
          <w:szCs w:val="22"/>
        </w:rPr>
      </w:pPr>
    </w:p>
    <w:p w14:paraId="66D6B767" w14:textId="77777777" w:rsidR="009302BC" w:rsidRDefault="009302BC" w:rsidP="009302BC">
      <w:pPr>
        <w:shd w:val="clear" w:color="auto" w:fill="D9D9D9"/>
        <w:tabs>
          <w:tab w:val="left" w:pos="283"/>
          <w:tab w:val="left" w:pos="567"/>
          <w:tab w:val="left" w:pos="5102"/>
          <w:tab w:val="right" w:pos="6236"/>
          <w:tab w:val="left" w:pos="6520"/>
          <w:tab w:val="right" w:pos="7654"/>
          <w:tab w:val="left" w:pos="7937"/>
          <w:tab w:val="right" w:pos="9071"/>
        </w:tabs>
        <w:rPr>
          <w:rFonts w:ascii="Arial" w:hAnsi="Arial" w:cs="Arial"/>
          <w:b/>
          <w:bCs/>
          <w:sz w:val="22"/>
          <w:szCs w:val="22"/>
        </w:rPr>
      </w:pPr>
      <w:r>
        <w:rPr>
          <w:rFonts w:ascii="Arial" w:hAnsi="Arial"/>
          <w:b/>
          <w:sz w:val="22"/>
        </w:rPr>
        <w:t>Please note:</w:t>
      </w:r>
    </w:p>
    <w:p w14:paraId="7958408C" w14:textId="0A4B1244" w:rsidR="009302BC" w:rsidRDefault="009302BC" w:rsidP="009302BC">
      <w:pPr>
        <w:shd w:val="clear" w:color="auto" w:fill="D9D9D9"/>
        <w:tabs>
          <w:tab w:val="left" w:pos="283"/>
          <w:tab w:val="left" w:pos="567"/>
          <w:tab w:val="left" w:pos="5102"/>
          <w:tab w:val="right" w:pos="6236"/>
          <w:tab w:val="left" w:pos="6520"/>
          <w:tab w:val="right" w:pos="7654"/>
          <w:tab w:val="left" w:pos="7937"/>
          <w:tab w:val="right" w:pos="9071"/>
        </w:tabs>
        <w:rPr>
          <w:rFonts w:ascii="Arial" w:hAnsi="Arial" w:cs="Arial"/>
          <w:sz w:val="22"/>
          <w:szCs w:val="22"/>
        </w:rPr>
      </w:pPr>
      <w:r>
        <w:rPr>
          <w:rFonts w:ascii="Arial" w:hAnsi="Arial"/>
          <w:sz w:val="22"/>
        </w:rPr>
        <w:t>If you pay a natural person at the beginning of 2026 for work and services performed in 2025, this payment should be included in the 2026 UBD statement, which must be submitted by 31 January 2027.</w:t>
      </w:r>
    </w:p>
    <w:p w14:paraId="0FAEFD95" w14:textId="79EDDE0F" w:rsidR="0050352E" w:rsidRDefault="0050352E" w:rsidP="0050352E">
      <w:pPr>
        <w:rPr>
          <w:rFonts w:ascii="Arial" w:hAnsi="Arial"/>
          <w:b/>
          <w:bCs/>
          <w:sz w:val="28"/>
        </w:rPr>
      </w:pPr>
      <w:r>
        <w:br w:type="page"/>
      </w:r>
    </w:p>
    <w:p w14:paraId="573BD37A" w14:textId="59217E8B" w:rsidR="004955E7" w:rsidRDefault="004955E7" w:rsidP="006009D4">
      <w:pPr>
        <w:pStyle w:val="Kop1"/>
      </w:pPr>
      <w:bookmarkStart w:id="115" w:name="_Toc152927391"/>
      <w:bookmarkStart w:id="116" w:name="_Toc155866658"/>
      <w:r>
        <w:lastRenderedPageBreak/>
        <w:t>Pensions</w:t>
      </w:r>
      <w:bookmarkEnd w:id="115"/>
      <w:bookmarkEnd w:id="116"/>
    </w:p>
    <w:p w14:paraId="77A79A07" w14:textId="77777777" w:rsidR="004955E7" w:rsidRDefault="004955E7" w:rsidP="00A40168">
      <w:pPr>
        <w:rPr>
          <w:rFonts w:eastAsia="Arial"/>
        </w:rPr>
      </w:pPr>
    </w:p>
    <w:p w14:paraId="5EEB08A9" w14:textId="77777777" w:rsidR="00B15B01" w:rsidRPr="00A40168" w:rsidRDefault="00B15B01" w:rsidP="00A40168">
      <w:pPr>
        <w:rPr>
          <w:rFonts w:eastAsia="Arial"/>
        </w:rPr>
      </w:pPr>
    </w:p>
    <w:p w14:paraId="692D529B" w14:textId="6FD52FB1" w:rsidR="004955E7" w:rsidRDefault="004955E7" w:rsidP="003E234B">
      <w:pPr>
        <w:pStyle w:val="Kop2"/>
        <w:ind w:hanging="283"/>
        <w:rPr>
          <w:rFonts w:eastAsia="Arial"/>
        </w:rPr>
      </w:pPr>
      <w:bookmarkStart w:id="117" w:name="_Toc152927392"/>
      <w:bookmarkStart w:id="118" w:name="_Toc155866659"/>
      <w:bookmarkStart w:id="119" w:name="_Hlk169515233"/>
      <w:r>
        <w:t>Future of Pensions Act</w:t>
      </w:r>
      <w:bookmarkEnd w:id="117"/>
      <w:bookmarkEnd w:id="118"/>
    </w:p>
    <w:p w14:paraId="660C979F" w14:textId="77777777" w:rsidR="0093414D" w:rsidRPr="0093414D" w:rsidRDefault="0093414D" w:rsidP="0093414D">
      <w:pPr>
        <w:rPr>
          <w:rFonts w:eastAsia="Arial"/>
        </w:rPr>
      </w:pPr>
    </w:p>
    <w:p w14:paraId="009E4414" w14:textId="10E7C688" w:rsidR="004955E7" w:rsidRPr="006F3886" w:rsidRDefault="004955E7" w:rsidP="00296F4B">
      <w:pPr>
        <w:rPr>
          <w:rFonts w:ascii="Arial" w:hAnsi="Arial" w:cs="Arial"/>
          <w:sz w:val="22"/>
          <w:szCs w:val="22"/>
        </w:rPr>
      </w:pPr>
      <w:r>
        <w:rPr>
          <w:rFonts w:ascii="Arial" w:hAnsi="Arial"/>
          <w:sz w:val="22"/>
        </w:rPr>
        <w:t>The Future of Pensions Act entered into force on 1 July 2023, but a transitional regime applies to existing pension schemes up to 2028. The main changes compared to the current pension system are as follows:</w:t>
      </w:r>
    </w:p>
    <w:p w14:paraId="4710AD23" w14:textId="5BB06BBC" w:rsidR="009A0986" w:rsidRPr="009A0986" w:rsidRDefault="009A0986" w:rsidP="002F233C">
      <w:pPr>
        <w:pStyle w:val="Lijstalinea"/>
        <w:numPr>
          <w:ilvl w:val="0"/>
          <w:numId w:val="9"/>
        </w:numPr>
        <w:spacing w:before="100" w:beforeAutospacing="1" w:after="100" w:afterAutospacing="1"/>
        <w:rPr>
          <w:rFonts w:ascii="Arial" w:hAnsi="Arial" w:cs="Arial"/>
        </w:rPr>
      </w:pPr>
      <w:r>
        <w:rPr>
          <w:rFonts w:ascii="Arial" w:hAnsi="Arial"/>
        </w:rPr>
        <w:t>All pension schemes will become defined contribution schemes, with a flat-rate contribution</w:t>
      </w:r>
      <w:r>
        <w:rPr>
          <w:rFonts w:ascii="Arial" w:hAnsi="Arial"/>
        </w:rPr>
        <w:br/>
        <w:t>(= the same contribution for every employee, regardless of age) not exceeding 30%. Schemes must switch over to the new rules by 2028, but can do so earlier.</w:t>
      </w:r>
    </w:p>
    <w:p w14:paraId="52A67594" w14:textId="7936D184" w:rsidR="004955E7" w:rsidRPr="006F3886" w:rsidRDefault="004955E7" w:rsidP="002F233C">
      <w:pPr>
        <w:numPr>
          <w:ilvl w:val="0"/>
          <w:numId w:val="9"/>
        </w:numPr>
        <w:spacing w:before="100" w:beforeAutospacing="1" w:after="100" w:afterAutospacing="1"/>
        <w:rPr>
          <w:rFonts w:ascii="Arial" w:hAnsi="Arial" w:cs="Arial"/>
          <w:sz w:val="22"/>
          <w:szCs w:val="22"/>
        </w:rPr>
      </w:pPr>
      <w:r>
        <w:rPr>
          <w:rFonts w:ascii="Arial" w:hAnsi="Arial"/>
          <w:sz w:val="22"/>
        </w:rPr>
        <w:t>Existing defined contribution schemes with a rising scale may be retained for all employees who are already in employment on the date of the transition (no later than 1 January 2028). New employees will, however, be assigned a flat-rate contribution from that date.</w:t>
      </w:r>
    </w:p>
    <w:p w14:paraId="56F97F17" w14:textId="3E34D4AC" w:rsidR="004955E7" w:rsidRPr="006F3886" w:rsidRDefault="004955E7" w:rsidP="002F233C">
      <w:pPr>
        <w:numPr>
          <w:ilvl w:val="0"/>
          <w:numId w:val="9"/>
        </w:numPr>
        <w:spacing w:before="100" w:beforeAutospacing="1" w:after="100" w:afterAutospacing="1"/>
        <w:rPr>
          <w:rFonts w:ascii="Arial" w:hAnsi="Arial" w:cs="Arial"/>
          <w:sz w:val="22"/>
          <w:szCs w:val="22"/>
        </w:rPr>
      </w:pPr>
      <w:r>
        <w:rPr>
          <w:rFonts w:ascii="Arial" w:hAnsi="Arial"/>
          <w:sz w:val="22"/>
        </w:rPr>
        <w:t>Employees who may be disadvantaged by these changes must be appropriately compensated. Generally speaking, this relates to the group in the 45-68 age bracket. What exactly is considered appropriate has not been specified and will therefore have to be negotiated on an employer-by-employer basis. The compensation may take the form of additional pension contributions (for this purpose the flat rate will be set at 33% until 2037) or an addition to the employee’s salary. In the event of additional pension contributions being paid, these will also apply to new employees during the compensation period.</w:t>
      </w:r>
    </w:p>
    <w:p w14:paraId="3C8D6FDF" w14:textId="5236242A" w:rsidR="004955E7" w:rsidRPr="006F3886" w:rsidRDefault="005746BA" w:rsidP="002F233C">
      <w:pPr>
        <w:numPr>
          <w:ilvl w:val="0"/>
          <w:numId w:val="9"/>
        </w:numPr>
        <w:spacing w:before="100" w:beforeAutospacing="1" w:after="100" w:afterAutospacing="1"/>
        <w:rPr>
          <w:rFonts w:ascii="Arial" w:hAnsi="Arial" w:cs="Arial"/>
          <w:sz w:val="22"/>
          <w:szCs w:val="22"/>
        </w:rPr>
      </w:pPr>
      <w:r>
        <w:rPr>
          <w:rFonts w:ascii="Arial" w:hAnsi="Arial"/>
          <w:sz w:val="22"/>
        </w:rPr>
        <w:t>There will be two types of pension scheme: parties can choose between the ‘solidarity contribution scheme’ (SPR) and the ‘flexible contribution scheme’ (FPR). The former offers, amongst other things, a hedge return for pensioners and can have a buffer of up to 15% of the pension assets to offset potential falls in payable and not yet payable pensions.</w:t>
      </w:r>
    </w:p>
    <w:p w14:paraId="190981AD" w14:textId="11C0B73A" w:rsidR="004955E7" w:rsidRPr="006F3886" w:rsidRDefault="004955E7" w:rsidP="002F233C">
      <w:pPr>
        <w:numPr>
          <w:ilvl w:val="0"/>
          <w:numId w:val="9"/>
        </w:numPr>
        <w:spacing w:before="100" w:beforeAutospacing="1" w:after="100" w:afterAutospacing="1"/>
        <w:rPr>
          <w:rFonts w:ascii="Arial" w:hAnsi="Arial" w:cs="Arial"/>
          <w:sz w:val="22"/>
          <w:szCs w:val="22"/>
        </w:rPr>
      </w:pPr>
      <w:r>
        <w:rPr>
          <w:rFonts w:ascii="Arial" w:hAnsi="Arial"/>
          <w:sz w:val="22"/>
        </w:rPr>
        <w:t>Accrued (average- or final-salary) pensions with an insurer can remain as they are. Until 2028 existing average-salary schemes can switch over to a rising defined contribution scale (which may then be continued for existing employees).</w:t>
      </w:r>
    </w:p>
    <w:p w14:paraId="1CC07E26" w14:textId="79073DEA" w:rsidR="004955E7" w:rsidRPr="006F3886" w:rsidRDefault="004955E7" w:rsidP="002F233C">
      <w:pPr>
        <w:numPr>
          <w:ilvl w:val="0"/>
          <w:numId w:val="9"/>
        </w:numPr>
        <w:spacing w:before="100" w:beforeAutospacing="1" w:after="100" w:afterAutospacing="1"/>
        <w:rPr>
          <w:rFonts w:ascii="Arial" w:hAnsi="Arial" w:cs="Arial"/>
          <w:sz w:val="22"/>
          <w:szCs w:val="22"/>
        </w:rPr>
      </w:pPr>
      <w:r>
        <w:rPr>
          <w:rFonts w:ascii="Arial" w:hAnsi="Arial"/>
          <w:sz w:val="22"/>
        </w:rPr>
        <w:t>The partner pension is being standardised, can amount to a maximum of 50% of the salary and is always insured until the employee retires.</w:t>
      </w:r>
    </w:p>
    <w:p w14:paraId="6270C6D6" w14:textId="72F8DF52" w:rsidR="004955E7" w:rsidRPr="006F3886" w:rsidRDefault="004955E7" w:rsidP="002F233C">
      <w:pPr>
        <w:numPr>
          <w:ilvl w:val="0"/>
          <w:numId w:val="9"/>
        </w:numPr>
        <w:spacing w:before="100" w:beforeAutospacing="1" w:after="100" w:afterAutospacing="1"/>
        <w:rPr>
          <w:rFonts w:ascii="Arial" w:hAnsi="Arial" w:cs="Arial"/>
          <w:sz w:val="22"/>
          <w:szCs w:val="22"/>
        </w:rPr>
      </w:pPr>
      <w:r>
        <w:rPr>
          <w:rFonts w:ascii="Arial" w:hAnsi="Arial"/>
          <w:sz w:val="22"/>
        </w:rPr>
        <w:t>Annuity premium tax relief will also increase to 30% (previously 13.3%) and the terminable annuity will be retained.</w:t>
      </w:r>
    </w:p>
    <w:p w14:paraId="1B88F874" w14:textId="1A05CCC9" w:rsidR="004955E7" w:rsidRPr="006F3886" w:rsidRDefault="004955E7" w:rsidP="002F233C">
      <w:pPr>
        <w:numPr>
          <w:ilvl w:val="0"/>
          <w:numId w:val="9"/>
        </w:numPr>
        <w:spacing w:before="100" w:beforeAutospacing="1" w:after="100" w:afterAutospacing="1"/>
        <w:rPr>
          <w:rFonts w:ascii="Arial" w:hAnsi="Arial" w:cs="Arial"/>
          <w:sz w:val="22"/>
          <w:szCs w:val="22"/>
        </w:rPr>
      </w:pPr>
      <w:r>
        <w:rPr>
          <w:rFonts w:ascii="Arial" w:hAnsi="Arial"/>
          <w:sz w:val="22"/>
        </w:rPr>
        <w:t>Payment of a pension can now only commence from ten years before the state-pension date. There is no longer any need to submit a declaration that you are retiring. At present, you have a completely free choice of the pension start date, but if this is more than five years before the state-pension date, a declaration confirming that you are stopping work is required.</w:t>
      </w:r>
    </w:p>
    <w:p w14:paraId="70B04584" w14:textId="00335682" w:rsidR="004955E7" w:rsidRPr="006F3886" w:rsidRDefault="004955E7" w:rsidP="002F233C">
      <w:pPr>
        <w:numPr>
          <w:ilvl w:val="0"/>
          <w:numId w:val="9"/>
        </w:numPr>
        <w:spacing w:before="100" w:beforeAutospacing="1" w:after="100" w:afterAutospacing="1"/>
        <w:rPr>
          <w:rFonts w:ascii="Arial" w:hAnsi="Arial" w:cs="Arial"/>
          <w:sz w:val="22"/>
          <w:szCs w:val="22"/>
        </w:rPr>
      </w:pPr>
      <w:r>
        <w:rPr>
          <w:rFonts w:ascii="Arial" w:hAnsi="Arial"/>
          <w:sz w:val="22"/>
        </w:rPr>
        <w:t>Lastly, social partners can continue discussions to agree on a scheme for arduous professions. The current right to early retirement without penalty (from three years before the state-pension date) expired from 2025, but has now been definitively extended. The early retirement exemption has been increased by € 300 per month for genuinely arduous professions. Further details will be worked out for each collective labour agreement/sector.</w:t>
      </w:r>
    </w:p>
    <w:p w14:paraId="62BCA5DD" w14:textId="77777777" w:rsidR="003A3FF2" w:rsidRDefault="004955E7" w:rsidP="004955E7">
      <w:pPr>
        <w:rPr>
          <w:rFonts w:ascii="Arial" w:hAnsi="Arial" w:cs="Arial"/>
          <w:sz w:val="22"/>
          <w:szCs w:val="22"/>
        </w:rPr>
      </w:pPr>
      <w:r>
        <w:rPr>
          <w:rFonts w:ascii="Arial" w:hAnsi="Arial"/>
          <w:sz w:val="22"/>
        </w:rPr>
        <w:lastRenderedPageBreak/>
        <w:t>It goes without saying that the whole pension transition needs to be properly documented in the form of a transition plan (in which all choices and consequences are explained) and a communication plan. These will have to be approved by both internal and external supervisory bodies. The individual right of objection laid down in Article 85 of the Pensions Act has been temporarily rendered inoperative.</w:t>
      </w:r>
    </w:p>
    <w:p w14:paraId="351301D5" w14:textId="77777777" w:rsidR="003A3FF2" w:rsidRDefault="003A3FF2" w:rsidP="004955E7">
      <w:pPr>
        <w:rPr>
          <w:rFonts w:ascii="Arial" w:hAnsi="Arial" w:cs="Arial"/>
          <w:sz w:val="22"/>
          <w:szCs w:val="22"/>
        </w:rPr>
      </w:pPr>
    </w:p>
    <w:p w14:paraId="3567CED1" w14:textId="773E5EB7" w:rsidR="004955E7" w:rsidRDefault="004955E7" w:rsidP="004955E7">
      <w:pPr>
        <w:rPr>
          <w:rFonts w:ascii="Arial" w:hAnsi="Arial" w:cs="Arial"/>
          <w:sz w:val="22"/>
          <w:szCs w:val="22"/>
        </w:rPr>
      </w:pPr>
      <w:r>
        <w:rPr>
          <w:rFonts w:ascii="Arial" w:hAnsi="Arial"/>
          <w:sz w:val="22"/>
        </w:rPr>
        <w:t>At present, an individual employee is entitled to lodge an objection in the event of a collective value transfer. To ensure that everyone switches over to the new system, it has been decided that objections will not be possible. Only in cases where the employer does not convert the scheme to the new system or makes use of the transitional regime is there no formal requirement for a transition plan. This does not alter the fact that all changes must be properly documented and discussed with the works council and employees.</w:t>
      </w:r>
    </w:p>
    <w:p w14:paraId="6A75F71F" w14:textId="77777777" w:rsidR="004955E7" w:rsidRPr="0080169D" w:rsidRDefault="004955E7" w:rsidP="004955E7">
      <w:pPr>
        <w:pStyle w:val="Normaalweb"/>
        <w:spacing w:before="0" w:beforeAutospacing="0" w:after="0" w:afterAutospacing="0"/>
        <w:rPr>
          <w:rFonts w:ascii="Arial" w:hAnsi="Arial" w:cs="Arial"/>
          <w:sz w:val="22"/>
          <w:szCs w:val="22"/>
        </w:rPr>
      </w:pPr>
    </w:p>
    <w:p w14:paraId="4A96603D" w14:textId="77777777" w:rsidR="004955E7" w:rsidRDefault="004955E7" w:rsidP="004955E7">
      <w:pPr>
        <w:shd w:val="clear" w:color="auto" w:fill="D9D9D9"/>
        <w:tabs>
          <w:tab w:val="left" w:pos="283"/>
          <w:tab w:val="left" w:pos="567"/>
          <w:tab w:val="left" w:pos="5102"/>
          <w:tab w:val="right" w:pos="6236"/>
          <w:tab w:val="left" w:pos="6520"/>
          <w:tab w:val="right" w:pos="7654"/>
          <w:tab w:val="left" w:pos="7937"/>
          <w:tab w:val="right" w:pos="9071"/>
        </w:tabs>
        <w:rPr>
          <w:rFonts w:ascii="Arial" w:hAnsi="Arial" w:cs="Arial"/>
          <w:b/>
          <w:bCs/>
          <w:sz w:val="22"/>
          <w:szCs w:val="22"/>
        </w:rPr>
      </w:pPr>
      <w:r>
        <w:rPr>
          <w:rFonts w:ascii="Arial" w:hAnsi="Arial"/>
          <w:b/>
          <w:sz w:val="22"/>
        </w:rPr>
        <w:t>Please note:</w:t>
      </w:r>
    </w:p>
    <w:p w14:paraId="2F102CF6" w14:textId="69C0E020" w:rsidR="00296F4B" w:rsidRDefault="00316549" w:rsidP="004955E7">
      <w:pPr>
        <w:shd w:val="clear" w:color="auto" w:fill="D9D9D9"/>
        <w:tabs>
          <w:tab w:val="left" w:pos="283"/>
          <w:tab w:val="left" w:pos="567"/>
          <w:tab w:val="left" w:pos="5102"/>
          <w:tab w:val="right" w:pos="6236"/>
          <w:tab w:val="left" w:pos="6520"/>
          <w:tab w:val="right" w:pos="7654"/>
          <w:tab w:val="left" w:pos="7937"/>
          <w:tab w:val="right" w:pos="9071"/>
        </w:tabs>
        <w:rPr>
          <w:rFonts w:ascii="Arial" w:hAnsi="Arial" w:cs="Arial"/>
          <w:sz w:val="22"/>
          <w:szCs w:val="22"/>
        </w:rPr>
      </w:pPr>
      <w:r>
        <w:rPr>
          <w:rFonts w:ascii="Arial" w:hAnsi="Arial"/>
          <w:sz w:val="22"/>
        </w:rPr>
        <w:t>As at 1 January 2026, more than half of pension schemes have switched over to the new system. The extension of the transition period to 1 January 2028 means that the remaining pension schemes have two years to make the switch. At the end of 2025 the various transition dates were transferred from the Future of Pensions Act to an order in council. This will allow the government to intervene more quickly if a further extension of the transition period proves necessary.</w:t>
      </w:r>
    </w:p>
    <w:p w14:paraId="7C192805" w14:textId="77777777" w:rsidR="00316549" w:rsidRPr="004419E0" w:rsidRDefault="00316549" w:rsidP="009A0986">
      <w:pPr>
        <w:rPr>
          <w:rFonts w:ascii="Arial" w:hAnsi="Arial" w:cs="Arial"/>
          <w:b/>
          <w:bCs/>
          <w:sz w:val="22"/>
          <w:szCs w:val="22"/>
        </w:rPr>
      </w:pPr>
      <w:bookmarkStart w:id="120" w:name="_Toc155866660"/>
      <w:bookmarkStart w:id="121" w:name="_Toc152927393"/>
      <w:bookmarkStart w:id="122" w:name="_Hlk169515414"/>
      <w:bookmarkEnd w:id="119"/>
    </w:p>
    <w:p w14:paraId="339786DE" w14:textId="38CBDAB2" w:rsidR="009A0986" w:rsidRPr="004419E0" w:rsidRDefault="009A0986" w:rsidP="003E234B">
      <w:pPr>
        <w:pStyle w:val="Kop2"/>
        <w:ind w:hanging="283"/>
        <w:rPr>
          <w:rFonts w:cs="Arial"/>
          <w:bCs/>
        </w:rPr>
      </w:pPr>
      <w:r>
        <w:rPr>
          <w:sz w:val="22"/>
        </w:rPr>
        <w:t>Flat-rate contribution</w:t>
      </w:r>
      <w:r>
        <w:rPr>
          <w:sz w:val="22"/>
        </w:rPr>
        <w:br/>
      </w:r>
    </w:p>
    <w:p w14:paraId="571DC72B" w14:textId="77777777" w:rsidR="009A0986" w:rsidRPr="004419E0" w:rsidRDefault="009A0986" w:rsidP="009A0986">
      <w:pPr>
        <w:rPr>
          <w:rFonts w:ascii="Arial" w:hAnsi="Arial" w:cs="Arial"/>
          <w:b/>
          <w:bCs/>
          <w:sz w:val="22"/>
          <w:szCs w:val="22"/>
        </w:rPr>
      </w:pPr>
      <w:r>
        <w:rPr>
          <w:rFonts w:ascii="Arial" w:hAnsi="Arial"/>
          <w:b/>
          <w:sz w:val="22"/>
        </w:rPr>
        <w:t>New employees</w:t>
      </w:r>
    </w:p>
    <w:p w14:paraId="777B661F" w14:textId="5B76257B" w:rsidR="009A0986" w:rsidRDefault="009A0986" w:rsidP="009A0986">
      <w:pPr>
        <w:rPr>
          <w:rFonts w:ascii="Arial" w:hAnsi="Arial" w:cs="Arial"/>
          <w:sz w:val="22"/>
          <w:szCs w:val="22"/>
        </w:rPr>
      </w:pPr>
      <w:r>
        <w:rPr>
          <w:rFonts w:ascii="Arial" w:hAnsi="Arial"/>
          <w:sz w:val="22"/>
        </w:rPr>
        <w:t xml:space="preserve">From 2028 new employees will therefore all receive the same contribution, regardless of age. They will also all have the same partner pension, which will be a fixed percentage of their salary. This contribution is allowed to differ from that of an existing employee of a similar age, as this is deemed to be objectively justified discrimination. After all, a person is either already employed at the beginning of 2028 or not yet employed. </w:t>
      </w:r>
    </w:p>
    <w:p w14:paraId="6F9AF2EE" w14:textId="77777777" w:rsidR="009A0986" w:rsidRDefault="009A0986" w:rsidP="009A0986">
      <w:pPr>
        <w:rPr>
          <w:rFonts w:ascii="Arial" w:hAnsi="Arial" w:cs="Arial"/>
          <w:sz w:val="22"/>
          <w:szCs w:val="22"/>
        </w:rPr>
      </w:pPr>
    </w:p>
    <w:p w14:paraId="2C6E9244" w14:textId="53C039B5" w:rsidR="009A0986" w:rsidRPr="00316549" w:rsidRDefault="009A0986" w:rsidP="009A0986">
      <w:pPr>
        <w:rPr>
          <w:rFonts w:ascii="Arial" w:hAnsi="Arial" w:cs="Arial"/>
          <w:sz w:val="22"/>
          <w:szCs w:val="22"/>
        </w:rPr>
      </w:pPr>
      <w:r>
        <w:rPr>
          <w:rFonts w:ascii="Arial" w:hAnsi="Arial"/>
          <w:sz w:val="22"/>
        </w:rPr>
        <w:t>Nevertheless, this may give rise to resentment, especially if a new employee receives a higher contribution than an existing employee who has worked for the company for a number of years. The same may apply in cases where an older new employee receives less than an existing employee of a similar age, even though the latter has been employed for longer.</w:t>
      </w:r>
    </w:p>
    <w:p w14:paraId="66B265D9" w14:textId="77777777" w:rsidR="009A0986" w:rsidRDefault="009A0986" w:rsidP="009A0986">
      <w:pPr>
        <w:rPr>
          <w:rFonts w:ascii="Arial" w:hAnsi="Arial" w:cs="Arial"/>
          <w:b/>
          <w:bCs/>
          <w:sz w:val="22"/>
          <w:szCs w:val="22"/>
        </w:rPr>
      </w:pPr>
    </w:p>
    <w:p w14:paraId="09F5CD3D" w14:textId="77777777" w:rsidR="00022A14" w:rsidRDefault="009A0986" w:rsidP="007B7731">
      <w:pPr>
        <w:shd w:val="clear" w:color="auto" w:fill="D9D9D9" w:themeFill="background1" w:themeFillShade="D9"/>
        <w:rPr>
          <w:rFonts w:ascii="Arial" w:hAnsi="Arial" w:cs="Arial"/>
          <w:b/>
          <w:bCs/>
          <w:sz w:val="22"/>
          <w:szCs w:val="22"/>
        </w:rPr>
      </w:pPr>
      <w:r>
        <w:rPr>
          <w:rFonts w:ascii="Arial" w:hAnsi="Arial"/>
          <w:b/>
          <w:sz w:val="22"/>
        </w:rPr>
        <w:t>Please note:</w:t>
      </w:r>
    </w:p>
    <w:p w14:paraId="10C9ECEF" w14:textId="08E10A9A" w:rsidR="009A0986" w:rsidRDefault="009A0986" w:rsidP="007B7731">
      <w:pPr>
        <w:shd w:val="clear" w:color="auto" w:fill="D9D9D9" w:themeFill="background1" w:themeFillShade="D9"/>
        <w:rPr>
          <w:rFonts w:ascii="Arial" w:hAnsi="Arial" w:cs="Arial"/>
          <w:sz w:val="22"/>
          <w:szCs w:val="22"/>
        </w:rPr>
      </w:pPr>
      <w:r>
        <w:rPr>
          <w:rFonts w:ascii="Arial" w:hAnsi="Arial"/>
          <w:sz w:val="22"/>
        </w:rPr>
        <w:t>An exception applies to employees who take advantage of the transitional regime. These are employees who currently have a rising defined contribution scale and are employed as at the end of 2027. They are even allowed to exceed the maximum contribution of 30%.</w:t>
      </w:r>
    </w:p>
    <w:p w14:paraId="2BBBA45D" w14:textId="77777777" w:rsidR="009A0986" w:rsidRPr="009A0986" w:rsidRDefault="009A0986" w:rsidP="009A0986">
      <w:pPr>
        <w:rPr>
          <w:rFonts w:ascii="Arial" w:hAnsi="Arial" w:cs="Arial"/>
          <w:b/>
          <w:bCs/>
          <w:sz w:val="22"/>
          <w:szCs w:val="22"/>
        </w:rPr>
      </w:pPr>
    </w:p>
    <w:p w14:paraId="4E60A3A5" w14:textId="71BFFE8E" w:rsidR="009A0986" w:rsidRPr="009A0986" w:rsidRDefault="009A0986" w:rsidP="009A0986">
      <w:pPr>
        <w:rPr>
          <w:rFonts w:ascii="Arial" w:hAnsi="Arial" w:cs="Arial"/>
          <w:b/>
          <w:bCs/>
          <w:sz w:val="22"/>
          <w:szCs w:val="22"/>
        </w:rPr>
      </w:pPr>
      <w:r>
        <w:rPr>
          <w:rFonts w:ascii="Arial" w:hAnsi="Arial"/>
          <w:b/>
          <w:sz w:val="22"/>
        </w:rPr>
        <w:t>What is a ‘good contribution’?</w:t>
      </w:r>
    </w:p>
    <w:p w14:paraId="6C72D08C" w14:textId="08FC1AA8" w:rsidR="009A0986" w:rsidRDefault="009A0986" w:rsidP="009A0986">
      <w:pPr>
        <w:rPr>
          <w:rFonts w:ascii="Arial" w:hAnsi="Arial" w:cs="Arial"/>
          <w:sz w:val="22"/>
          <w:szCs w:val="22"/>
        </w:rPr>
      </w:pPr>
      <w:r>
        <w:rPr>
          <w:rFonts w:ascii="Arial" w:hAnsi="Arial"/>
          <w:sz w:val="22"/>
        </w:rPr>
        <w:t>The first question that arises is what is a ‘good contribution’?. This will depend on the personal contribution made by an employee. After all, if the employer pays 15% without a personal contribution, that is ‘better’ than 18% with a personal contribution of 1/3, i.e. 6%.</w:t>
      </w:r>
    </w:p>
    <w:p w14:paraId="318B309B" w14:textId="77777777" w:rsidR="009A0986" w:rsidRPr="00316549" w:rsidRDefault="009A0986" w:rsidP="009A0986">
      <w:pPr>
        <w:rPr>
          <w:rFonts w:ascii="Arial" w:hAnsi="Arial" w:cs="Arial"/>
          <w:sz w:val="22"/>
          <w:szCs w:val="22"/>
        </w:rPr>
      </w:pPr>
    </w:p>
    <w:p w14:paraId="3B5C6438" w14:textId="77777777" w:rsidR="009A0986" w:rsidRDefault="009A0986" w:rsidP="002F233C">
      <w:pPr>
        <w:pStyle w:val="Lijstalinea"/>
        <w:numPr>
          <w:ilvl w:val="0"/>
          <w:numId w:val="36"/>
        </w:numPr>
        <w:rPr>
          <w:rFonts w:ascii="Arial" w:hAnsi="Arial" w:cs="Arial"/>
        </w:rPr>
      </w:pPr>
      <w:r>
        <w:rPr>
          <w:rFonts w:ascii="Arial" w:hAnsi="Arial"/>
        </w:rPr>
        <w:t>For pension funds the average contribution is often around 25%, but this includes the partner pension contribution, the contribution exemption in the event of incapacity for work and costs.</w:t>
      </w:r>
    </w:p>
    <w:p w14:paraId="41649717" w14:textId="77777777" w:rsidR="009A0986" w:rsidRDefault="009A0986" w:rsidP="002F233C">
      <w:pPr>
        <w:pStyle w:val="Lijstalinea"/>
        <w:numPr>
          <w:ilvl w:val="0"/>
          <w:numId w:val="36"/>
        </w:numPr>
        <w:rPr>
          <w:rFonts w:ascii="Arial" w:hAnsi="Arial" w:cs="Arial"/>
        </w:rPr>
      </w:pPr>
      <w:r>
        <w:rPr>
          <w:rFonts w:ascii="Arial" w:hAnsi="Arial"/>
        </w:rPr>
        <w:lastRenderedPageBreak/>
        <w:t xml:space="preserve">For employers who are not tied to an industry pension scheme the average contribution is around 18% to 20%, with the employer also bearing the cost of risk premiums on top of this. </w:t>
      </w:r>
    </w:p>
    <w:p w14:paraId="443D26B1" w14:textId="77777777" w:rsidR="009A0986" w:rsidRDefault="009A0986" w:rsidP="002F233C">
      <w:pPr>
        <w:pStyle w:val="Lijstalinea"/>
        <w:numPr>
          <w:ilvl w:val="0"/>
          <w:numId w:val="36"/>
        </w:numPr>
        <w:rPr>
          <w:rFonts w:ascii="Arial" w:hAnsi="Arial" w:cs="Arial"/>
        </w:rPr>
      </w:pPr>
      <w:r>
        <w:rPr>
          <w:rFonts w:ascii="Arial" w:hAnsi="Arial"/>
        </w:rPr>
        <w:t xml:space="preserve">In advisory sectors, such as consultancy, IT and accountancy, the contribution is frequently lower still, at around 10% to 12%. This is therefore a relatively low level. After all, with a contribution of 15% a net return of 4% has to be achieved to roughly end up at an average-salary pension. This does not yet </w:t>
      </w:r>
      <w:proofErr w:type="gramStart"/>
      <w:r>
        <w:rPr>
          <w:rFonts w:ascii="Arial" w:hAnsi="Arial"/>
        </w:rPr>
        <w:t>take into account</w:t>
      </w:r>
      <w:proofErr w:type="gramEnd"/>
      <w:r>
        <w:rPr>
          <w:rFonts w:ascii="Arial" w:hAnsi="Arial"/>
        </w:rPr>
        <w:t xml:space="preserve"> any adjustment for inflation.</w:t>
      </w:r>
    </w:p>
    <w:p w14:paraId="46E785D6" w14:textId="77777777" w:rsidR="00022A14" w:rsidRDefault="00022A14" w:rsidP="009A0986">
      <w:pPr>
        <w:rPr>
          <w:rFonts w:ascii="Arial" w:hAnsi="Arial" w:cs="Arial"/>
          <w:sz w:val="22"/>
          <w:szCs w:val="22"/>
        </w:rPr>
      </w:pPr>
    </w:p>
    <w:p w14:paraId="387EE4D8" w14:textId="741CADAF" w:rsidR="006009D4" w:rsidRDefault="009A0986" w:rsidP="009A0986">
      <w:pPr>
        <w:rPr>
          <w:rFonts w:ascii="Arial" w:hAnsi="Arial" w:cs="Arial"/>
          <w:sz w:val="22"/>
          <w:szCs w:val="22"/>
        </w:rPr>
      </w:pPr>
      <w:r>
        <w:rPr>
          <w:rFonts w:ascii="Arial" w:hAnsi="Arial"/>
          <w:sz w:val="22"/>
        </w:rPr>
        <w:t>The level of the pension contribution is, of course, a choice and often also involves an ‘exchange’ between salary and pension. However, a contribution of at least 15% to 18%, with a personal contribution of 1/3, is the minimum required for a reasonable pension, especially if you also want to be competitive as an employer.</w:t>
      </w:r>
    </w:p>
    <w:p w14:paraId="1247F523" w14:textId="77777777" w:rsidR="006009D4" w:rsidRPr="009A0986" w:rsidRDefault="006009D4" w:rsidP="009A0986">
      <w:pPr>
        <w:rPr>
          <w:rFonts w:ascii="Arial" w:hAnsi="Arial" w:cs="Arial"/>
          <w:sz w:val="22"/>
          <w:szCs w:val="22"/>
        </w:rPr>
      </w:pPr>
    </w:p>
    <w:p w14:paraId="1A114590" w14:textId="0B401328" w:rsidR="009A0986" w:rsidRPr="00316549" w:rsidRDefault="009A0986" w:rsidP="009A0986">
      <w:pPr>
        <w:rPr>
          <w:rFonts w:ascii="Arial" w:hAnsi="Arial" w:cs="Arial"/>
          <w:b/>
          <w:bCs/>
          <w:sz w:val="22"/>
          <w:szCs w:val="22"/>
        </w:rPr>
      </w:pPr>
      <w:r>
        <w:rPr>
          <w:rFonts w:ascii="Arial" w:hAnsi="Arial"/>
          <w:b/>
          <w:sz w:val="22"/>
        </w:rPr>
        <w:t>Can existing employees opt for the new flat-rate contribution?</w:t>
      </w:r>
    </w:p>
    <w:p w14:paraId="23A670FE" w14:textId="4EF5DF49" w:rsidR="009A0986" w:rsidRDefault="009A0986" w:rsidP="009A0986">
      <w:pPr>
        <w:rPr>
          <w:rFonts w:ascii="Arial" w:hAnsi="Arial" w:cs="Arial"/>
          <w:sz w:val="22"/>
          <w:szCs w:val="22"/>
        </w:rPr>
      </w:pPr>
      <w:r>
        <w:rPr>
          <w:rFonts w:ascii="Arial" w:hAnsi="Arial"/>
          <w:sz w:val="22"/>
        </w:rPr>
        <w:t>Formally speaking, they are not entitled to this, but it may be an option. Especially in cases where the existing scheme does not involve a personal contribution but the new one does, it may be an attractive option for both the employee and employer that allows ‘more’ pension to be accrued.</w:t>
      </w:r>
    </w:p>
    <w:p w14:paraId="0718F75C" w14:textId="77777777" w:rsidR="009A0986" w:rsidRPr="00316549" w:rsidRDefault="009A0986" w:rsidP="009A0986">
      <w:pPr>
        <w:rPr>
          <w:rFonts w:ascii="Arial" w:hAnsi="Arial" w:cs="Arial"/>
          <w:sz w:val="22"/>
          <w:szCs w:val="22"/>
        </w:rPr>
      </w:pPr>
    </w:p>
    <w:p w14:paraId="768B0028" w14:textId="17727FBA" w:rsidR="009A0986" w:rsidRDefault="009A0986" w:rsidP="009A0986">
      <w:pPr>
        <w:rPr>
          <w:rFonts w:ascii="Arial" w:hAnsi="Arial" w:cs="Arial"/>
          <w:sz w:val="22"/>
          <w:szCs w:val="22"/>
        </w:rPr>
      </w:pPr>
      <w:r>
        <w:rPr>
          <w:rFonts w:ascii="Arial" w:hAnsi="Arial"/>
          <w:sz w:val="22"/>
        </w:rPr>
        <w:t>Clearly, at some point or other, the difference in pension contributions is likely to lead to discussions in the workplace – it is with good reason that pensions are also referred to as deferred salary. The legal justification for allowing such differences is sound, but will not always be acceptable. There may be a need for harmonisation in the future, especially if mergers or acquisitions follow that result in even greater differences in pension contributions.</w:t>
      </w:r>
    </w:p>
    <w:p w14:paraId="38C1A186" w14:textId="77777777" w:rsidR="006274DE" w:rsidRPr="00371158" w:rsidRDefault="006274DE" w:rsidP="00371158">
      <w:pPr>
        <w:rPr>
          <w:rFonts w:ascii="Arial" w:hAnsi="Arial" w:cs="Arial"/>
          <w:sz w:val="22"/>
          <w:szCs w:val="22"/>
        </w:rPr>
      </w:pPr>
    </w:p>
    <w:p w14:paraId="27FA5C5D" w14:textId="122BE374" w:rsidR="006274DE" w:rsidRPr="006274DE" w:rsidRDefault="006274DE" w:rsidP="006274DE">
      <w:pPr>
        <w:pStyle w:val="Kop2"/>
        <w:ind w:hanging="283"/>
      </w:pPr>
      <w:r>
        <w:t>The partner pension under the Wtp</w:t>
      </w:r>
    </w:p>
    <w:p w14:paraId="4AB618C7" w14:textId="77777777" w:rsidR="006274DE" w:rsidRPr="006274DE" w:rsidRDefault="006274DE" w:rsidP="006274DE">
      <w:pPr>
        <w:rPr>
          <w:rFonts w:ascii="Arial" w:hAnsi="Arial" w:cs="Arial"/>
          <w:sz w:val="22"/>
          <w:szCs w:val="22"/>
        </w:rPr>
      </w:pPr>
    </w:p>
    <w:p w14:paraId="46E15E96" w14:textId="77777777" w:rsidR="006274DE" w:rsidRPr="006274DE" w:rsidRDefault="006274DE" w:rsidP="006274DE">
      <w:pPr>
        <w:rPr>
          <w:rFonts w:ascii="Arial" w:hAnsi="Arial" w:cs="Arial"/>
          <w:sz w:val="22"/>
          <w:szCs w:val="22"/>
        </w:rPr>
      </w:pPr>
      <w:r>
        <w:rPr>
          <w:rFonts w:ascii="Arial" w:hAnsi="Arial"/>
          <w:sz w:val="22"/>
        </w:rPr>
        <w:t>One of the principles on which the Wtp is based is ensuring that all workers benefit from an adequate pension. This also includes the partner pension, which has been simplified under the Wtp.</w:t>
      </w:r>
    </w:p>
    <w:p w14:paraId="4EF68798" w14:textId="77777777" w:rsidR="006274DE" w:rsidRPr="006274DE" w:rsidRDefault="006274DE" w:rsidP="006274DE">
      <w:pPr>
        <w:rPr>
          <w:rFonts w:ascii="Arial" w:hAnsi="Arial" w:cs="Arial"/>
          <w:sz w:val="22"/>
          <w:szCs w:val="22"/>
        </w:rPr>
      </w:pPr>
    </w:p>
    <w:p w14:paraId="62BCA9A9" w14:textId="77777777" w:rsidR="006274DE" w:rsidRPr="00290A32" w:rsidRDefault="006274DE" w:rsidP="006274DE">
      <w:pPr>
        <w:rPr>
          <w:rFonts w:ascii="Arial" w:hAnsi="Arial" w:cs="Arial"/>
          <w:b/>
          <w:bCs/>
          <w:sz w:val="22"/>
          <w:szCs w:val="22"/>
        </w:rPr>
      </w:pPr>
      <w:r>
        <w:rPr>
          <w:rFonts w:ascii="Arial" w:hAnsi="Arial"/>
          <w:b/>
          <w:sz w:val="22"/>
        </w:rPr>
        <w:t>Who receives a partner pension?</w:t>
      </w:r>
    </w:p>
    <w:p w14:paraId="7AC59142" w14:textId="77777777" w:rsidR="006274DE" w:rsidRPr="006274DE" w:rsidRDefault="006274DE" w:rsidP="006274DE">
      <w:pPr>
        <w:rPr>
          <w:rFonts w:ascii="Arial" w:hAnsi="Arial" w:cs="Arial"/>
          <w:sz w:val="22"/>
          <w:szCs w:val="22"/>
        </w:rPr>
      </w:pPr>
      <w:r>
        <w:rPr>
          <w:rFonts w:ascii="Arial" w:hAnsi="Arial"/>
          <w:sz w:val="22"/>
        </w:rPr>
        <w:t xml:space="preserve">Under the Wtp, anyone who has a partner is entitled to a partner pension. This therefore applies not only to married couples and registered partners, but also to cohabiting partners. In the case of this last group, it is not necessary to have entered into a cohabitation contract; after death a cohabitation certificate can be used to demonstrate the surviving partner’s status. </w:t>
      </w:r>
    </w:p>
    <w:p w14:paraId="08627B27" w14:textId="77777777" w:rsidR="006274DE" w:rsidRPr="006274DE" w:rsidRDefault="006274DE" w:rsidP="006274DE">
      <w:pPr>
        <w:rPr>
          <w:rFonts w:ascii="Arial" w:hAnsi="Arial" w:cs="Arial"/>
          <w:sz w:val="22"/>
          <w:szCs w:val="22"/>
        </w:rPr>
      </w:pPr>
    </w:p>
    <w:p w14:paraId="451B497B" w14:textId="77777777" w:rsidR="006274DE" w:rsidRPr="006274DE" w:rsidRDefault="006274DE" w:rsidP="006274DE">
      <w:pPr>
        <w:rPr>
          <w:rFonts w:ascii="Arial" w:hAnsi="Arial" w:cs="Arial"/>
          <w:sz w:val="22"/>
          <w:szCs w:val="22"/>
        </w:rPr>
      </w:pPr>
      <w:r>
        <w:rPr>
          <w:rFonts w:ascii="Arial" w:hAnsi="Arial"/>
          <w:sz w:val="22"/>
        </w:rPr>
        <w:t>In practice, this means that a partner pension is insured for everyone, based on a ‘marriage/cohabitation frequency’. This is easier than constantly keeping track of who has, does not have or no longer has a partner. An employee therefore also qualifies for a partner pension from the age of 18.</w:t>
      </w:r>
    </w:p>
    <w:p w14:paraId="42DEC402" w14:textId="77777777" w:rsidR="006274DE" w:rsidRPr="006274DE" w:rsidRDefault="006274DE" w:rsidP="006274DE">
      <w:pPr>
        <w:rPr>
          <w:rFonts w:ascii="Arial" w:hAnsi="Arial" w:cs="Arial"/>
          <w:sz w:val="22"/>
          <w:szCs w:val="22"/>
        </w:rPr>
      </w:pPr>
    </w:p>
    <w:p w14:paraId="22310361" w14:textId="77777777" w:rsidR="006274DE" w:rsidRDefault="006274DE" w:rsidP="006274DE">
      <w:pPr>
        <w:shd w:val="clear" w:color="auto" w:fill="D9D9D9" w:themeFill="background1" w:themeFillShade="D9"/>
        <w:rPr>
          <w:rFonts w:ascii="Arial" w:hAnsi="Arial" w:cs="Arial"/>
          <w:b/>
          <w:bCs/>
          <w:sz w:val="22"/>
          <w:szCs w:val="22"/>
        </w:rPr>
      </w:pPr>
      <w:r>
        <w:rPr>
          <w:rFonts w:ascii="Arial" w:hAnsi="Arial"/>
          <w:b/>
          <w:sz w:val="22"/>
        </w:rPr>
        <w:t>Please note:</w:t>
      </w:r>
    </w:p>
    <w:p w14:paraId="47CB8552" w14:textId="65C6705B" w:rsidR="006274DE" w:rsidRDefault="006274DE" w:rsidP="006274DE">
      <w:pPr>
        <w:shd w:val="clear" w:color="auto" w:fill="D9D9D9" w:themeFill="background1" w:themeFillShade="D9"/>
        <w:rPr>
          <w:rFonts w:ascii="Arial" w:hAnsi="Arial" w:cs="Arial"/>
          <w:sz w:val="22"/>
          <w:szCs w:val="22"/>
        </w:rPr>
      </w:pPr>
      <w:r>
        <w:rPr>
          <w:rFonts w:ascii="Arial" w:hAnsi="Arial"/>
          <w:sz w:val="22"/>
        </w:rPr>
        <w:t>There is no obligation to offer a partner pension.</w:t>
      </w:r>
    </w:p>
    <w:p w14:paraId="148B50F9" w14:textId="77777777" w:rsidR="006274DE" w:rsidRPr="006274DE" w:rsidRDefault="006274DE" w:rsidP="006274DE">
      <w:pPr>
        <w:rPr>
          <w:rFonts w:ascii="Arial" w:hAnsi="Arial" w:cs="Arial"/>
          <w:sz w:val="22"/>
          <w:szCs w:val="22"/>
        </w:rPr>
      </w:pPr>
    </w:p>
    <w:p w14:paraId="3FAE259E" w14:textId="77777777" w:rsidR="006274DE" w:rsidRPr="00290A32" w:rsidRDefault="006274DE" w:rsidP="006274DE">
      <w:pPr>
        <w:rPr>
          <w:rFonts w:ascii="Arial" w:hAnsi="Arial" w:cs="Arial"/>
          <w:b/>
          <w:bCs/>
          <w:sz w:val="22"/>
          <w:szCs w:val="22"/>
        </w:rPr>
      </w:pPr>
      <w:r>
        <w:rPr>
          <w:rFonts w:ascii="Arial" w:hAnsi="Arial"/>
          <w:b/>
          <w:sz w:val="22"/>
        </w:rPr>
        <w:t>What is the permitted level of the partner pension?</w:t>
      </w:r>
    </w:p>
    <w:p w14:paraId="16E5EAFA" w14:textId="77777777" w:rsidR="006274DE" w:rsidRPr="006274DE" w:rsidRDefault="006274DE" w:rsidP="006274DE">
      <w:pPr>
        <w:rPr>
          <w:rFonts w:ascii="Arial" w:hAnsi="Arial" w:cs="Arial"/>
          <w:sz w:val="22"/>
          <w:szCs w:val="22"/>
        </w:rPr>
      </w:pPr>
      <w:r>
        <w:rPr>
          <w:rFonts w:ascii="Arial" w:hAnsi="Arial"/>
          <w:sz w:val="22"/>
        </w:rPr>
        <w:t xml:space="preserve">The partner pension can be a maximum of 50% of the employee’s salary. A level of 25% to 35% is customary in practice. If an (older) employee still has an entitlement to an already </w:t>
      </w:r>
      <w:r>
        <w:rPr>
          <w:rFonts w:ascii="Arial" w:hAnsi="Arial"/>
          <w:sz w:val="22"/>
        </w:rPr>
        <w:lastRenderedPageBreak/>
        <w:t xml:space="preserve">accrued partner pension – whether or not this is from a previous employer and is no longer being paid into – this is in addition to the new partner pension. Even if you make use of the transitional regime after 2028 for existing employees with a (rising) defined contribution scale, the partner pension has to comply with the Wtp for everyone. It must be ensured that the new partner pension is comparable with the old one. An employee can choose to supplement it on a personal basis if necessary. </w:t>
      </w:r>
    </w:p>
    <w:p w14:paraId="0D7444BA" w14:textId="77777777" w:rsidR="006274DE" w:rsidRPr="006274DE" w:rsidRDefault="006274DE" w:rsidP="006274DE">
      <w:pPr>
        <w:rPr>
          <w:rFonts w:ascii="Arial" w:hAnsi="Arial" w:cs="Arial"/>
          <w:sz w:val="22"/>
          <w:szCs w:val="22"/>
        </w:rPr>
      </w:pPr>
    </w:p>
    <w:p w14:paraId="407D471F" w14:textId="77777777" w:rsidR="006274DE" w:rsidRPr="00290A32" w:rsidRDefault="006274DE" w:rsidP="006274DE">
      <w:pPr>
        <w:rPr>
          <w:rFonts w:ascii="Arial" w:hAnsi="Arial" w:cs="Arial"/>
          <w:b/>
          <w:bCs/>
          <w:sz w:val="22"/>
          <w:szCs w:val="22"/>
        </w:rPr>
      </w:pPr>
      <w:r>
        <w:rPr>
          <w:rFonts w:ascii="Arial" w:hAnsi="Arial"/>
          <w:b/>
          <w:sz w:val="22"/>
        </w:rPr>
        <w:t xml:space="preserve">How is it insured? </w:t>
      </w:r>
    </w:p>
    <w:p w14:paraId="211E48E7" w14:textId="77777777" w:rsidR="006274DE" w:rsidRPr="006274DE" w:rsidRDefault="006274DE" w:rsidP="006274DE">
      <w:pPr>
        <w:rPr>
          <w:rFonts w:ascii="Arial" w:hAnsi="Arial" w:cs="Arial"/>
          <w:sz w:val="22"/>
          <w:szCs w:val="22"/>
        </w:rPr>
      </w:pPr>
      <w:r>
        <w:rPr>
          <w:rFonts w:ascii="Arial" w:hAnsi="Arial"/>
          <w:sz w:val="22"/>
        </w:rPr>
        <w:t xml:space="preserve">All partner pensions are insured until the employee retires. The insurance cover lapses if the employee leaves the company; this therefore also applies to persons who become self-employed. However, the insurance is automatically maintained for persons who are ‘in-between jobs’ (period when they are receiving unemployment benefit) and can often be continued voluntarily afterwards. In this case the partner pension is funded from the person’s old-age-pension savings pot. On the pension start date the individual has to choose again whether to ‘purchase’ a partner pension and, if so, how much. </w:t>
      </w:r>
    </w:p>
    <w:p w14:paraId="21DF9B30" w14:textId="77777777" w:rsidR="006274DE" w:rsidRPr="006274DE" w:rsidRDefault="006274DE" w:rsidP="006274DE">
      <w:pPr>
        <w:rPr>
          <w:rFonts w:ascii="Arial" w:hAnsi="Arial" w:cs="Arial"/>
          <w:sz w:val="22"/>
          <w:szCs w:val="22"/>
        </w:rPr>
      </w:pPr>
    </w:p>
    <w:p w14:paraId="1A514F0A" w14:textId="77777777" w:rsidR="006274DE" w:rsidRPr="00290A32" w:rsidRDefault="006274DE" w:rsidP="006274DE">
      <w:pPr>
        <w:rPr>
          <w:rFonts w:ascii="Arial" w:hAnsi="Arial" w:cs="Arial"/>
          <w:b/>
          <w:bCs/>
          <w:sz w:val="22"/>
          <w:szCs w:val="22"/>
        </w:rPr>
      </w:pPr>
      <w:r>
        <w:rPr>
          <w:rFonts w:ascii="Arial" w:hAnsi="Arial"/>
          <w:b/>
          <w:sz w:val="22"/>
        </w:rPr>
        <w:t>Orphan pension</w:t>
      </w:r>
    </w:p>
    <w:p w14:paraId="3C51FADD" w14:textId="77777777" w:rsidR="006274DE" w:rsidRPr="006274DE" w:rsidRDefault="006274DE" w:rsidP="006274DE">
      <w:pPr>
        <w:rPr>
          <w:rFonts w:ascii="Arial" w:hAnsi="Arial" w:cs="Arial"/>
          <w:sz w:val="22"/>
          <w:szCs w:val="22"/>
        </w:rPr>
      </w:pPr>
      <w:r>
        <w:rPr>
          <w:rFonts w:ascii="Arial" w:hAnsi="Arial"/>
          <w:sz w:val="22"/>
        </w:rPr>
        <w:t xml:space="preserve">Lastly, under the Wtp, an orphan pension – if one is offered – must apply up to the age of 25. Another age limit is no longer permitted. Currently, such a pension can be paid out up to the age of 18 (or a maximum of 30). The orphan pension will amount to a maximum of 10% of the employee’s salary for a half-orphan and 20% for a full orphan. This is also insured up to the point when the employee retires. </w:t>
      </w:r>
    </w:p>
    <w:p w14:paraId="3011CE06" w14:textId="77777777" w:rsidR="006274DE" w:rsidRPr="006274DE" w:rsidRDefault="006274DE" w:rsidP="006274DE">
      <w:pPr>
        <w:rPr>
          <w:rFonts w:ascii="Arial" w:hAnsi="Arial" w:cs="Arial"/>
          <w:sz w:val="22"/>
          <w:szCs w:val="22"/>
        </w:rPr>
      </w:pPr>
    </w:p>
    <w:p w14:paraId="151139C2" w14:textId="77777777" w:rsidR="006274DE" w:rsidRDefault="006274DE" w:rsidP="006274DE">
      <w:pPr>
        <w:shd w:val="clear" w:color="auto" w:fill="D9D9D9" w:themeFill="background1" w:themeFillShade="D9"/>
        <w:rPr>
          <w:rFonts w:ascii="Arial" w:hAnsi="Arial" w:cs="Arial"/>
          <w:b/>
          <w:bCs/>
          <w:sz w:val="22"/>
          <w:szCs w:val="22"/>
        </w:rPr>
      </w:pPr>
      <w:r>
        <w:rPr>
          <w:rFonts w:ascii="Arial" w:hAnsi="Arial"/>
          <w:b/>
          <w:sz w:val="22"/>
        </w:rPr>
        <w:t>Please note:</w:t>
      </w:r>
    </w:p>
    <w:p w14:paraId="470A5D39" w14:textId="73A7412D" w:rsidR="006274DE" w:rsidRDefault="006274DE" w:rsidP="006274DE">
      <w:pPr>
        <w:shd w:val="clear" w:color="auto" w:fill="D9D9D9" w:themeFill="background1" w:themeFillShade="D9"/>
        <w:rPr>
          <w:rFonts w:ascii="Arial" w:hAnsi="Arial" w:cs="Arial"/>
          <w:b/>
          <w:bCs/>
          <w:sz w:val="22"/>
          <w:szCs w:val="22"/>
        </w:rPr>
      </w:pPr>
      <w:r>
        <w:rPr>
          <w:rFonts w:ascii="Arial" w:hAnsi="Arial"/>
          <w:sz w:val="22"/>
        </w:rPr>
        <w:t>The new partner pension is not complicated, but it is important that it is organised properly and communicated clearly.</w:t>
      </w:r>
    </w:p>
    <w:p w14:paraId="422C00D4" w14:textId="77777777" w:rsidR="009A0986" w:rsidRPr="009A0986" w:rsidRDefault="009A0986" w:rsidP="009A0986">
      <w:pPr>
        <w:rPr>
          <w:rFonts w:ascii="Arial" w:hAnsi="Arial" w:cs="Arial"/>
          <w:sz w:val="22"/>
          <w:szCs w:val="22"/>
        </w:rPr>
      </w:pPr>
    </w:p>
    <w:p w14:paraId="37E13E31" w14:textId="08CF7974" w:rsidR="009A0986" w:rsidRPr="004A21F9" w:rsidRDefault="009A0986" w:rsidP="003E234B">
      <w:pPr>
        <w:pStyle w:val="Kop2"/>
        <w:ind w:hanging="283"/>
      </w:pPr>
      <w:r>
        <w:rPr>
          <w:sz w:val="22"/>
        </w:rPr>
        <w:t>Compensation if pension is lower due to Wtp</w:t>
      </w:r>
    </w:p>
    <w:p w14:paraId="2B3E53E3" w14:textId="77777777" w:rsidR="004419E0" w:rsidRDefault="004419E0" w:rsidP="00D5303E">
      <w:pPr>
        <w:rPr>
          <w:rFonts w:ascii="Arial" w:hAnsi="Arial" w:cs="Arial"/>
          <w:sz w:val="22"/>
          <w:szCs w:val="22"/>
        </w:rPr>
      </w:pPr>
    </w:p>
    <w:p w14:paraId="5AA93F8C" w14:textId="3A320032" w:rsidR="009A0986" w:rsidRDefault="009A0986" w:rsidP="00D5303E">
      <w:pPr>
        <w:rPr>
          <w:rFonts w:ascii="Arial" w:hAnsi="Arial" w:cs="Arial"/>
          <w:sz w:val="22"/>
          <w:szCs w:val="22"/>
        </w:rPr>
      </w:pPr>
      <w:r>
        <w:rPr>
          <w:rFonts w:ascii="Arial" w:hAnsi="Arial"/>
          <w:sz w:val="22"/>
        </w:rPr>
        <w:t>As, from 2028, the pension accrued may be lower than it would have been under the existing scheme, ‘appropriate compensation’ should be provided in such cases.</w:t>
      </w:r>
    </w:p>
    <w:p w14:paraId="3588951A" w14:textId="77777777" w:rsidR="00D5303E" w:rsidRPr="009A0986" w:rsidRDefault="00D5303E" w:rsidP="004A21F9">
      <w:pPr>
        <w:rPr>
          <w:rFonts w:ascii="Arial" w:hAnsi="Arial" w:cs="Arial"/>
          <w:sz w:val="22"/>
          <w:szCs w:val="22"/>
        </w:rPr>
      </w:pPr>
    </w:p>
    <w:p w14:paraId="29F7B71A" w14:textId="2138340F" w:rsidR="009A0986" w:rsidRPr="009A0986" w:rsidRDefault="009A0986" w:rsidP="009A0986">
      <w:pPr>
        <w:rPr>
          <w:rFonts w:ascii="Arial" w:hAnsi="Arial" w:cs="Arial"/>
          <w:sz w:val="22"/>
          <w:szCs w:val="22"/>
        </w:rPr>
      </w:pPr>
      <w:r>
        <w:rPr>
          <w:rFonts w:ascii="Arial" w:hAnsi="Arial"/>
          <w:sz w:val="22"/>
        </w:rPr>
        <w:t>This is intended to make up for the lower level of pension accrued in the future. This mainly applies to industry pension funds, as they work with an average contribution. In such cases everyone pays the same, but as younger people have a longer investment horizon, they are actually subsidising older employees. The tipping point is at around 45 years of age.</w:t>
      </w:r>
    </w:p>
    <w:p w14:paraId="5A7DAE91" w14:textId="77777777" w:rsidR="00D5303E" w:rsidRDefault="00D5303E" w:rsidP="00D5303E">
      <w:pPr>
        <w:rPr>
          <w:rFonts w:ascii="Arial" w:hAnsi="Arial" w:cs="Arial"/>
          <w:sz w:val="22"/>
          <w:szCs w:val="22"/>
        </w:rPr>
      </w:pPr>
    </w:p>
    <w:p w14:paraId="474CA04B" w14:textId="7C8425AD" w:rsidR="009A0986" w:rsidRDefault="009A0986" w:rsidP="009A0986">
      <w:pPr>
        <w:rPr>
          <w:rFonts w:ascii="Arial" w:hAnsi="Arial" w:cs="Arial"/>
          <w:sz w:val="22"/>
          <w:szCs w:val="22"/>
        </w:rPr>
      </w:pPr>
      <w:r>
        <w:rPr>
          <w:rFonts w:ascii="Arial" w:hAnsi="Arial"/>
          <w:sz w:val="22"/>
        </w:rPr>
        <w:t>People over 45 therefore need to be compensated on transition to the Wtp scheme. Such compensation will often be paid out of the pension-fund buffer. It will be paid – to active employees only – when the fund switches to the new scheme.</w:t>
      </w:r>
    </w:p>
    <w:p w14:paraId="5D672CC8" w14:textId="77777777" w:rsidR="00D5303E" w:rsidRPr="009A0986" w:rsidRDefault="00D5303E" w:rsidP="009A0986">
      <w:pPr>
        <w:rPr>
          <w:rFonts w:ascii="Arial" w:hAnsi="Arial" w:cs="Arial"/>
          <w:sz w:val="22"/>
          <w:szCs w:val="22"/>
        </w:rPr>
      </w:pPr>
    </w:p>
    <w:p w14:paraId="08A34C0F" w14:textId="77777777" w:rsidR="00D5303E" w:rsidRDefault="009A0986" w:rsidP="007B7731">
      <w:pPr>
        <w:shd w:val="clear" w:color="auto" w:fill="D9D9D9" w:themeFill="background1" w:themeFillShade="D9"/>
        <w:rPr>
          <w:rFonts w:ascii="Arial" w:hAnsi="Arial" w:cs="Arial"/>
          <w:b/>
          <w:bCs/>
          <w:sz w:val="22"/>
          <w:szCs w:val="22"/>
        </w:rPr>
      </w:pPr>
      <w:r>
        <w:rPr>
          <w:rFonts w:ascii="Arial" w:hAnsi="Arial"/>
          <w:b/>
          <w:sz w:val="22"/>
        </w:rPr>
        <w:t>Please note:</w:t>
      </w:r>
    </w:p>
    <w:p w14:paraId="61AE2879" w14:textId="406BF503" w:rsidR="009A0986" w:rsidRPr="009A0986" w:rsidRDefault="009A0986" w:rsidP="007B7731">
      <w:pPr>
        <w:shd w:val="clear" w:color="auto" w:fill="D9D9D9" w:themeFill="background1" w:themeFillShade="D9"/>
        <w:rPr>
          <w:rFonts w:ascii="Arial" w:hAnsi="Arial" w:cs="Arial"/>
          <w:sz w:val="22"/>
          <w:szCs w:val="22"/>
        </w:rPr>
      </w:pPr>
      <w:r>
        <w:rPr>
          <w:rFonts w:ascii="Arial" w:hAnsi="Arial"/>
          <w:sz w:val="22"/>
        </w:rPr>
        <w:t xml:space="preserve">Individuals who are no longer actively paying into a pension (so-called </w:t>
      </w:r>
      <w:r>
        <w:rPr>
          <w:rFonts w:ascii="Arial" w:hAnsi="Arial"/>
          <w:i/>
          <w:iCs/>
          <w:sz w:val="22"/>
        </w:rPr>
        <w:t xml:space="preserve">slapers </w:t>
      </w:r>
      <w:r>
        <w:rPr>
          <w:rFonts w:ascii="Arial" w:hAnsi="Arial"/>
          <w:sz w:val="22"/>
        </w:rPr>
        <w:t>(sleepers)) will therefore not be compensated. After all, they are no longer accruing a pension, which means they will not be disadvantaged by the transition to the Wtp scheme.</w:t>
      </w:r>
    </w:p>
    <w:p w14:paraId="715391E1" w14:textId="6A1FBB83" w:rsidR="009A0986" w:rsidRPr="009A0986" w:rsidRDefault="009A0986" w:rsidP="004A21F9">
      <w:pPr>
        <w:rPr>
          <w:rFonts w:ascii="Arial" w:hAnsi="Arial" w:cs="Arial"/>
          <w:sz w:val="22"/>
          <w:szCs w:val="22"/>
        </w:rPr>
      </w:pPr>
    </w:p>
    <w:p w14:paraId="2E106278" w14:textId="77777777" w:rsidR="009A0986" w:rsidRDefault="009A0986" w:rsidP="009A0986">
      <w:pPr>
        <w:rPr>
          <w:rFonts w:ascii="Arial" w:hAnsi="Arial" w:cs="Arial"/>
          <w:sz w:val="22"/>
          <w:szCs w:val="22"/>
        </w:rPr>
      </w:pPr>
      <w:r>
        <w:rPr>
          <w:rFonts w:ascii="Arial" w:hAnsi="Arial"/>
          <w:sz w:val="22"/>
        </w:rPr>
        <w:t>Employers who are not tied to an industry pension scheme will also have to compensate employees on switching to the Wtp scheme. If, however, they retain the current defined contribution scale for existing employees, there will naturally be no disadvantage and no compensation will need to be paid. New employees who join the company after 2028 will receive the new flat rate and will also not have to be compensated.</w:t>
      </w:r>
    </w:p>
    <w:p w14:paraId="6FEF0738" w14:textId="77777777" w:rsidR="00D5303E" w:rsidRPr="009A0986" w:rsidRDefault="00D5303E" w:rsidP="009A0986">
      <w:pPr>
        <w:rPr>
          <w:rFonts w:ascii="Arial" w:hAnsi="Arial" w:cs="Arial"/>
          <w:sz w:val="22"/>
          <w:szCs w:val="22"/>
        </w:rPr>
      </w:pPr>
    </w:p>
    <w:p w14:paraId="68FAD472" w14:textId="58117948" w:rsidR="009A0986" w:rsidRPr="00D5303E" w:rsidRDefault="009A0986" w:rsidP="00D5303E">
      <w:pPr>
        <w:rPr>
          <w:rFonts w:ascii="Arial" w:hAnsi="Arial" w:cs="Arial"/>
          <w:sz w:val="22"/>
          <w:szCs w:val="22"/>
        </w:rPr>
      </w:pPr>
      <w:r>
        <w:rPr>
          <w:rFonts w:ascii="Arial" w:hAnsi="Arial"/>
          <w:sz w:val="22"/>
        </w:rPr>
        <w:t>The compensation can be paid in three ways:</w:t>
      </w:r>
    </w:p>
    <w:p w14:paraId="79B4F965" w14:textId="77777777" w:rsidR="009A0986" w:rsidRPr="009A0986" w:rsidRDefault="009A0986" w:rsidP="002F233C">
      <w:pPr>
        <w:numPr>
          <w:ilvl w:val="0"/>
          <w:numId w:val="37"/>
        </w:numPr>
        <w:tabs>
          <w:tab w:val="num" w:pos="720"/>
        </w:tabs>
        <w:rPr>
          <w:rFonts w:ascii="Arial" w:hAnsi="Arial" w:cs="Arial"/>
          <w:sz w:val="22"/>
          <w:szCs w:val="22"/>
        </w:rPr>
      </w:pPr>
      <w:r>
        <w:rPr>
          <w:rFonts w:ascii="Arial" w:hAnsi="Arial"/>
          <w:sz w:val="22"/>
        </w:rPr>
        <w:t>In the form of extra pension for a maximum period of ten years;</w:t>
      </w:r>
    </w:p>
    <w:p w14:paraId="2ED08BAF" w14:textId="77777777" w:rsidR="009A0986" w:rsidRPr="009A0986" w:rsidRDefault="009A0986" w:rsidP="002F233C">
      <w:pPr>
        <w:numPr>
          <w:ilvl w:val="0"/>
          <w:numId w:val="37"/>
        </w:numPr>
        <w:tabs>
          <w:tab w:val="num" w:pos="720"/>
        </w:tabs>
        <w:rPr>
          <w:rFonts w:ascii="Arial" w:hAnsi="Arial" w:cs="Arial"/>
          <w:sz w:val="22"/>
          <w:szCs w:val="22"/>
        </w:rPr>
      </w:pPr>
      <w:r>
        <w:rPr>
          <w:rFonts w:ascii="Arial" w:hAnsi="Arial"/>
          <w:sz w:val="22"/>
        </w:rPr>
        <w:t>3% on top of the maximum 30% contribution;</w:t>
      </w:r>
    </w:p>
    <w:p w14:paraId="118B72F2" w14:textId="77777777" w:rsidR="009A0986" w:rsidRPr="009A0986" w:rsidRDefault="009A0986" w:rsidP="002F233C">
      <w:pPr>
        <w:numPr>
          <w:ilvl w:val="0"/>
          <w:numId w:val="37"/>
        </w:numPr>
        <w:tabs>
          <w:tab w:val="num" w:pos="720"/>
        </w:tabs>
        <w:rPr>
          <w:rFonts w:ascii="Arial" w:hAnsi="Arial" w:cs="Arial"/>
          <w:sz w:val="22"/>
          <w:szCs w:val="22"/>
        </w:rPr>
      </w:pPr>
      <w:r>
        <w:rPr>
          <w:rFonts w:ascii="Arial" w:hAnsi="Arial"/>
          <w:sz w:val="22"/>
        </w:rPr>
        <w:t>In the form of extra salary. </w:t>
      </w:r>
    </w:p>
    <w:p w14:paraId="65D788A3" w14:textId="77777777" w:rsidR="00D5303E" w:rsidRDefault="00D5303E" w:rsidP="009A0986">
      <w:pPr>
        <w:rPr>
          <w:rFonts w:ascii="Arial" w:hAnsi="Arial" w:cs="Arial"/>
          <w:sz w:val="22"/>
          <w:szCs w:val="22"/>
        </w:rPr>
      </w:pPr>
    </w:p>
    <w:p w14:paraId="2DC5747F" w14:textId="494E8F2D" w:rsidR="009A0986" w:rsidRDefault="009A0986" w:rsidP="009A0986">
      <w:pPr>
        <w:rPr>
          <w:rFonts w:ascii="Arial" w:hAnsi="Arial" w:cs="Arial"/>
          <w:sz w:val="22"/>
          <w:szCs w:val="22"/>
        </w:rPr>
      </w:pPr>
      <w:r>
        <w:rPr>
          <w:rFonts w:ascii="Arial" w:hAnsi="Arial"/>
          <w:sz w:val="22"/>
        </w:rPr>
        <w:t>If the compensation takes the form of pension, new employees must also receive it. In some situations the compensation may consist of a portion from the fund at the time of switching to the new scheme and a portion paid by the employer in the future.</w:t>
      </w:r>
    </w:p>
    <w:p w14:paraId="62CBC850" w14:textId="77777777" w:rsidR="00D5303E" w:rsidRPr="009A0986" w:rsidRDefault="00D5303E" w:rsidP="009A0986">
      <w:pPr>
        <w:rPr>
          <w:rFonts w:ascii="Arial" w:hAnsi="Arial" w:cs="Arial"/>
          <w:sz w:val="22"/>
          <w:szCs w:val="22"/>
        </w:rPr>
      </w:pPr>
    </w:p>
    <w:p w14:paraId="74745281" w14:textId="7B876147" w:rsidR="009A0986" w:rsidRPr="00D5303E" w:rsidRDefault="009A0986" w:rsidP="00D5303E">
      <w:pPr>
        <w:rPr>
          <w:rFonts w:ascii="Arial" w:hAnsi="Arial" w:cs="Arial"/>
          <w:sz w:val="22"/>
          <w:szCs w:val="22"/>
        </w:rPr>
      </w:pPr>
      <w:r>
        <w:rPr>
          <w:rFonts w:ascii="Arial" w:hAnsi="Arial"/>
          <w:sz w:val="22"/>
        </w:rPr>
        <w:t>A particularly important point is therefore whether the employee is in employment at the time the compensation is paid. If an employee is made redundant or resigns, or in the event of a reorganisation, careful consideration should be given to the compensation itself and the time when it is paid. If an employee leaves the company on 1 December and the fund switches over to the new scheme on 1 January of the following year, he/she receives nothing. If, however, the employee is not made redundant or does not resign until 1 February, compensation is paid. </w:t>
      </w:r>
    </w:p>
    <w:p w14:paraId="464B6E57" w14:textId="77777777" w:rsidR="00D5303E" w:rsidRDefault="00D5303E" w:rsidP="009A0986">
      <w:pPr>
        <w:rPr>
          <w:rFonts w:ascii="Arial" w:hAnsi="Arial" w:cs="Arial"/>
          <w:b/>
          <w:bCs/>
          <w:sz w:val="22"/>
          <w:szCs w:val="22"/>
        </w:rPr>
      </w:pPr>
    </w:p>
    <w:p w14:paraId="387ABC59" w14:textId="77777777" w:rsidR="00D5303E" w:rsidRDefault="009A0986" w:rsidP="007B7731">
      <w:pPr>
        <w:shd w:val="clear" w:color="auto" w:fill="D9D9D9" w:themeFill="background1" w:themeFillShade="D9"/>
        <w:rPr>
          <w:rFonts w:ascii="Arial" w:hAnsi="Arial" w:cs="Arial"/>
          <w:b/>
          <w:bCs/>
          <w:sz w:val="22"/>
          <w:szCs w:val="22"/>
        </w:rPr>
      </w:pPr>
      <w:r>
        <w:rPr>
          <w:rFonts w:ascii="Arial" w:hAnsi="Arial"/>
          <w:b/>
          <w:sz w:val="22"/>
        </w:rPr>
        <w:t>Please note:</w:t>
      </w:r>
    </w:p>
    <w:p w14:paraId="2D8E2643" w14:textId="303D3DDB" w:rsidR="009A0986" w:rsidRPr="009A0986" w:rsidRDefault="009A0986" w:rsidP="007B7731">
      <w:pPr>
        <w:shd w:val="clear" w:color="auto" w:fill="D9D9D9" w:themeFill="background1" w:themeFillShade="D9"/>
        <w:rPr>
          <w:rFonts w:ascii="Arial" w:hAnsi="Arial" w:cs="Arial"/>
          <w:sz w:val="22"/>
          <w:szCs w:val="22"/>
        </w:rPr>
      </w:pPr>
      <w:r>
        <w:rPr>
          <w:rFonts w:ascii="Arial" w:hAnsi="Arial"/>
          <w:sz w:val="22"/>
        </w:rPr>
        <w:t>If you work with freelancers, it is also important to know whether or not their situation could be regarded as bogus self-employment.</w:t>
      </w:r>
    </w:p>
    <w:p w14:paraId="1FA12EC1" w14:textId="77777777" w:rsidR="00D5303E" w:rsidRDefault="00D5303E" w:rsidP="009A0986">
      <w:pPr>
        <w:rPr>
          <w:rFonts w:ascii="Arial" w:hAnsi="Arial" w:cs="Arial"/>
          <w:sz w:val="22"/>
          <w:szCs w:val="22"/>
        </w:rPr>
      </w:pPr>
    </w:p>
    <w:p w14:paraId="415E9482" w14:textId="0E1D931B" w:rsidR="009A0986" w:rsidRPr="009A0986" w:rsidRDefault="009A0986" w:rsidP="009A0986">
      <w:pPr>
        <w:rPr>
          <w:rFonts w:ascii="Arial" w:hAnsi="Arial" w:cs="Arial"/>
          <w:sz w:val="22"/>
          <w:szCs w:val="22"/>
        </w:rPr>
      </w:pPr>
      <w:r>
        <w:rPr>
          <w:rFonts w:ascii="Arial" w:hAnsi="Arial"/>
          <w:sz w:val="22"/>
        </w:rPr>
        <w:t>Employers must therefore ensure they communicate clearly to avoid being held liable. Employees – and their advisors/trade unions – need to be aware of the agreements that have been made, taking the choices of the relevant pension fund into account. It is now known when most pension funds will be switching over to the new scheme and what the potential compensation will be.</w:t>
      </w:r>
    </w:p>
    <w:p w14:paraId="04716D9D" w14:textId="77777777" w:rsidR="00D5303E" w:rsidRPr="004419E0" w:rsidRDefault="00D5303E" w:rsidP="009A0986">
      <w:pPr>
        <w:rPr>
          <w:rFonts w:ascii="Arial" w:hAnsi="Arial" w:cs="Arial"/>
          <w:sz w:val="22"/>
          <w:szCs w:val="22"/>
        </w:rPr>
      </w:pPr>
    </w:p>
    <w:p w14:paraId="41D23CD4" w14:textId="77777777" w:rsidR="00D5303E" w:rsidRDefault="009A0986" w:rsidP="007B7731">
      <w:pPr>
        <w:shd w:val="clear" w:color="auto" w:fill="D9D9D9" w:themeFill="background1" w:themeFillShade="D9"/>
        <w:rPr>
          <w:rFonts w:ascii="Arial" w:hAnsi="Arial" w:cs="Arial"/>
          <w:b/>
          <w:bCs/>
          <w:sz w:val="22"/>
          <w:szCs w:val="22"/>
        </w:rPr>
      </w:pPr>
      <w:r>
        <w:rPr>
          <w:rFonts w:ascii="Arial" w:hAnsi="Arial"/>
          <w:b/>
          <w:sz w:val="22"/>
        </w:rPr>
        <w:t>Please note:</w:t>
      </w:r>
    </w:p>
    <w:p w14:paraId="64741398" w14:textId="51F1BC50" w:rsidR="009A0986" w:rsidRPr="009A0986" w:rsidRDefault="009A0986" w:rsidP="007B7731">
      <w:pPr>
        <w:shd w:val="clear" w:color="auto" w:fill="D9D9D9" w:themeFill="background1" w:themeFillShade="D9"/>
        <w:rPr>
          <w:rFonts w:ascii="Arial" w:hAnsi="Arial" w:cs="Arial"/>
          <w:sz w:val="22"/>
          <w:szCs w:val="22"/>
        </w:rPr>
      </w:pPr>
      <w:r>
        <w:rPr>
          <w:rFonts w:ascii="Arial" w:hAnsi="Arial"/>
          <w:sz w:val="22"/>
        </w:rPr>
        <w:t>If this date is postponed, it is important to examine carefully what consequences this will have and who is responsible for them.</w:t>
      </w:r>
    </w:p>
    <w:p w14:paraId="1E675AE1" w14:textId="77777777" w:rsidR="009A0986" w:rsidRPr="004A21F9" w:rsidRDefault="009A0986" w:rsidP="004A21F9">
      <w:pPr>
        <w:rPr>
          <w:rFonts w:ascii="Arial" w:hAnsi="Arial" w:cs="Arial"/>
          <w:sz w:val="22"/>
          <w:szCs w:val="22"/>
        </w:rPr>
      </w:pPr>
    </w:p>
    <w:p w14:paraId="0609931A" w14:textId="55A40492" w:rsidR="0025189C" w:rsidRDefault="0025189C" w:rsidP="003E234B">
      <w:pPr>
        <w:pStyle w:val="Kop2"/>
        <w:ind w:hanging="283"/>
      </w:pPr>
      <w:r>
        <w:t>Consequences of failing to adapt pension schemes (on time)</w:t>
      </w:r>
    </w:p>
    <w:p w14:paraId="3E5656A1" w14:textId="77777777" w:rsidR="0025189C" w:rsidRPr="004A21F9" w:rsidRDefault="0025189C" w:rsidP="0025189C">
      <w:pPr>
        <w:rPr>
          <w:rFonts w:ascii="Arial" w:hAnsi="Arial" w:cs="Arial"/>
          <w:sz w:val="22"/>
          <w:szCs w:val="22"/>
        </w:rPr>
      </w:pPr>
    </w:p>
    <w:p w14:paraId="658BC6DA" w14:textId="65D3467C" w:rsidR="0025189C" w:rsidRDefault="004A21F9" w:rsidP="0025189C">
      <w:pPr>
        <w:rPr>
          <w:rFonts w:ascii="Arial" w:hAnsi="Arial" w:cs="Arial"/>
          <w:sz w:val="22"/>
          <w:szCs w:val="22"/>
        </w:rPr>
      </w:pPr>
      <w:r>
        <w:rPr>
          <w:rFonts w:ascii="Arial" w:hAnsi="Arial"/>
          <w:sz w:val="22"/>
        </w:rPr>
        <w:t>If you fail to adapt your pension scheme (or fail to do so on time), as an employer you may be faced with a substantial payroll tax claim. What do you need to consider?</w:t>
      </w:r>
    </w:p>
    <w:p w14:paraId="278FE8D3" w14:textId="77777777" w:rsidR="004A21F9" w:rsidRDefault="004A21F9" w:rsidP="0025189C">
      <w:pPr>
        <w:rPr>
          <w:rFonts w:ascii="Arial" w:hAnsi="Arial" w:cs="Arial"/>
          <w:sz w:val="22"/>
          <w:szCs w:val="22"/>
        </w:rPr>
      </w:pPr>
    </w:p>
    <w:p w14:paraId="3E5886E4" w14:textId="4B3C0381" w:rsidR="0025189C" w:rsidRPr="004A21F9" w:rsidRDefault="004A21F9" w:rsidP="004A21F9">
      <w:pPr>
        <w:rPr>
          <w:rFonts w:ascii="Arial" w:hAnsi="Arial" w:cs="Arial"/>
          <w:b/>
          <w:bCs/>
          <w:sz w:val="22"/>
          <w:szCs w:val="22"/>
        </w:rPr>
      </w:pPr>
      <w:r>
        <w:rPr>
          <w:rFonts w:ascii="Arial" w:hAnsi="Arial"/>
          <w:b/>
          <w:sz w:val="22"/>
        </w:rPr>
        <w:t>Partner pension</w:t>
      </w:r>
    </w:p>
    <w:p w14:paraId="653BAFAB" w14:textId="77777777" w:rsidR="0025189C" w:rsidRPr="0025189C" w:rsidRDefault="0025189C" w:rsidP="0025189C">
      <w:pPr>
        <w:rPr>
          <w:rFonts w:ascii="Arial" w:hAnsi="Arial" w:cs="Arial"/>
          <w:sz w:val="22"/>
          <w:szCs w:val="22"/>
        </w:rPr>
      </w:pPr>
      <w:r>
        <w:rPr>
          <w:rFonts w:ascii="Arial" w:hAnsi="Arial"/>
          <w:sz w:val="22"/>
        </w:rPr>
        <w:t>The partner pension must be adapted, even if you are taking advantage of the transitional regime for defined contribution schemes with a rising scale for existing employees.</w:t>
      </w:r>
    </w:p>
    <w:p w14:paraId="4EF0BB0D" w14:textId="77777777" w:rsidR="004A21F9" w:rsidRDefault="004A21F9" w:rsidP="004A21F9">
      <w:pPr>
        <w:rPr>
          <w:rFonts w:ascii="Arial" w:hAnsi="Arial" w:cs="Arial"/>
          <w:sz w:val="22"/>
          <w:szCs w:val="22"/>
        </w:rPr>
      </w:pPr>
    </w:p>
    <w:p w14:paraId="3DCF20F7" w14:textId="69248692" w:rsidR="0025189C" w:rsidRPr="004A21F9" w:rsidRDefault="0025189C" w:rsidP="004A21F9">
      <w:pPr>
        <w:rPr>
          <w:rFonts w:ascii="Arial" w:hAnsi="Arial" w:cs="Arial"/>
          <w:b/>
          <w:bCs/>
          <w:sz w:val="22"/>
          <w:szCs w:val="22"/>
        </w:rPr>
      </w:pPr>
      <w:r>
        <w:rPr>
          <w:rFonts w:ascii="Arial" w:hAnsi="Arial"/>
          <w:b/>
          <w:sz w:val="22"/>
        </w:rPr>
        <w:t>Flat-rate contribution</w:t>
      </w:r>
    </w:p>
    <w:p w14:paraId="53CEDC74" w14:textId="394B89B3" w:rsidR="004A21F9" w:rsidRDefault="0025189C" w:rsidP="004A21F9">
      <w:pPr>
        <w:rPr>
          <w:rFonts w:ascii="Arial" w:hAnsi="Arial" w:cs="Arial"/>
          <w:sz w:val="22"/>
          <w:szCs w:val="22"/>
        </w:rPr>
      </w:pPr>
      <w:r>
        <w:rPr>
          <w:rFonts w:ascii="Arial" w:hAnsi="Arial"/>
          <w:sz w:val="22"/>
        </w:rPr>
        <w:t>For new employees you also need to know what the flat-rate contribution will be from 2028. </w:t>
      </w:r>
    </w:p>
    <w:p w14:paraId="725DA5A2" w14:textId="77777777" w:rsidR="004A21F9" w:rsidRDefault="004A21F9" w:rsidP="004A21F9">
      <w:pPr>
        <w:rPr>
          <w:rFonts w:ascii="Arial" w:hAnsi="Arial" w:cs="Arial"/>
          <w:sz w:val="22"/>
          <w:szCs w:val="22"/>
        </w:rPr>
      </w:pPr>
    </w:p>
    <w:p w14:paraId="36F1C8D5" w14:textId="27E409EE" w:rsidR="0025189C" w:rsidRPr="004A21F9" w:rsidRDefault="0025189C" w:rsidP="004A21F9">
      <w:pPr>
        <w:rPr>
          <w:rFonts w:ascii="Arial" w:hAnsi="Arial" w:cs="Arial"/>
          <w:b/>
          <w:bCs/>
          <w:sz w:val="22"/>
          <w:szCs w:val="22"/>
        </w:rPr>
      </w:pPr>
      <w:r>
        <w:rPr>
          <w:rFonts w:ascii="Arial" w:hAnsi="Arial"/>
          <w:b/>
          <w:sz w:val="22"/>
        </w:rPr>
        <w:t>Higher contribution?</w:t>
      </w:r>
    </w:p>
    <w:p w14:paraId="74B2528A" w14:textId="6FA32121" w:rsidR="0025189C" w:rsidRDefault="0025189C" w:rsidP="0025189C">
      <w:pPr>
        <w:rPr>
          <w:rFonts w:ascii="Arial" w:hAnsi="Arial" w:cs="Arial"/>
          <w:sz w:val="22"/>
          <w:szCs w:val="22"/>
        </w:rPr>
      </w:pPr>
      <w:r>
        <w:rPr>
          <w:rFonts w:ascii="Arial" w:hAnsi="Arial"/>
          <w:sz w:val="22"/>
        </w:rPr>
        <w:t>Existing employees must know whether they can switch over to the new scheme. For them it is important to know what a higher contribution will achieve in terms of their pension, even if it means having to pay an increased personal contribution too.</w:t>
      </w:r>
    </w:p>
    <w:p w14:paraId="378D9668" w14:textId="77777777" w:rsidR="004A21F9" w:rsidRDefault="004A21F9" w:rsidP="0025189C">
      <w:pPr>
        <w:rPr>
          <w:rFonts w:ascii="Arial" w:hAnsi="Arial" w:cs="Arial"/>
          <w:sz w:val="22"/>
          <w:szCs w:val="22"/>
        </w:rPr>
      </w:pPr>
    </w:p>
    <w:p w14:paraId="78157D0D" w14:textId="21EE58C4" w:rsidR="0025189C" w:rsidRPr="004A21F9" w:rsidRDefault="0025189C" w:rsidP="004A21F9">
      <w:pPr>
        <w:rPr>
          <w:rFonts w:ascii="Arial" w:hAnsi="Arial" w:cs="Arial"/>
          <w:b/>
          <w:bCs/>
          <w:sz w:val="22"/>
          <w:szCs w:val="22"/>
        </w:rPr>
      </w:pPr>
      <w:r>
        <w:rPr>
          <w:rFonts w:ascii="Arial" w:hAnsi="Arial"/>
          <w:b/>
          <w:sz w:val="22"/>
        </w:rPr>
        <w:t>Works council or employee representative body</w:t>
      </w:r>
    </w:p>
    <w:p w14:paraId="6B6B64EA" w14:textId="39E7F103" w:rsidR="0025189C" w:rsidRPr="0025189C" w:rsidRDefault="0025189C" w:rsidP="0025189C">
      <w:pPr>
        <w:rPr>
          <w:rFonts w:ascii="Arial" w:hAnsi="Arial" w:cs="Arial"/>
          <w:sz w:val="22"/>
          <w:szCs w:val="22"/>
        </w:rPr>
      </w:pPr>
      <w:r>
        <w:rPr>
          <w:rFonts w:ascii="Arial" w:hAnsi="Arial"/>
          <w:sz w:val="22"/>
        </w:rPr>
        <w:lastRenderedPageBreak/>
        <w:t>If you have a works council or employee representative body within your company, they must give their consent to or be involved in the changes. If you do not have either of these bodies, the changes should be discussed at the employee meeting. A pension scheme is there for your employees, after all, so they need to be involved in any matters concerning it.</w:t>
      </w:r>
    </w:p>
    <w:p w14:paraId="51E5F1EE" w14:textId="77777777" w:rsidR="004A21F9" w:rsidRDefault="004A21F9" w:rsidP="004A21F9">
      <w:pPr>
        <w:rPr>
          <w:rFonts w:ascii="Arial" w:hAnsi="Arial" w:cs="Arial"/>
          <w:sz w:val="22"/>
          <w:szCs w:val="22"/>
        </w:rPr>
      </w:pPr>
    </w:p>
    <w:p w14:paraId="120B5554" w14:textId="2529DBE7" w:rsidR="0025189C" w:rsidRPr="004A21F9" w:rsidRDefault="0025189C" w:rsidP="004A21F9">
      <w:pPr>
        <w:rPr>
          <w:rFonts w:ascii="Arial" w:hAnsi="Arial" w:cs="Arial"/>
          <w:b/>
          <w:bCs/>
          <w:sz w:val="22"/>
          <w:szCs w:val="22"/>
        </w:rPr>
      </w:pPr>
      <w:r>
        <w:rPr>
          <w:rFonts w:ascii="Arial" w:hAnsi="Arial"/>
          <w:b/>
          <w:sz w:val="22"/>
        </w:rPr>
        <w:t>Consequences for payroll tax</w:t>
      </w:r>
    </w:p>
    <w:p w14:paraId="57D535C8" w14:textId="649E10B8" w:rsidR="0025189C" w:rsidRDefault="0025189C" w:rsidP="0025189C">
      <w:pPr>
        <w:rPr>
          <w:rFonts w:ascii="Arial" w:hAnsi="Arial" w:cs="Arial"/>
          <w:sz w:val="22"/>
          <w:szCs w:val="22"/>
        </w:rPr>
      </w:pPr>
      <w:r>
        <w:rPr>
          <w:rFonts w:ascii="Arial" w:hAnsi="Arial"/>
          <w:sz w:val="22"/>
        </w:rPr>
        <w:t>If the pension scheme does not comply with the new legislation from 2028, the entitlement will be subject to payroll tax, including revision interest. This could prove extremely expensive.</w:t>
      </w:r>
    </w:p>
    <w:p w14:paraId="1EC6BF7C" w14:textId="77777777" w:rsidR="004A21F9" w:rsidRPr="0025189C" w:rsidRDefault="004A21F9" w:rsidP="0025189C">
      <w:pPr>
        <w:rPr>
          <w:rFonts w:ascii="Arial" w:hAnsi="Arial" w:cs="Arial"/>
          <w:sz w:val="22"/>
          <w:szCs w:val="22"/>
        </w:rPr>
      </w:pPr>
    </w:p>
    <w:p w14:paraId="297D1153" w14:textId="434B0534" w:rsidR="0025189C" w:rsidRDefault="0025189C" w:rsidP="0025189C">
      <w:pPr>
        <w:rPr>
          <w:rFonts w:ascii="Arial" w:hAnsi="Arial" w:cs="Arial"/>
          <w:sz w:val="22"/>
          <w:szCs w:val="22"/>
        </w:rPr>
      </w:pPr>
      <w:r>
        <w:rPr>
          <w:rFonts w:ascii="Arial" w:hAnsi="Arial"/>
          <w:sz w:val="22"/>
        </w:rPr>
        <w:t>If a pension scheme no longer complies with tax legislation, the whole entitlement will be taxed at the progressive rate and a ‘penalty’ of 20% (revision interest) will have to be paid. That is because, considered retrospectively, entitlements have wrongly not been taxed as salary and/or contributions have wrongly been deducted. This can add up to as much as 69.5% of the current commercial value of the pension. </w:t>
      </w:r>
    </w:p>
    <w:p w14:paraId="6B467CE4" w14:textId="77777777" w:rsidR="004A21F9" w:rsidRPr="0025189C" w:rsidRDefault="004A21F9" w:rsidP="0025189C">
      <w:pPr>
        <w:rPr>
          <w:rFonts w:ascii="Arial" w:hAnsi="Arial" w:cs="Arial"/>
          <w:sz w:val="22"/>
          <w:szCs w:val="22"/>
        </w:rPr>
      </w:pPr>
    </w:p>
    <w:p w14:paraId="35F2FF9A" w14:textId="77777777" w:rsidR="004A21F9" w:rsidRDefault="0025189C" w:rsidP="007B7731">
      <w:pPr>
        <w:shd w:val="clear" w:color="auto" w:fill="D9D9D9" w:themeFill="background1" w:themeFillShade="D9"/>
        <w:rPr>
          <w:rFonts w:ascii="Arial" w:hAnsi="Arial" w:cs="Arial"/>
          <w:b/>
          <w:bCs/>
          <w:sz w:val="22"/>
          <w:szCs w:val="22"/>
        </w:rPr>
      </w:pPr>
      <w:r>
        <w:rPr>
          <w:rFonts w:ascii="Arial" w:hAnsi="Arial"/>
          <w:b/>
          <w:sz w:val="22"/>
        </w:rPr>
        <w:t>Please note:</w:t>
      </w:r>
    </w:p>
    <w:p w14:paraId="3E0E648F" w14:textId="5D1CD3B7" w:rsidR="0025189C" w:rsidRPr="0025189C" w:rsidRDefault="0025189C" w:rsidP="007B7731">
      <w:pPr>
        <w:shd w:val="clear" w:color="auto" w:fill="D9D9D9" w:themeFill="background1" w:themeFillShade="D9"/>
        <w:rPr>
          <w:rFonts w:ascii="Arial" w:hAnsi="Arial" w:cs="Arial"/>
          <w:sz w:val="22"/>
          <w:szCs w:val="22"/>
        </w:rPr>
      </w:pPr>
      <w:r>
        <w:rPr>
          <w:rFonts w:ascii="Arial" w:hAnsi="Arial"/>
          <w:sz w:val="22"/>
        </w:rPr>
        <w:t>This also applies to directors/major shareholders with a pension scheme that has not been properly adapted.</w:t>
      </w:r>
    </w:p>
    <w:p w14:paraId="29B82336" w14:textId="77777777" w:rsidR="004A21F9" w:rsidRDefault="004A21F9" w:rsidP="004A21F9">
      <w:pPr>
        <w:rPr>
          <w:rFonts w:ascii="Arial" w:hAnsi="Arial" w:cs="Arial"/>
          <w:sz w:val="22"/>
          <w:szCs w:val="22"/>
        </w:rPr>
      </w:pPr>
    </w:p>
    <w:p w14:paraId="49349FC2" w14:textId="03929704" w:rsidR="0025189C" w:rsidRPr="004A21F9" w:rsidRDefault="0025189C" w:rsidP="004A21F9">
      <w:pPr>
        <w:rPr>
          <w:rFonts w:ascii="Arial" w:hAnsi="Arial" w:cs="Arial"/>
          <w:b/>
          <w:bCs/>
          <w:sz w:val="22"/>
          <w:szCs w:val="22"/>
        </w:rPr>
      </w:pPr>
      <w:r>
        <w:rPr>
          <w:rFonts w:ascii="Arial" w:hAnsi="Arial"/>
          <w:b/>
          <w:sz w:val="22"/>
        </w:rPr>
        <w:t>Don’t delay</w:t>
      </w:r>
    </w:p>
    <w:p w14:paraId="02E1BF34" w14:textId="5C1890C8" w:rsidR="0025189C" w:rsidRDefault="0025189C" w:rsidP="0025189C">
      <w:pPr>
        <w:rPr>
          <w:rFonts w:ascii="Arial" w:hAnsi="Arial" w:cs="Arial"/>
          <w:sz w:val="22"/>
          <w:szCs w:val="22"/>
        </w:rPr>
      </w:pPr>
      <w:r>
        <w:rPr>
          <w:rFonts w:ascii="Arial" w:hAnsi="Arial"/>
          <w:sz w:val="22"/>
        </w:rPr>
        <w:t>It will probably not come to this, but time is running out, not only because of the consultations that have to be held within companies, but also, in particular, because pension administrators need time to incorporate and communicate all the changes. This has to be done by 1 October 2027.</w:t>
      </w:r>
    </w:p>
    <w:p w14:paraId="57B41FDB" w14:textId="77777777" w:rsidR="004A21F9" w:rsidRPr="0025189C" w:rsidRDefault="004A21F9" w:rsidP="0025189C">
      <w:pPr>
        <w:rPr>
          <w:rFonts w:ascii="Arial" w:hAnsi="Arial" w:cs="Arial"/>
          <w:sz w:val="22"/>
          <w:szCs w:val="22"/>
        </w:rPr>
      </w:pPr>
    </w:p>
    <w:p w14:paraId="75BBAA54" w14:textId="6F705884" w:rsidR="0025189C" w:rsidRPr="004A21F9" w:rsidRDefault="0025189C" w:rsidP="004A21F9">
      <w:pPr>
        <w:rPr>
          <w:rFonts w:ascii="Arial" w:hAnsi="Arial" w:cs="Arial"/>
          <w:sz w:val="22"/>
          <w:szCs w:val="22"/>
        </w:rPr>
      </w:pPr>
      <w:r>
        <w:rPr>
          <w:rFonts w:ascii="Arial" w:hAnsi="Arial"/>
          <w:sz w:val="22"/>
        </w:rPr>
        <w:t>If, as an employer, you fail to communicate clearly and on time, you run the risk of being held liable. That means you may be faced with a possible payroll tax claim, but there is also a risk that an employee may die without having the cover that he/she and his/her partner wanted to have in place.</w:t>
      </w:r>
    </w:p>
    <w:p w14:paraId="509AB6E0" w14:textId="77777777" w:rsidR="0025189C" w:rsidRPr="004A21F9" w:rsidRDefault="0025189C" w:rsidP="004A21F9">
      <w:pPr>
        <w:rPr>
          <w:rFonts w:ascii="Arial" w:hAnsi="Arial" w:cs="Arial"/>
        </w:rPr>
      </w:pPr>
    </w:p>
    <w:p w14:paraId="7F239977" w14:textId="144ABE81" w:rsidR="00446E22" w:rsidRDefault="00AA6945" w:rsidP="003E234B">
      <w:pPr>
        <w:pStyle w:val="Kop2"/>
        <w:ind w:hanging="283"/>
      </w:pPr>
      <w:r>
        <w:t>Pension advice to staff: is it subject to payroll tax?</w:t>
      </w:r>
    </w:p>
    <w:p w14:paraId="23FA11BF" w14:textId="77777777" w:rsidR="00446E22" w:rsidRDefault="00446E22" w:rsidP="00446E22">
      <w:pPr>
        <w:rPr>
          <w:rFonts w:ascii="Arial" w:hAnsi="Arial" w:cs="Arial"/>
          <w:sz w:val="22"/>
          <w:szCs w:val="22"/>
        </w:rPr>
      </w:pPr>
    </w:p>
    <w:p w14:paraId="3634B8A9" w14:textId="3A021FB9" w:rsidR="00AA6945" w:rsidRDefault="00AA6945" w:rsidP="00446E22">
      <w:pPr>
        <w:rPr>
          <w:rFonts w:ascii="Arial" w:hAnsi="Arial" w:cs="Arial"/>
          <w:sz w:val="22"/>
          <w:szCs w:val="22"/>
        </w:rPr>
      </w:pPr>
      <w:r>
        <w:rPr>
          <w:rFonts w:ascii="Arial" w:hAnsi="Arial"/>
          <w:sz w:val="22"/>
        </w:rPr>
        <w:t>Is payroll tax due on pension advice provided to your staff?</w:t>
      </w:r>
    </w:p>
    <w:p w14:paraId="11B502C2" w14:textId="77777777" w:rsidR="004F1D4A" w:rsidRDefault="004F1D4A" w:rsidP="00446E22">
      <w:pPr>
        <w:rPr>
          <w:rFonts w:ascii="Arial" w:hAnsi="Arial" w:cs="Arial"/>
          <w:sz w:val="22"/>
          <w:szCs w:val="22"/>
        </w:rPr>
      </w:pPr>
    </w:p>
    <w:p w14:paraId="5CAB2BCE" w14:textId="24E24BF4" w:rsidR="00AA6945" w:rsidRPr="004F1D4A" w:rsidRDefault="00AA6945" w:rsidP="004F1D4A">
      <w:pPr>
        <w:rPr>
          <w:rFonts w:ascii="Arial" w:hAnsi="Arial" w:cs="Arial"/>
          <w:b/>
          <w:bCs/>
          <w:sz w:val="22"/>
          <w:szCs w:val="22"/>
        </w:rPr>
      </w:pPr>
      <w:r>
        <w:rPr>
          <w:rFonts w:ascii="Arial" w:hAnsi="Arial"/>
          <w:b/>
          <w:sz w:val="22"/>
        </w:rPr>
        <w:t>Mandatory support with choices: no payroll tax</w:t>
      </w:r>
    </w:p>
    <w:p w14:paraId="2DBC53C8" w14:textId="49B4184B" w:rsidR="00AA6945" w:rsidRPr="00AA6945" w:rsidRDefault="00AA6945" w:rsidP="00AA6945">
      <w:pPr>
        <w:rPr>
          <w:rFonts w:ascii="Arial" w:hAnsi="Arial" w:cs="Arial"/>
          <w:sz w:val="22"/>
          <w:szCs w:val="22"/>
        </w:rPr>
      </w:pPr>
      <w:r>
        <w:rPr>
          <w:rFonts w:ascii="Arial" w:hAnsi="Arial"/>
          <w:sz w:val="22"/>
        </w:rPr>
        <w:t>To answer this question, it is first important to know what the pension advice involves. Does it take the form of mandatory support provided by pension administrators to employees, in accordance with the Future of Pensions Act (Wtp), to help them make choices within the pension scheme? If the pension advice is limited to this mandatory support with choices, it is not subject to payroll tax.</w:t>
      </w:r>
    </w:p>
    <w:p w14:paraId="2B660A1C" w14:textId="77777777" w:rsidR="004F1D4A" w:rsidRDefault="004F1D4A" w:rsidP="004F1D4A">
      <w:pPr>
        <w:rPr>
          <w:rFonts w:ascii="Arial" w:hAnsi="Arial" w:cs="Arial"/>
          <w:sz w:val="22"/>
          <w:szCs w:val="22"/>
        </w:rPr>
      </w:pPr>
    </w:p>
    <w:p w14:paraId="2CE6E03F" w14:textId="5399EF7A" w:rsidR="00AA6945" w:rsidRPr="004F1D4A" w:rsidRDefault="00AA6945" w:rsidP="004F1D4A">
      <w:pPr>
        <w:rPr>
          <w:rFonts w:ascii="Arial" w:hAnsi="Arial" w:cs="Arial"/>
          <w:b/>
          <w:bCs/>
          <w:sz w:val="22"/>
          <w:szCs w:val="22"/>
        </w:rPr>
      </w:pPr>
      <w:r>
        <w:rPr>
          <w:rFonts w:ascii="Arial" w:hAnsi="Arial"/>
          <w:b/>
          <w:sz w:val="22"/>
        </w:rPr>
        <w:t>Personal pension advice: payroll tax owed</w:t>
      </w:r>
    </w:p>
    <w:p w14:paraId="30359A65" w14:textId="2BCA89EB" w:rsidR="00AA6945" w:rsidRPr="00AA6945" w:rsidRDefault="00AA6945" w:rsidP="00AA6945">
      <w:pPr>
        <w:rPr>
          <w:rFonts w:ascii="Arial" w:hAnsi="Arial" w:cs="Arial"/>
          <w:sz w:val="22"/>
          <w:szCs w:val="22"/>
        </w:rPr>
      </w:pPr>
      <w:r>
        <w:rPr>
          <w:rFonts w:ascii="Arial" w:hAnsi="Arial"/>
          <w:sz w:val="22"/>
        </w:rPr>
        <w:t>If the pension advice involves more personal background information – such as the employee’s mortgage or income tax return – it is no longer limited to the mandatory support referred to above. In this case it is a question of personal pension advice. Such comprehensive advice is not mandatory under the Wtp.</w:t>
      </w:r>
    </w:p>
    <w:p w14:paraId="3FDEE7F7" w14:textId="77777777" w:rsidR="004F1D4A" w:rsidRDefault="004F1D4A" w:rsidP="00AA6945">
      <w:pPr>
        <w:rPr>
          <w:rFonts w:ascii="Arial" w:hAnsi="Arial" w:cs="Arial"/>
          <w:sz w:val="22"/>
          <w:szCs w:val="22"/>
        </w:rPr>
      </w:pPr>
    </w:p>
    <w:p w14:paraId="0CB3DB31" w14:textId="11D9FF4C" w:rsidR="00F367F0" w:rsidRDefault="00AA6945" w:rsidP="004F1D4A">
      <w:pPr>
        <w:rPr>
          <w:rFonts w:ascii="Arial" w:hAnsi="Arial"/>
          <w:sz w:val="22"/>
        </w:rPr>
      </w:pPr>
      <w:r>
        <w:rPr>
          <w:rFonts w:ascii="Arial" w:hAnsi="Arial"/>
          <w:sz w:val="22"/>
        </w:rPr>
        <w:t xml:space="preserve">The Tax and Customs Administration has indicated that the costs of personal pension advice represent taxable salary for the employee. In response to Parliamentary questions, the state </w:t>
      </w:r>
      <w:r>
        <w:rPr>
          <w:rFonts w:ascii="Arial" w:hAnsi="Arial"/>
          <w:sz w:val="22"/>
        </w:rPr>
        <w:lastRenderedPageBreak/>
        <w:t>secretary has said that he endorses this position. He can also see no grounds for introducing a specific exemption for personal pension advice.</w:t>
      </w:r>
    </w:p>
    <w:p w14:paraId="43D9EA49" w14:textId="77777777" w:rsidR="00F367F0" w:rsidRDefault="00F367F0" w:rsidP="00F367F0">
      <w:pPr>
        <w:rPr>
          <w:rFonts w:ascii="Arial" w:hAnsi="Arial" w:cs="Arial"/>
          <w:b/>
          <w:bCs/>
          <w:sz w:val="22"/>
          <w:szCs w:val="22"/>
        </w:rPr>
      </w:pPr>
    </w:p>
    <w:p w14:paraId="0E41AD2A" w14:textId="6DE9F7F2" w:rsidR="00F367F0" w:rsidRDefault="00F367F0" w:rsidP="00F367F0">
      <w:pPr>
        <w:shd w:val="clear" w:color="auto" w:fill="D9D9D9" w:themeFill="background1" w:themeFillShade="D9"/>
        <w:rPr>
          <w:rFonts w:ascii="Arial" w:hAnsi="Arial" w:cs="Arial"/>
          <w:b/>
          <w:bCs/>
          <w:sz w:val="22"/>
          <w:szCs w:val="22"/>
        </w:rPr>
      </w:pPr>
      <w:r>
        <w:rPr>
          <w:rFonts w:ascii="Arial" w:hAnsi="Arial"/>
          <w:b/>
          <w:sz w:val="22"/>
        </w:rPr>
        <w:t>Please note:</w:t>
      </w:r>
    </w:p>
    <w:p w14:paraId="48ED0213" w14:textId="0B3867AE" w:rsidR="00F367F0" w:rsidRPr="00F367F0" w:rsidRDefault="00F367F0" w:rsidP="00F367F0">
      <w:pPr>
        <w:shd w:val="clear" w:color="auto" w:fill="D9D9D9" w:themeFill="background1" w:themeFillShade="D9"/>
        <w:rPr>
          <w:rFonts w:ascii="Arial" w:hAnsi="Arial" w:cs="Arial"/>
          <w:sz w:val="22"/>
          <w:szCs w:val="22"/>
        </w:rPr>
      </w:pPr>
      <w:r>
        <w:rPr>
          <w:rFonts w:ascii="Arial" w:hAnsi="Arial"/>
          <w:sz w:val="22"/>
        </w:rPr>
        <w:t>An employer who offered employees a personal pension consultation (</w:t>
      </w:r>
      <w:hyperlink r:id="rId75" w:history="1">
        <w:r>
          <w:rPr>
            <w:rStyle w:val="Hyperlink"/>
            <w:rFonts w:ascii="Arial" w:hAnsi="Arial"/>
            <w:sz w:val="22"/>
          </w:rPr>
          <w:t>pensioen APK-gesprek</w:t>
        </w:r>
      </w:hyperlink>
      <w:r>
        <w:t>)</w:t>
      </w:r>
      <w:r>
        <w:rPr>
          <w:rFonts w:ascii="Arial" w:hAnsi="Arial"/>
          <w:sz w:val="22"/>
        </w:rPr>
        <w:t xml:space="preserve"> was also informed that this qualified as taxable personal pension advice, as it involved more than just the mandatory support with choices. In this case the consultation involved a voluntary personal (one-to-one) pension advice discussion, to help employees gain more control over their financial future.</w:t>
      </w:r>
    </w:p>
    <w:p w14:paraId="5C3C1EE9" w14:textId="77777777" w:rsidR="003A3FF2" w:rsidRDefault="003A3FF2" w:rsidP="004F1D4A">
      <w:pPr>
        <w:rPr>
          <w:rFonts w:ascii="Arial" w:hAnsi="Arial" w:cs="Arial"/>
          <w:sz w:val="22"/>
          <w:szCs w:val="22"/>
        </w:rPr>
      </w:pPr>
    </w:p>
    <w:p w14:paraId="69D2BEBF" w14:textId="1EB4D781" w:rsidR="00AA6945" w:rsidRPr="004F1D4A" w:rsidRDefault="00AA6945" w:rsidP="004F1D4A">
      <w:pPr>
        <w:rPr>
          <w:rFonts w:ascii="Arial" w:hAnsi="Arial" w:cs="Arial"/>
          <w:b/>
          <w:bCs/>
          <w:sz w:val="22"/>
          <w:szCs w:val="22"/>
        </w:rPr>
      </w:pPr>
      <w:r>
        <w:rPr>
          <w:rFonts w:ascii="Arial" w:hAnsi="Arial"/>
          <w:b/>
          <w:sz w:val="22"/>
        </w:rPr>
        <w:t>Fixed budget</w:t>
      </w:r>
    </w:p>
    <w:p w14:paraId="54EC9507" w14:textId="77777777" w:rsidR="00AA6945" w:rsidRDefault="00AA6945" w:rsidP="00AA6945">
      <w:pPr>
        <w:rPr>
          <w:rFonts w:ascii="Arial" w:hAnsi="Arial" w:cs="Arial"/>
          <w:sz w:val="22"/>
          <w:szCs w:val="22"/>
        </w:rPr>
      </w:pPr>
      <w:r>
        <w:rPr>
          <w:rFonts w:ascii="Arial" w:hAnsi="Arial"/>
          <w:sz w:val="22"/>
        </w:rPr>
        <w:t>As an employer, you can choose to allocate such personal pension advice to the work-related expenses scheme. This means that, provided that you have sufficient scope left in your fixed budget, the employee will not have to pay any payroll tax on it. You will pay a final levy of 80% if the total amount of the allowances and benefits in kind allocated in a year exceeds the fixed budget.</w:t>
      </w:r>
    </w:p>
    <w:p w14:paraId="3CC32D6F" w14:textId="77777777" w:rsidR="00446E22" w:rsidRPr="004F1D4A" w:rsidRDefault="00446E22" w:rsidP="004F1D4A">
      <w:pPr>
        <w:rPr>
          <w:rFonts w:ascii="Arial" w:hAnsi="Arial" w:cs="Arial"/>
          <w:sz w:val="22"/>
          <w:szCs w:val="22"/>
        </w:rPr>
      </w:pPr>
    </w:p>
    <w:p w14:paraId="5DD1ECA3" w14:textId="518E3719" w:rsidR="004F1D4A" w:rsidRPr="004F1D4A" w:rsidRDefault="004F1D4A" w:rsidP="003E234B">
      <w:pPr>
        <w:pStyle w:val="Kop2"/>
        <w:ind w:hanging="283"/>
        <w:rPr>
          <w:bCs/>
        </w:rPr>
      </w:pPr>
      <w:r>
        <w:t>No VAT on pension contributions for now</w:t>
      </w:r>
    </w:p>
    <w:p w14:paraId="2CF283CD" w14:textId="77777777" w:rsidR="004F1D4A" w:rsidRDefault="004F1D4A" w:rsidP="004F1D4A">
      <w:pPr>
        <w:rPr>
          <w:rFonts w:ascii="Arial" w:hAnsi="Arial" w:cs="Arial"/>
          <w:sz w:val="22"/>
          <w:szCs w:val="22"/>
        </w:rPr>
      </w:pPr>
    </w:p>
    <w:p w14:paraId="5FA32BB0" w14:textId="77777777" w:rsidR="004F1D4A" w:rsidRPr="004F1D4A" w:rsidRDefault="004F1D4A" w:rsidP="004F1D4A">
      <w:pPr>
        <w:rPr>
          <w:rFonts w:ascii="Arial" w:hAnsi="Arial" w:cs="Arial"/>
          <w:sz w:val="22"/>
          <w:szCs w:val="22"/>
        </w:rPr>
      </w:pPr>
      <w:r>
        <w:rPr>
          <w:rFonts w:ascii="Arial" w:hAnsi="Arial"/>
          <w:sz w:val="22"/>
        </w:rPr>
        <w:t>At the end of September 2025 the Arnhem-Leeuwarden Court of Appeal delivered two judgments on the subject of pension contributions and VAT. The final conclusion reached in these two judgments was that the administration of a pension scheme is not covered by a VAT exemption. Consequently, the pension fund concerned was entitled to deduct VAT, but VAT was also payable on the full pension contribution.</w:t>
      </w:r>
    </w:p>
    <w:p w14:paraId="35AD8C88" w14:textId="77777777" w:rsidR="004419E0" w:rsidRDefault="004419E0" w:rsidP="004F1D4A">
      <w:pPr>
        <w:rPr>
          <w:rFonts w:ascii="Arial" w:hAnsi="Arial" w:cs="Arial"/>
          <w:b/>
          <w:bCs/>
          <w:sz w:val="22"/>
          <w:szCs w:val="22"/>
        </w:rPr>
      </w:pPr>
    </w:p>
    <w:p w14:paraId="6718C7D7" w14:textId="1B23562C" w:rsidR="004F1D4A" w:rsidRDefault="004F1D4A" w:rsidP="007B7731">
      <w:pPr>
        <w:shd w:val="clear" w:color="auto" w:fill="D9D9D9" w:themeFill="background1" w:themeFillShade="D9"/>
        <w:rPr>
          <w:rFonts w:ascii="Arial" w:hAnsi="Arial" w:cs="Arial"/>
          <w:b/>
          <w:bCs/>
          <w:sz w:val="22"/>
          <w:szCs w:val="22"/>
        </w:rPr>
      </w:pPr>
      <w:r>
        <w:rPr>
          <w:rFonts w:ascii="Arial" w:hAnsi="Arial"/>
          <w:b/>
          <w:sz w:val="22"/>
        </w:rPr>
        <w:t>Please note:</w:t>
      </w:r>
    </w:p>
    <w:p w14:paraId="11CFF5A1" w14:textId="29A62CFE" w:rsidR="004F1D4A" w:rsidRPr="004F1D4A" w:rsidRDefault="004F1D4A" w:rsidP="007B7731">
      <w:pPr>
        <w:shd w:val="clear" w:color="auto" w:fill="D9D9D9" w:themeFill="background1" w:themeFillShade="D9"/>
        <w:rPr>
          <w:rFonts w:ascii="Arial" w:hAnsi="Arial" w:cs="Arial"/>
          <w:sz w:val="22"/>
          <w:szCs w:val="22"/>
        </w:rPr>
      </w:pPr>
      <w:r>
        <w:rPr>
          <w:rFonts w:ascii="Arial" w:hAnsi="Arial"/>
          <w:sz w:val="22"/>
        </w:rPr>
        <w:t>The Amsterdam Court of Appeal had ruled otherwise in February 2023. In this judgment it ruled that the VAT exemption did apply.</w:t>
      </w:r>
    </w:p>
    <w:p w14:paraId="720ECA2C" w14:textId="48AF4ADC" w:rsidR="004F1D4A" w:rsidRPr="004F1D4A" w:rsidRDefault="004F1D4A" w:rsidP="004F1D4A">
      <w:pPr>
        <w:rPr>
          <w:rFonts w:ascii="Arial" w:hAnsi="Arial" w:cs="Arial"/>
          <w:sz w:val="22"/>
          <w:szCs w:val="22"/>
        </w:rPr>
      </w:pPr>
    </w:p>
    <w:p w14:paraId="3C6EEC07" w14:textId="77777777" w:rsidR="004F1D4A" w:rsidRPr="004F1D4A" w:rsidRDefault="004F1D4A" w:rsidP="004F1D4A">
      <w:pPr>
        <w:rPr>
          <w:rFonts w:ascii="Arial" w:hAnsi="Arial" w:cs="Arial"/>
          <w:sz w:val="22"/>
          <w:szCs w:val="22"/>
        </w:rPr>
      </w:pPr>
      <w:r>
        <w:rPr>
          <w:rFonts w:ascii="Arial" w:hAnsi="Arial"/>
          <w:sz w:val="22"/>
        </w:rPr>
        <w:t>As a result of the judgments by the Arnhem-Leeuwarden Court of Appeal, VAT would have to be charged on pension contributions. This would be extremely detrimental to companies that are not entitled to deduct VAT, such as those that only carry out VAT-exempt services. The VAT charged would push up costs for these companies.</w:t>
      </w:r>
    </w:p>
    <w:p w14:paraId="06618DB5" w14:textId="6EBDBB2B" w:rsidR="004F1D4A" w:rsidRPr="004F1D4A" w:rsidRDefault="004F1D4A" w:rsidP="004F1D4A">
      <w:pPr>
        <w:rPr>
          <w:rFonts w:ascii="Arial" w:hAnsi="Arial" w:cs="Arial"/>
          <w:sz w:val="22"/>
          <w:szCs w:val="22"/>
        </w:rPr>
      </w:pPr>
    </w:p>
    <w:p w14:paraId="6785FEF7" w14:textId="3F58BEE8" w:rsidR="004F1D4A" w:rsidRPr="004F1D4A" w:rsidRDefault="004F1D4A" w:rsidP="004F1D4A">
      <w:pPr>
        <w:rPr>
          <w:rFonts w:ascii="Arial" w:hAnsi="Arial" w:cs="Arial"/>
          <w:sz w:val="22"/>
          <w:szCs w:val="22"/>
        </w:rPr>
      </w:pPr>
      <w:r>
        <w:rPr>
          <w:rFonts w:ascii="Arial" w:hAnsi="Arial"/>
          <w:sz w:val="22"/>
        </w:rPr>
        <w:t>An appeal against the judgment of the Amsterdam Court of Appeal has been lodged with the Supreme Court. In anticipation of the Supreme Court’s ruling, the Tax and Customs Administration is working on the basis of the principle that pension administration is a VAT-exempt service. This means that pension funds do not have to charge VAT on pension contributions. For the time being, companies that are not entitled to deduct VAT will not, therefore, see their costs rise as a result of VAT being charged.</w:t>
      </w:r>
    </w:p>
    <w:p w14:paraId="1CC045F8" w14:textId="77777777" w:rsidR="004F1D4A" w:rsidRPr="004F1D4A" w:rsidRDefault="004F1D4A" w:rsidP="004F1D4A">
      <w:pPr>
        <w:rPr>
          <w:rFonts w:ascii="Arial" w:hAnsi="Arial" w:cs="Arial"/>
          <w:sz w:val="22"/>
          <w:szCs w:val="22"/>
        </w:rPr>
      </w:pPr>
    </w:p>
    <w:p w14:paraId="42B68D15" w14:textId="2183F53A" w:rsidR="00250681" w:rsidRDefault="004955E7" w:rsidP="003E234B">
      <w:pPr>
        <w:pStyle w:val="Kop2"/>
        <w:ind w:hanging="283"/>
      </w:pPr>
      <w:r>
        <w:t>Withdrawal of 10% of pension as a lump sum to be possible at the earliest from 1 July 2026</w:t>
      </w:r>
      <w:bookmarkEnd w:id="120"/>
    </w:p>
    <w:p w14:paraId="0173403A" w14:textId="2F7E8B93" w:rsidR="0093414D" w:rsidRDefault="0093414D" w:rsidP="0093414D"/>
    <w:p w14:paraId="715C4D1E" w14:textId="69A4674E" w:rsidR="00946439" w:rsidRDefault="004955E7" w:rsidP="0093414D">
      <w:pPr>
        <w:rPr>
          <w:rFonts w:ascii="Arial" w:hAnsi="Arial" w:cs="Arial"/>
          <w:sz w:val="22"/>
          <w:szCs w:val="22"/>
        </w:rPr>
      </w:pPr>
      <w:r>
        <w:rPr>
          <w:rFonts w:ascii="Arial" w:hAnsi="Arial"/>
          <w:sz w:val="22"/>
        </w:rPr>
        <w:t>The possibility for employees to withdraw 10% of their pension as a lump sum has been deferred again. This is now planned to take effect from 1 July 2026 at the earliest.</w:t>
      </w:r>
      <w:bookmarkEnd w:id="121"/>
    </w:p>
    <w:p w14:paraId="52AA2551" w14:textId="7D0772DA" w:rsidR="004955E7" w:rsidRDefault="004955E7" w:rsidP="0093414D">
      <w:pPr>
        <w:rPr>
          <w:rFonts w:cs="Arial"/>
          <w:bCs/>
          <w:sz w:val="22"/>
        </w:rPr>
      </w:pPr>
    </w:p>
    <w:p w14:paraId="29BC864F" w14:textId="77777777" w:rsidR="00B15B01" w:rsidRDefault="00B15B01" w:rsidP="0093414D">
      <w:pPr>
        <w:rPr>
          <w:rFonts w:cs="Arial"/>
          <w:bCs/>
          <w:sz w:val="22"/>
        </w:rPr>
      </w:pPr>
    </w:p>
    <w:p w14:paraId="0AFEA7E1" w14:textId="77777777" w:rsidR="00B15B01" w:rsidRDefault="00B15B01" w:rsidP="0093414D">
      <w:pPr>
        <w:rPr>
          <w:rFonts w:cs="Arial"/>
          <w:bCs/>
          <w:sz w:val="22"/>
        </w:rPr>
      </w:pPr>
    </w:p>
    <w:p w14:paraId="1B7DF037" w14:textId="77777777" w:rsidR="00B15B01" w:rsidRPr="00117BE7" w:rsidRDefault="00B15B01" w:rsidP="0093414D">
      <w:pPr>
        <w:rPr>
          <w:rFonts w:cs="Arial"/>
          <w:bCs/>
          <w:sz w:val="22"/>
        </w:rPr>
      </w:pPr>
    </w:p>
    <w:p w14:paraId="64666AD1" w14:textId="77777777" w:rsidR="004955E7" w:rsidRPr="0093414D" w:rsidRDefault="004955E7" w:rsidP="0093414D">
      <w:pPr>
        <w:rPr>
          <w:rFonts w:ascii="Arial" w:hAnsi="Arial" w:cs="Arial"/>
          <w:b/>
          <w:bCs/>
          <w:sz w:val="22"/>
          <w:szCs w:val="22"/>
        </w:rPr>
      </w:pPr>
      <w:bookmarkStart w:id="123" w:name="_Toc152927394"/>
      <w:r>
        <w:rPr>
          <w:rFonts w:ascii="Arial" w:hAnsi="Arial"/>
          <w:b/>
          <w:sz w:val="22"/>
        </w:rPr>
        <w:lastRenderedPageBreak/>
        <w:t>Conditions for payment</w:t>
      </w:r>
      <w:bookmarkEnd w:id="123"/>
    </w:p>
    <w:p w14:paraId="50664FF5" w14:textId="6BC7A444" w:rsidR="00BB0435" w:rsidRDefault="004955E7" w:rsidP="004955E7">
      <w:pPr>
        <w:rPr>
          <w:rFonts w:ascii="Arial" w:hAnsi="Arial" w:cs="Arial"/>
          <w:sz w:val="22"/>
          <w:szCs w:val="22"/>
        </w:rPr>
      </w:pPr>
      <w:r>
        <w:rPr>
          <w:rFonts w:ascii="Arial" w:hAnsi="Arial"/>
          <w:sz w:val="22"/>
        </w:rPr>
        <w:t>The legislative proposal on this matter states that you can withdraw a maximum of 10% of your pension as a lump sum on the date on which the pension becomes payable. There are no restrictions on how you may spend this amount.</w:t>
      </w:r>
    </w:p>
    <w:p w14:paraId="5D1B560A" w14:textId="77777777" w:rsidR="00BB0435" w:rsidRDefault="00BB0435" w:rsidP="004955E7">
      <w:pPr>
        <w:rPr>
          <w:rFonts w:ascii="Arial" w:hAnsi="Arial" w:cs="Arial"/>
          <w:sz w:val="22"/>
          <w:szCs w:val="22"/>
        </w:rPr>
      </w:pPr>
    </w:p>
    <w:p w14:paraId="481CBE53" w14:textId="2FD9D96F" w:rsidR="004955E7" w:rsidRDefault="004955E7" w:rsidP="004955E7">
      <w:pPr>
        <w:rPr>
          <w:rFonts w:ascii="Arial" w:hAnsi="Arial" w:cs="Arial"/>
          <w:sz w:val="22"/>
          <w:szCs w:val="22"/>
        </w:rPr>
      </w:pPr>
      <w:r>
        <w:rPr>
          <w:rFonts w:ascii="Arial" w:hAnsi="Arial"/>
          <w:sz w:val="22"/>
        </w:rPr>
        <w:t>However, you can also choose to receive this 10% of your pension at a later date. This is only possible if your pension start date lies in the month in which you reach state-pension age or is on the first day of the following month.</w:t>
      </w:r>
    </w:p>
    <w:p w14:paraId="4EC995FF" w14:textId="77777777" w:rsidR="00667DA2" w:rsidRPr="00117BE7" w:rsidRDefault="00667DA2" w:rsidP="004955E7">
      <w:pPr>
        <w:rPr>
          <w:rFonts w:ascii="Arial" w:hAnsi="Arial" w:cs="Arial"/>
          <w:sz w:val="22"/>
          <w:szCs w:val="22"/>
        </w:rPr>
      </w:pPr>
    </w:p>
    <w:p w14:paraId="4CA8199A" w14:textId="77777777" w:rsidR="004955E7" w:rsidRPr="0093414D" w:rsidRDefault="004955E7" w:rsidP="0093414D">
      <w:pPr>
        <w:rPr>
          <w:rFonts w:ascii="Arial" w:hAnsi="Arial" w:cs="Arial"/>
          <w:b/>
          <w:bCs/>
          <w:sz w:val="22"/>
          <w:szCs w:val="22"/>
        </w:rPr>
      </w:pPr>
      <w:bookmarkStart w:id="124" w:name="_Toc152927395"/>
      <w:r>
        <w:rPr>
          <w:rFonts w:ascii="Arial" w:hAnsi="Arial"/>
          <w:b/>
          <w:sz w:val="22"/>
        </w:rPr>
        <w:t>Deferred again</w:t>
      </w:r>
      <w:bookmarkEnd w:id="124"/>
    </w:p>
    <w:p w14:paraId="3D5FDD8C" w14:textId="670DDFD6" w:rsidR="00F22BB3" w:rsidRDefault="004955E7" w:rsidP="004955E7">
      <w:pPr>
        <w:rPr>
          <w:rFonts w:ascii="Arial" w:hAnsi="Arial" w:cs="Arial"/>
          <w:sz w:val="22"/>
          <w:szCs w:val="22"/>
        </w:rPr>
      </w:pPr>
      <w:r>
        <w:rPr>
          <w:rFonts w:ascii="Arial" w:hAnsi="Arial"/>
          <w:sz w:val="22"/>
        </w:rPr>
        <w:t>The option of withdrawing 10% of your pension as a lump sum was originally due to take effect on 1 January 2023. This date has already been put back several times and has now been deferred until 1 July 2026. The legislative proposal was passed by the Lower House on 8 October 2024 and is still awaiting the approval of the Upper House. The question is therefore whether the planned deadline of 1 July 2026 will be achieved for the introduction of the legislation.</w:t>
      </w:r>
    </w:p>
    <w:p w14:paraId="5B0BC250" w14:textId="77777777" w:rsidR="007C4EBB" w:rsidRDefault="007C4EBB" w:rsidP="0093414D">
      <w:pPr>
        <w:rPr>
          <w:rFonts w:ascii="Arial" w:hAnsi="Arial"/>
          <w:b/>
          <w:sz w:val="22"/>
        </w:rPr>
      </w:pPr>
      <w:bookmarkStart w:id="125" w:name="_Toc152927396"/>
    </w:p>
    <w:p w14:paraId="0F0485C9" w14:textId="28302BC4" w:rsidR="004955E7" w:rsidRPr="0093414D" w:rsidRDefault="004955E7" w:rsidP="0093414D">
      <w:pPr>
        <w:rPr>
          <w:rFonts w:ascii="Arial" w:hAnsi="Arial" w:cs="Arial"/>
          <w:b/>
          <w:bCs/>
          <w:sz w:val="22"/>
          <w:szCs w:val="22"/>
        </w:rPr>
      </w:pPr>
      <w:r>
        <w:rPr>
          <w:rFonts w:ascii="Arial" w:hAnsi="Arial"/>
          <w:b/>
          <w:sz w:val="22"/>
        </w:rPr>
        <w:t>Cannot be combined with option of high/low pension payments</w:t>
      </w:r>
      <w:bookmarkEnd w:id="125"/>
      <w:r>
        <w:rPr>
          <w:rFonts w:ascii="Arial" w:hAnsi="Arial"/>
          <w:b/>
          <w:sz w:val="22"/>
        </w:rPr>
        <w:t xml:space="preserve"> or bridging pension</w:t>
      </w:r>
    </w:p>
    <w:p w14:paraId="3B8D2286" w14:textId="6A938462" w:rsidR="004955E7" w:rsidRDefault="004955E7" w:rsidP="004955E7">
      <w:pPr>
        <w:rPr>
          <w:rFonts w:ascii="Arial" w:hAnsi="Arial" w:cs="Arial"/>
          <w:sz w:val="22"/>
          <w:szCs w:val="22"/>
        </w:rPr>
      </w:pPr>
      <w:r>
        <w:rPr>
          <w:rFonts w:ascii="Arial" w:hAnsi="Arial"/>
          <w:sz w:val="22"/>
        </w:rPr>
        <w:t>Many pension schemes currently offer the option of receiving a higher pension initially and a lower pension later, or vice versa. In such cases the pension payments are not allowed to differ by more than 25%. A large number of pension schemes also offer the possibility of opting for a bridging pension, which is paid out until the state-pension date. This option cannot, however, be combined with the withdrawal of 10% of the pension as a lump sum on the pension date.</w:t>
      </w:r>
    </w:p>
    <w:p w14:paraId="253D65E1" w14:textId="77777777" w:rsidR="00930140" w:rsidRPr="0080169D" w:rsidRDefault="00930140" w:rsidP="00930140">
      <w:pPr>
        <w:pStyle w:val="Normaalweb"/>
        <w:spacing w:before="0" w:beforeAutospacing="0" w:after="0" w:afterAutospacing="0"/>
        <w:rPr>
          <w:rFonts w:ascii="Arial" w:hAnsi="Arial" w:cs="Arial"/>
          <w:sz w:val="22"/>
          <w:szCs w:val="22"/>
        </w:rPr>
      </w:pPr>
    </w:p>
    <w:p w14:paraId="3F7A2295" w14:textId="6ADCB325" w:rsidR="00930140" w:rsidRDefault="00930140" w:rsidP="00930140">
      <w:pPr>
        <w:shd w:val="clear" w:color="auto" w:fill="D9D9D9"/>
        <w:tabs>
          <w:tab w:val="left" w:pos="283"/>
          <w:tab w:val="left" w:pos="567"/>
          <w:tab w:val="left" w:pos="5102"/>
          <w:tab w:val="right" w:pos="6236"/>
          <w:tab w:val="left" w:pos="6520"/>
          <w:tab w:val="right" w:pos="7654"/>
          <w:tab w:val="left" w:pos="7937"/>
          <w:tab w:val="right" w:pos="9071"/>
        </w:tabs>
        <w:rPr>
          <w:rFonts w:ascii="Arial" w:hAnsi="Arial" w:cs="Arial"/>
          <w:b/>
          <w:bCs/>
          <w:sz w:val="22"/>
          <w:szCs w:val="22"/>
        </w:rPr>
      </w:pPr>
      <w:r>
        <w:rPr>
          <w:rFonts w:ascii="Arial" w:hAnsi="Arial"/>
          <w:b/>
          <w:sz w:val="22"/>
        </w:rPr>
        <w:t>Tip:</w:t>
      </w:r>
    </w:p>
    <w:p w14:paraId="334E3505" w14:textId="1B03DC40" w:rsidR="005C5BDA" w:rsidRPr="005746BA" w:rsidRDefault="00930140" w:rsidP="005746BA">
      <w:pPr>
        <w:shd w:val="clear" w:color="auto" w:fill="D9D9D9"/>
        <w:tabs>
          <w:tab w:val="left" w:pos="283"/>
          <w:tab w:val="left" w:pos="567"/>
          <w:tab w:val="left" w:pos="5102"/>
          <w:tab w:val="right" w:pos="6236"/>
          <w:tab w:val="left" w:pos="6520"/>
          <w:tab w:val="right" w:pos="7654"/>
          <w:tab w:val="left" w:pos="7937"/>
          <w:tab w:val="right" w:pos="9071"/>
        </w:tabs>
        <w:rPr>
          <w:rFonts w:ascii="Arial" w:hAnsi="Arial" w:cs="Arial"/>
          <w:sz w:val="22"/>
          <w:szCs w:val="22"/>
        </w:rPr>
      </w:pPr>
      <w:r>
        <w:rPr>
          <w:rFonts w:ascii="Arial" w:hAnsi="Arial"/>
          <w:sz w:val="22"/>
        </w:rPr>
        <w:t xml:space="preserve">Is your employee considering making use of the option of receiving </w:t>
      </w:r>
      <w:r>
        <w:rPr>
          <w:rFonts w:ascii="Arial" w:hAnsi="Arial"/>
          <w:sz w:val="22"/>
          <w:highlight w:val="lightGray"/>
        </w:rPr>
        <w:t>10% of</w:t>
      </w:r>
      <w:r>
        <w:rPr>
          <w:rFonts w:ascii="Arial" w:hAnsi="Arial"/>
          <w:sz w:val="22"/>
        </w:rPr>
        <w:t xml:space="preserve"> his/her pension as a lump-sum pension payment in the future? If so, talk to one of our advisors to find out what the (tax) consequences might be in your employee’s specific situation.</w:t>
      </w:r>
      <w:bookmarkEnd w:id="122"/>
    </w:p>
    <w:p w14:paraId="6CC924B2" w14:textId="77777777" w:rsidR="005746BA" w:rsidRDefault="005746BA" w:rsidP="005746BA"/>
    <w:p w14:paraId="7CDFC501" w14:textId="77777777" w:rsidR="00D02F58" w:rsidRPr="00D02F58" w:rsidRDefault="00D02F58" w:rsidP="003E234B">
      <w:pPr>
        <w:pStyle w:val="Kop2"/>
        <w:ind w:hanging="283"/>
        <w:rPr>
          <w:bCs/>
        </w:rPr>
      </w:pPr>
      <w:r>
        <w:t>Exemption from pseudo final levy for early retirement scheme extended and increased</w:t>
      </w:r>
    </w:p>
    <w:p w14:paraId="0DA5194B" w14:textId="016651AC" w:rsidR="00D02F58" w:rsidRPr="00290A32" w:rsidRDefault="00D02F58" w:rsidP="00290A32">
      <w:pPr>
        <w:rPr>
          <w:rFonts w:ascii="Arial" w:hAnsi="Arial" w:cs="Arial"/>
          <w:sz w:val="22"/>
          <w:szCs w:val="22"/>
        </w:rPr>
      </w:pPr>
    </w:p>
    <w:p w14:paraId="5F889F59" w14:textId="201881EE" w:rsidR="00D02F58" w:rsidRDefault="00D02F58" w:rsidP="00D02F58">
      <w:pPr>
        <w:rPr>
          <w:rFonts w:ascii="Arial" w:hAnsi="Arial" w:cs="Arial"/>
          <w:sz w:val="22"/>
          <w:szCs w:val="22"/>
        </w:rPr>
      </w:pPr>
      <w:r>
        <w:rPr>
          <w:rFonts w:ascii="Arial" w:hAnsi="Arial"/>
          <w:sz w:val="22"/>
        </w:rPr>
        <w:t>For the 2021-2025 period the rules of the early retirement scheme (RVU) were relaxed. Following an agreement reached in October 2024 and the announcement in the 2025 Spring Memorandum, this relaxation of the rules has been extended and the exemption has been increased with effect from 2026.</w:t>
      </w:r>
    </w:p>
    <w:p w14:paraId="1B44B592" w14:textId="77777777" w:rsidR="00D02F58" w:rsidRDefault="00D02F58" w:rsidP="00D02F58">
      <w:pPr>
        <w:rPr>
          <w:rFonts w:ascii="Arial" w:hAnsi="Arial" w:cs="Arial"/>
          <w:sz w:val="22"/>
          <w:szCs w:val="22"/>
        </w:rPr>
      </w:pPr>
    </w:p>
    <w:p w14:paraId="1A42878C" w14:textId="77777777" w:rsidR="00D02F58" w:rsidRPr="00446E22" w:rsidRDefault="00D02F58" w:rsidP="00446E22">
      <w:pPr>
        <w:rPr>
          <w:rFonts w:ascii="Arial" w:hAnsi="Arial" w:cs="Arial"/>
          <w:b/>
          <w:bCs/>
          <w:sz w:val="22"/>
          <w:szCs w:val="22"/>
        </w:rPr>
      </w:pPr>
      <w:r>
        <w:rPr>
          <w:rFonts w:ascii="Arial" w:hAnsi="Arial"/>
          <w:b/>
          <w:sz w:val="22"/>
        </w:rPr>
        <w:t>Pseudo final levy for early retirement scheme</w:t>
      </w:r>
    </w:p>
    <w:p w14:paraId="0556BDAF" w14:textId="0703FB6A" w:rsidR="00D02F58" w:rsidRPr="00D02F58" w:rsidRDefault="00D02F58" w:rsidP="00D02F58">
      <w:pPr>
        <w:rPr>
          <w:rFonts w:ascii="Arial" w:hAnsi="Arial" w:cs="Arial"/>
          <w:sz w:val="22"/>
          <w:szCs w:val="22"/>
        </w:rPr>
      </w:pPr>
      <w:r>
        <w:rPr>
          <w:rFonts w:ascii="Arial" w:hAnsi="Arial"/>
          <w:sz w:val="22"/>
        </w:rPr>
        <w:t>If, as an employer, you make a payment to an older employee so that he/she can stop working earlier, you owe a pseudo final levy of 52% on the amount above the level of the exemption. This applies if the payment is made under an early retirement scheme (RVU). This is the case if the scheme is intended to bridge a period (of no more than three years) up to the point when payments begin under a pension scheme or the employee starts receiving the state pension. Payments that supplement a pension scheme are also regarded as payments under an early retirement scheme.</w:t>
      </w:r>
    </w:p>
    <w:p w14:paraId="3079052D" w14:textId="77777777" w:rsidR="00D02F58" w:rsidRDefault="00D02F58" w:rsidP="00D02F58">
      <w:pPr>
        <w:rPr>
          <w:rFonts w:ascii="Arial" w:hAnsi="Arial" w:cs="Arial"/>
          <w:b/>
          <w:bCs/>
          <w:sz w:val="22"/>
          <w:szCs w:val="22"/>
        </w:rPr>
      </w:pPr>
    </w:p>
    <w:p w14:paraId="5359E8B3" w14:textId="77777777" w:rsidR="00D02F58" w:rsidRDefault="00D02F58" w:rsidP="007B7731">
      <w:pPr>
        <w:shd w:val="clear" w:color="auto" w:fill="D9D9D9" w:themeFill="background1" w:themeFillShade="D9"/>
        <w:rPr>
          <w:rFonts w:ascii="Arial" w:hAnsi="Arial" w:cs="Arial"/>
          <w:b/>
          <w:bCs/>
          <w:sz w:val="22"/>
          <w:szCs w:val="22"/>
        </w:rPr>
      </w:pPr>
      <w:r>
        <w:rPr>
          <w:rFonts w:ascii="Arial" w:hAnsi="Arial"/>
          <w:b/>
          <w:sz w:val="22"/>
        </w:rPr>
        <w:t>Please note:</w:t>
      </w:r>
    </w:p>
    <w:p w14:paraId="6BB7A269" w14:textId="01CDE86A" w:rsidR="00D02F58" w:rsidRPr="00D02F58" w:rsidRDefault="00D02F58" w:rsidP="007B7731">
      <w:pPr>
        <w:shd w:val="clear" w:color="auto" w:fill="D9D9D9" w:themeFill="background1" w:themeFillShade="D9"/>
        <w:rPr>
          <w:rFonts w:ascii="Arial" w:hAnsi="Arial" w:cs="Arial"/>
          <w:sz w:val="22"/>
          <w:szCs w:val="22"/>
        </w:rPr>
      </w:pPr>
      <w:r>
        <w:rPr>
          <w:rFonts w:ascii="Arial" w:hAnsi="Arial"/>
          <w:sz w:val="22"/>
        </w:rPr>
        <w:t>The question of whether or not an RVU applies has been clarified in guides as well as by the courts. Please contact one of our advisors for help with your own situation.</w:t>
      </w:r>
    </w:p>
    <w:p w14:paraId="6F53BA73" w14:textId="77777777" w:rsidR="00D02F58" w:rsidRDefault="00D02F58" w:rsidP="00D02F58">
      <w:pPr>
        <w:rPr>
          <w:rFonts w:ascii="Arial" w:hAnsi="Arial" w:cs="Arial"/>
          <w:sz w:val="22"/>
          <w:szCs w:val="22"/>
        </w:rPr>
      </w:pPr>
    </w:p>
    <w:p w14:paraId="7EDE8D0D" w14:textId="3F0CF65A" w:rsidR="00D02F58" w:rsidRPr="00446E22" w:rsidRDefault="00D02F58" w:rsidP="00446E22">
      <w:pPr>
        <w:rPr>
          <w:rFonts w:ascii="Arial" w:hAnsi="Arial" w:cs="Arial"/>
          <w:b/>
          <w:bCs/>
          <w:sz w:val="22"/>
          <w:szCs w:val="22"/>
        </w:rPr>
      </w:pPr>
      <w:r>
        <w:rPr>
          <w:rFonts w:ascii="Arial" w:hAnsi="Arial"/>
          <w:b/>
          <w:sz w:val="22"/>
        </w:rPr>
        <w:lastRenderedPageBreak/>
        <w:t>Exemption from pseudo final levy for early retirement scheme</w:t>
      </w:r>
    </w:p>
    <w:p w14:paraId="3AD6361E" w14:textId="77777777" w:rsidR="00D02F58" w:rsidRPr="00D02F58" w:rsidRDefault="00D02F58" w:rsidP="00D02F58">
      <w:pPr>
        <w:rPr>
          <w:rFonts w:ascii="Arial" w:hAnsi="Arial" w:cs="Arial"/>
          <w:sz w:val="22"/>
          <w:szCs w:val="22"/>
        </w:rPr>
      </w:pPr>
      <w:r>
        <w:rPr>
          <w:rFonts w:ascii="Arial" w:hAnsi="Arial"/>
          <w:sz w:val="22"/>
        </w:rPr>
        <w:t>Since 1 January 2021 it has been possible to pay a sum to an employee in the three years before he/she reaches state-pension age without having to pay the pseudo final levy. The level of the exemption that applies to such payments is determined on an annual basis. If the payment under the early retirement scheme is higher than the exemption, a pseudo final levy of 52% is owed on the excess amount.</w:t>
      </w:r>
    </w:p>
    <w:p w14:paraId="03FF795D" w14:textId="77777777" w:rsidR="00D02F58" w:rsidRDefault="00D02F58" w:rsidP="00D02F58">
      <w:pPr>
        <w:rPr>
          <w:rFonts w:ascii="Arial" w:hAnsi="Arial" w:cs="Arial"/>
          <w:sz w:val="22"/>
          <w:szCs w:val="22"/>
        </w:rPr>
      </w:pPr>
    </w:p>
    <w:p w14:paraId="46E6E342" w14:textId="1515E504" w:rsidR="00D02F58" w:rsidRPr="00446E22" w:rsidRDefault="00D02F58" w:rsidP="00446E22">
      <w:pPr>
        <w:rPr>
          <w:rFonts w:ascii="Arial" w:hAnsi="Arial" w:cs="Arial"/>
          <w:b/>
          <w:bCs/>
          <w:sz w:val="22"/>
          <w:szCs w:val="22"/>
        </w:rPr>
      </w:pPr>
      <w:r>
        <w:rPr>
          <w:rFonts w:ascii="Arial" w:hAnsi="Arial"/>
          <w:b/>
          <w:sz w:val="22"/>
        </w:rPr>
        <w:t>Extension of exemption</w:t>
      </w:r>
    </w:p>
    <w:p w14:paraId="22A923F5" w14:textId="30EDAB6E" w:rsidR="00D02F58" w:rsidRDefault="00D02F58" w:rsidP="00D02F58">
      <w:pPr>
        <w:rPr>
          <w:rFonts w:ascii="Arial" w:hAnsi="Arial" w:cs="Arial"/>
          <w:sz w:val="22"/>
          <w:szCs w:val="22"/>
        </w:rPr>
      </w:pPr>
      <w:r>
        <w:rPr>
          <w:rFonts w:ascii="Arial" w:hAnsi="Arial"/>
          <w:sz w:val="22"/>
        </w:rPr>
        <w:t xml:space="preserve">The social partners and the government have agreed to make the exemption permanent. This means that it will remain possible to make use of it at least until the end of 2028. </w:t>
      </w:r>
    </w:p>
    <w:p w14:paraId="0F319260" w14:textId="77777777" w:rsidR="00D02F58" w:rsidRPr="00D02F58" w:rsidRDefault="00D02F58" w:rsidP="00D02F58">
      <w:pPr>
        <w:rPr>
          <w:rFonts w:ascii="Arial" w:hAnsi="Arial" w:cs="Arial"/>
          <w:sz w:val="22"/>
          <w:szCs w:val="22"/>
        </w:rPr>
      </w:pPr>
    </w:p>
    <w:p w14:paraId="15D0CE65" w14:textId="77777777" w:rsidR="00D02F58" w:rsidRDefault="00D02F58" w:rsidP="007B7731">
      <w:pPr>
        <w:shd w:val="clear" w:color="auto" w:fill="D9D9D9" w:themeFill="background1" w:themeFillShade="D9"/>
        <w:rPr>
          <w:rFonts w:ascii="Arial" w:hAnsi="Arial" w:cs="Arial"/>
          <w:b/>
          <w:bCs/>
          <w:sz w:val="22"/>
          <w:szCs w:val="22"/>
        </w:rPr>
      </w:pPr>
      <w:r>
        <w:rPr>
          <w:rFonts w:ascii="Arial" w:hAnsi="Arial"/>
          <w:b/>
          <w:sz w:val="22"/>
        </w:rPr>
        <w:t>Please note:</w:t>
      </w:r>
    </w:p>
    <w:p w14:paraId="4DD544B2" w14:textId="1BC5FEE8" w:rsidR="00D02F58" w:rsidRPr="00D02F58" w:rsidRDefault="00D02F58" w:rsidP="007B7731">
      <w:pPr>
        <w:shd w:val="clear" w:color="auto" w:fill="D9D9D9" w:themeFill="background1" w:themeFillShade="D9"/>
        <w:rPr>
          <w:rFonts w:ascii="Arial" w:hAnsi="Arial" w:cs="Arial"/>
          <w:sz w:val="22"/>
          <w:szCs w:val="22"/>
        </w:rPr>
      </w:pPr>
      <w:r>
        <w:rPr>
          <w:rFonts w:ascii="Arial" w:hAnsi="Arial"/>
          <w:sz w:val="22"/>
        </w:rPr>
        <w:t>The permanent scheme is specifically intended for employees who perform arduous work and cannot continue working up to state-pension age for health reasons. The government and social partners have made agreements on how (collective) early retirement schemes can be structured. Such schemes must always define the target group in a substantiated manner, for example.</w:t>
      </w:r>
    </w:p>
    <w:p w14:paraId="6AC60D54" w14:textId="77777777" w:rsidR="00667DA2" w:rsidRDefault="00667DA2" w:rsidP="00D02F58">
      <w:pPr>
        <w:rPr>
          <w:rFonts w:ascii="Arial" w:hAnsi="Arial" w:cs="Arial"/>
          <w:sz w:val="22"/>
          <w:szCs w:val="22"/>
        </w:rPr>
      </w:pPr>
    </w:p>
    <w:p w14:paraId="09B94093" w14:textId="383F0030" w:rsidR="00D02F58" w:rsidRPr="00446E22" w:rsidRDefault="00D02F58" w:rsidP="00446E22">
      <w:pPr>
        <w:rPr>
          <w:rFonts w:ascii="Arial" w:hAnsi="Arial" w:cs="Arial"/>
          <w:b/>
          <w:bCs/>
          <w:sz w:val="22"/>
          <w:szCs w:val="22"/>
        </w:rPr>
      </w:pPr>
      <w:r>
        <w:rPr>
          <w:rFonts w:ascii="Arial" w:hAnsi="Arial"/>
          <w:b/>
          <w:sz w:val="22"/>
        </w:rPr>
        <w:t>Increase in exemption</w:t>
      </w:r>
    </w:p>
    <w:p w14:paraId="22EF0E10" w14:textId="4DC0FFEA" w:rsidR="00D02F58" w:rsidRDefault="00D02F58" w:rsidP="00D02F58">
      <w:pPr>
        <w:rPr>
          <w:rFonts w:ascii="Arial" w:hAnsi="Arial" w:cs="Arial"/>
          <w:sz w:val="22"/>
          <w:szCs w:val="22"/>
        </w:rPr>
      </w:pPr>
      <w:r>
        <w:rPr>
          <w:rFonts w:ascii="Arial" w:hAnsi="Arial"/>
          <w:sz w:val="22"/>
        </w:rPr>
        <w:t>With effect from 2026 the exemption has also been increased by € 300 gross per month. This figure of € 300 will be indexed annually based on the development of the minimum wage. In 2026 the exemption (after indexation) amounts to € 2,657 gross per month (2025: € 2,273).</w:t>
      </w:r>
    </w:p>
    <w:p w14:paraId="41A70CAA" w14:textId="77777777" w:rsidR="003A3FF2" w:rsidRDefault="003A3FF2" w:rsidP="00D02F58">
      <w:pPr>
        <w:rPr>
          <w:rFonts w:ascii="Arial" w:hAnsi="Arial" w:cs="Arial"/>
          <w:sz w:val="22"/>
          <w:szCs w:val="22"/>
        </w:rPr>
      </w:pPr>
    </w:p>
    <w:tbl>
      <w:tblPr>
        <w:tblStyle w:val="Tabelraster"/>
        <w:tblW w:w="0" w:type="auto"/>
        <w:tblLook w:val="04A0" w:firstRow="1" w:lastRow="0" w:firstColumn="1" w:lastColumn="0" w:noHBand="0" w:noVBand="1"/>
      </w:tblPr>
      <w:tblGrid>
        <w:gridCol w:w="4531"/>
        <w:gridCol w:w="4531"/>
      </w:tblGrid>
      <w:tr w:rsidR="00446E22" w14:paraId="1BF6E49F" w14:textId="77777777" w:rsidTr="00F0454F">
        <w:tc>
          <w:tcPr>
            <w:tcW w:w="4531" w:type="dxa"/>
          </w:tcPr>
          <w:p w14:paraId="7D6A5C5E" w14:textId="77777777" w:rsidR="00446E22" w:rsidRPr="00D32FDD" w:rsidRDefault="00446E22" w:rsidP="00F0454F">
            <w:pPr>
              <w:rPr>
                <w:rFonts w:ascii="Arial" w:hAnsi="Arial" w:cs="Arial"/>
                <w:b/>
                <w:bCs/>
                <w:sz w:val="22"/>
                <w:szCs w:val="22"/>
              </w:rPr>
            </w:pPr>
            <w:r>
              <w:rPr>
                <w:rFonts w:ascii="Arial" w:hAnsi="Arial"/>
                <w:b/>
                <w:sz w:val="22"/>
              </w:rPr>
              <w:t>Year</w:t>
            </w:r>
          </w:p>
        </w:tc>
        <w:tc>
          <w:tcPr>
            <w:tcW w:w="4531" w:type="dxa"/>
          </w:tcPr>
          <w:p w14:paraId="74668485" w14:textId="77777777" w:rsidR="00446E22" w:rsidRPr="00D32FDD" w:rsidRDefault="00446E22" w:rsidP="00F0454F">
            <w:pPr>
              <w:rPr>
                <w:rFonts w:ascii="Arial" w:hAnsi="Arial" w:cs="Arial"/>
                <w:b/>
                <w:bCs/>
                <w:sz w:val="22"/>
                <w:szCs w:val="22"/>
              </w:rPr>
            </w:pPr>
            <w:r>
              <w:rPr>
                <w:rFonts w:ascii="Arial" w:hAnsi="Arial"/>
                <w:b/>
                <w:sz w:val="22"/>
              </w:rPr>
              <w:t>Exemption (gross per month)</w:t>
            </w:r>
          </w:p>
        </w:tc>
      </w:tr>
      <w:tr w:rsidR="00446E22" w14:paraId="7D35BFC3" w14:textId="77777777" w:rsidTr="00F0454F">
        <w:tc>
          <w:tcPr>
            <w:tcW w:w="4531" w:type="dxa"/>
          </w:tcPr>
          <w:p w14:paraId="69AD5671" w14:textId="77777777" w:rsidR="00446E22" w:rsidRDefault="00446E22" w:rsidP="00F0454F">
            <w:pPr>
              <w:rPr>
                <w:rFonts w:ascii="Arial" w:hAnsi="Arial" w:cs="Arial"/>
                <w:sz w:val="22"/>
                <w:szCs w:val="22"/>
              </w:rPr>
            </w:pPr>
            <w:r>
              <w:rPr>
                <w:rFonts w:ascii="Arial" w:hAnsi="Arial"/>
                <w:sz w:val="22"/>
              </w:rPr>
              <w:t>2021</w:t>
            </w:r>
          </w:p>
        </w:tc>
        <w:tc>
          <w:tcPr>
            <w:tcW w:w="4531" w:type="dxa"/>
          </w:tcPr>
          <w:p w14:paraId="39DA0D1C" w14:textId="77777777" w:rsidR="00446E22" w:rsidRDefault="00446E22" w:rsidP="00F0454F">
            <w:pPr>
              <w:rPr>
                <w:rFonts w:ascii="Arial" w:hAnsi="Arial" w:cs="Arial"/>
                <w:sz w:val="22"/>
                <w:szCs w:val="22"/>
              </w:rPr>
            </w:pPr>
            <w:r>
              <w:rPr>
                <w:rFonts w:ascii="Arial" w:hAnsi="Arial"/>
                <w:sz w:val="22"/>
              </w:rPr>
              <w:t>€ 1,847</w:t>
            </w:r>
          </w:p>
        </w:tc>
      </w:tr>
      <w:tr w:rsidR="00446E22" w14:paraId="68BF7E77" w14:textId="77777777" w:rsidTr="00F0454F">
        <w:tc>
          <w:tcPr>
            <w:tcW w:w="4531" w:type="dxa"/>
          </w:tcPr>
          <w:p w14:paraId="120A9ED1" w14:textId="77777777" w:rsidR="00446E22" w:rsidRDefault="00446E22" w:rsidP="00F0454F">
            <w:pPr>
              <w:rPr>
                <w:rFonts w:ascii="Arial" w:hAnsi="Arial" w:cs="Arial"/>
                <w:sz w:val="22"/>
                <w:szCs w:val="22"/>
              </w:rPr>
            </w:pPr>
            <w:r>
              <w:rPr>
                <w:rFonts w:ascii="Arial" w:hAnsi="Arial"/>
                <w:sz w:val="22"/>
              </w:rPr>
              <w:t>2022</w:t>
            </w:r>
          </w:p>
        </w:tc>
        <w:tc>
          <w:tcPr>
            <w:tcW w:w="4531" w:type="dxa"/>
          </w:tcPr>
          <w:p w14:paraId="3C7B7EE2" w14:textId="77777777" w:rsidR="00446E22" w:rsidRDefault="00446E22" w:rsidP="00F0454F">
            <w:pPr>
              <w:rPr>
                <w:rFonts w:ascii="Arial" w:hAnsi="Arial" w:cs="Arial"/>
                <w:sz w:val="22"/>
                <w:szCs w:val="22"/>
              </w:rPr>
            </w:pPr>
            <w:r>
              <w:rPr>
                <w:rFonts w:ascii="Arial" w:hAnsi="Arial"/>
                <w:sz w:val="22"/>
              </w:rPr>
              <w:t>€ 1,874</w:t>
            </w:r>
          </w:p>
        </w:tc>
      </w:tr>
      <w:tr w:rsidR="00446E22" w14:paraId="2D082ABA" w14:textId="77777777" w:rsidTr="00F0454F">
        <w:tc>
          <w:tcPr>
            <w:tcW w:w="4531" w:type="dxa"/>
          </w:tcPr>
          <w:p w14:paraId="15637752" w14:textId="77777777" w:rsidR="00446E22" w:rsidRDefault="00446E22" w:rsidP="00F0454F">
            <w:pPr>
              <w:rPr>
                <w:rFonts w:ascii="Arial" w:hAnsi="Arial" w:cs="Arial"/>
                <w:sz w:val="22"/>
                <w:szCs w:val="22"/>
              </w:rPr>
            </w:pPr>
            <w:r>
              <w:rPr>
                <w:rFonts w:ascii="Arial" w:hAnsi="Arial"/>
                <w:sz w:val="22"/>
              </w:rPr>
              <w:t>2023</w:t>
            </w:r>
          </w:p>
        </w:tc>
        <w:tc>
          <w:tcPr>
            <w:tcW w:w="4531" w:type="dxa"/>
          </w:tcPr>
          <w:p w14:paraId="23E54155" w14:textId="77777777" w:rsidR="00446E22" w:rsidRDefault="00446E22" w:rsidP="00F0454F">
            <w:pPr>
              <w:rPr>
                <w:rFonts w:ascii="Arial" w:hAnsi="Arial" w:cs="Arial"/>
                <w:sz w:val="22"/>
                <w:szCs w:val="22"/>
              </w:rPr>
            </w:pPr>
            <w:r>
              <w:rPr>
                <w:rFonts w:ascii="Arial" w:hAnsi="Arial"/>
                <w:sz w:val="22"/>
              </w:rPr>
              <w:t>€ 2,037</w:t>
            </w:r>
          </w:p>
        </w:tc>
      </w:tr>
      <w:tr w:rsidR="00446E22" w14:paraId="54A065DC" w14:textId="77777777" w:rsidTr="00F0454F">
        <w:tc>
          <w:tcPr>
            <w:tcW w:w="4531" w:type="dxa"/>
          </w:tcPr>
          <w:p w14:paraId="2D5BFB09" w14:textId="77777777" w:rsidR="00446E22" w:rsidRDefault="00446E22" w:rsidP="00F0454F">
            <w:pPr>
              <w:rPr>
                <w:rFonts w:ascii="Arial" w:hAnsi="Arial" w:cs="Arial"/>
                <w:sz w:val="22"/>
                <w:szCs w:val="22"/>
              </w:rPr>
            </w:pPr>
            <w:r>
              <w:rPr>
                <w:rFonts w:ascii="Arial" w:hAnsi="Arial"/>
                <w:sz w:val="22"/>
              </w:rPr>
              <w:t>2024</w:t>
            </w:r>
          </w:p>
        </w:tc>
        <w:tc>
          <w:tcPr>
            <w:tcW w:w="4531" w:type="dxa"/>
          </w:tcPr>
          <w:p w14:paraId="3CBA5D77" w14:textId="77777777" w:rsidR="00446E22" w:rsidRDefault="00446E22" w:rsidP="00F0454F">
            <w:pPr>
              <w:rPr>
                <w:rFonts w:ascii="Arial" w:hAnsi="Arial" w:cs="Arial"/>
                <w:sz w:val="22"/>
                <w:szCs w:val="22"/>
              </w:rPr>
            </w:pPr>
            <w:r>
              <w:rPr>
                <w:rFonts w:ascii="Arial" w:hAnsi="Arial"/>
                <w:sz w:val="22"/>
              </w:rPr>
              <w:t>€ 2,182</w:t>
            </w:r>
          </w:p>
        </w:tc>
      </w:tr>
      <w:tr w:rsidR="00446E22" w14:paraId="088382AF" w14:textId="77777777" w:rsidTr="00F0454F">
        <w:tc>
          <w:tcPr>
            <w:tcW w:w="4531" w:type="dxa"/>
          </w:tcPr>
          <w:p w14:paraId="28709BA4" w14:textId="77777777" w:rsidR="00446E22" w:rsidRDefault="00446E22" w:rsidP="00F0454F">
            <w:pPr>
              <w:rPr>
                <w:rFonts w:ascii="Arial" w:hAnsi="Arial" w:cs="Arial"/>
                <w:sz w:val="22"/>
                <w:szCs w:val="22"/>
              </w:rPr>
            </w:pPr>
            <w:r>
              <w:rPr>
                <w:rFonts w:ascii="Arial" w:hAnsi="Arial"/>
                <w:sz w:val="22"/>
              </w:rPr>
              <w:t>2025</w:t>
            </w:r>
          </w:p>
        </w:tc>
        <w:tc>
          <w:tcPr>
            <w:tcW w:w="4531" w:type="dxa"/>
          </w:tcPr>
          <w:p w14:paraId="030F9994" w14:textId="77777777" w:rsidR="00446E22" w:rsidRDefault="00446E22" w:rsidP="00F0454F">
            <w:pPr>
              <w:rPr>
                <w:rFonts w:ascii="Arial" w:hAnsi="Arial" w:cs="Arial"/>
                <w:sz w:val="22"/>
                <w:szCs w:val="22"/>
              </w:rPr>
            </w:pPr>
            <w:r>
              <w:rPr>
                <w:rFonts w:ascii="Arial" w:hAnsi="Arial"/>
                <w:sz w:val="22"/>
              </w:rPr>
              <w:t>€ 2,273</w:t>
            </w:r>
          </w:p>
        </w:tc>
      </w:tr>
      <w:tr w:rsidR="00446E22" w14:paraId="57507D0F" w14:textId="77777777" w:rsidTr="00F0454F">
        <w:tc>
          <w:tcPr>
            <w:tcW w:w="4531" w:type="dxa"/>
          </w:tcPr>
          <w:p w14:paraId="15E16AED" w14:textId="3190CEB9" w:rsidR="00446E22" w:rsidRDefault="00446E22" w:rsidP="00F0454F">
            <w:pPr>
              <w:rPr>
                <w:rFonts w:ascii="Arial" w:hAnsi="Arial" w:cs="Arial"/>
                <w:sz w:val="22"/>
                <w:szCs w:val="22"/>
              </w:rPr>
            </w:pPr>
            <w:r>
              <w:rPr>
                <w:rFonts w:ascii="Arial" w:hAnsi="Arial"/>
                <w:sz w:val="22"/>
              </w:rPr>
              <w:t>2026</w:t>
            </w:r>
          </w:p>
        </w:tc>
        <w:tc>
          <w:tcPr>
            <w:tcW w:w="4531" w:type="dxa"/>
          </w:tcPr>
          <w:p w14:paraId="03CFD5FA" w14:textId="68BC3BA8" w:rsidR="00446E22" w:rsidRDefault="00446E22" w:rsidP="00F0454F">
            <w:pPr>
              <w:rPr>
                <w:rFonts w:ascii="Arial" w:hAnsi="Arial" w:cs="Arial"/>
                <w:sz w:val="22"/>
                <w:szCs w:val="22"/>
              </w:rPr>
            </w:pPr>
            <w:r>
              <w:rPr>
                <w:rFonts w:ascii="Arial" w:hAnsi="Arial"/>
                <w:sz w:val="22"/>
              </w:rPr>
              <w:t>€ 2,657</w:t>
            </w:r>
          </w:p>
        </w:tc>
      </w:tr>
    </w:tbl>
    <w:p w14:paraId="64FACCBA" w14:textId="77777777" w:rsidR="00D02F58" w:rsidRDefault="00D02F58" w:rsidP="00D02F58">
      <w:pPr>
        <w:rPr>
          <w:rFonts w:ascii="Arial" w:hAnsi="Arial" w:cs="Arial"/>
          <w:sz w:val="22"/>
          <w:szCs w:val="22"/>
        </w:rPr>
      </w:pPr>
    </w:p>
    <w:p w14:paraId="47FB3A4D" w14:textId="787CC0BB" w:rsidR="00D02F58" w:rsidRPr="00446E22" w:rsidRDefault="00D02F58" w:rsidP="00446E22">
      <w:pPr>
        <w:rPr>
          <w:rFonts w:ascii="Arial" w:hAnsi="Arial" w:cs="Arial"/>
          <w:b/>
          <w:bCs/>
          <w:sz w:val="22"/>
          <w:szCs w:val="22"/>
        </w:rPr>
      </w:pPr>
      <w:r>
        <w:rPr>
          <w:rFonts w:ascii="Arial" w:hAnsi="Arial"/>
          <w:b/>
          <w:sz w:val="22"/>
        </w:rPr>
        <w:t>Increase in pseudo final levy to a maximum of 65%</w:t>
      </w:r>
    </w:p>
    <w:p w14:paraId="0BF8888C" w14:textId="584239F8" w:rsidR="00D02F58" w:rsidRPr="00D02F58" w:rsidRDefault="00D02F58" w:rsidP="00D02F58">
      <w:pPr>
        <w:rPr>
          <w:rFonts w:ascii="Arial" w:hAnsi="Arial" w:cs="Arial"/>
          <w:sz w:val="22"/>
          <w:szCs w:val="22"/>
        </w:rPr>
      </w:pPr>
      <w:r>
        <w:rPr>
          <w:rFonts w:ascii="Arial" w:hAnsi="Arial"/>
          <w:sz w:val="22"/>
        </w:rPr>
        <w:t>To cover the extension of and increase in the exemption, from 2026 the pseudo final levy will rise incrementally from 52% up to the end of 2025 to 57.7% in 2026, 64% in 2027 and 65% from 2028.</w:t>
      </w:r>
    </w:p>
    <w:p w14:paraId="324D64A4" w14:textId="77777777" w:rsidR="00D02F58" w:rsidRPr="00446E22" w:rsidRDefault="00D02F58" w:rsidP="00446E22">
      <w:pPr>
        <w:rPr>
          <w:rFonts w:ascii="Arial" w:hAnsi="Arial" w:cs="Arial"/>
          <w:sz w:val="22"/>
          <w:szCs w:val="22"/>
        </w:rPr>
      </w:pPr>
    </w:p>
    <w:p w14:paraId="0B584483" w14:textId="77777777" w:rsidR="00B35218" w:rsidRDefault="00B35218">
      <w:pPr>
        <w:rPr>
          <w:rFonts w:ascii="Arial" w:hAnsi="Arial" w:cs="Arial"/>
          <w:sz w:val="22"/>
          <w:szCs w:val="22"/>
        </w:rPr>
      </w:pPr>
    </w:p>
    <w:p w14:paraId="1451BBCB" w14:textId="77777777" w:rsidR="00B35218" w:rsidRDefault="00B35218">
      <w:pPr>
        <w:rPr>
          <w:rFonts w:ascii="Arial" w:hAnsi="Arial" w:cs="Arial"/>
          <w:sz w:val="22"/>
          <w:szCs w:val="22"/>
        </w:rPr>
      </w:pPr>
    </w:p>
    <w:p w14:paraId="33B94E2B" w14:textId="77777777" w:rsidR="00B35218" w:rsidRDefault="00B35218">
      <w:pPr>
        <w:rPr>
          <w:rFonts w:ascii="Arial" w:hAnsi="Arial" w:cs="Arial"/>
          <w:sz w:val="22"/>
          <w:szCs w:val="22"/>
        </w:rPr>
      </w:pPr>
    </w:p>
    <w:p w14:paraId="6AD2C37C" w14:textId="77777777" w:rsidR="00B35218" w:rsidRDefault="00B35218">
      <w:pPr>
        <w:rPr>
          <w:rFonts w:ascii="Arial" w:hAnsi="Arial" w:cs="Arial"/>
          <w:sz w:val="22"/>
          <w:szCs w:val="22"/>
        </w:rPr>
      </w:pPr>
    </w:p>
    <w:p w14:paraId="30F8B1FF" w14:textId="77777777" w:rsidR="00B35218" w:rsidRDefault="00B35218">
      <w:pPr>
        <w:rPr>
          <w:rFonts w:ascii="Arial" w:hAnsi="Arial" w:cs="Arial"/>
          <w:sz w:val="22"/>
          <w:szCs w:val="22"/>
        </w:rPr>
      </w:pPr>
    </w:p>
    <w:p w14:paraId="6EC99AE3" w14:textId="77777777" w:rsidR="00B35218" w:rsidRDefault="00B35218">
      <w:pPr>
        <w:rPr>
          <w:rFonts w:ascii="Arial" w:hAnsi="Arial" w:cs="Arial"/>
          <w:sz w:val="22"/>
          <w:szCs w:val="22"/>
        </w:rPr>
      </w:pPr>
    </w:p>
    <w:p w14:paraId="2EA691AE" w14:textId="77777777" w:rsidR="00B35218" w:rsidRDefault="00B35218">
      <w:pPr>
        <w:rPr>
          <w:rFonts w:ascii="Arial" w:hAnsi="Arial" w:cs="Arial"/>
          <w:sz w:val="22"/>
          <w:szCs w:val="22"/>
        </w:rPr>
      </w:pPr>
    </w:p>
    <w:p w14:paraId="0655ABFF" w14:textId="77777777" w:rsidR="00B35218" w:rsidRDefault="00B35218">
      <w:pPr>
        <w:rPr>
          <w:rFonts w:ascii="Arial" w:hAnsi="Arial" w:cs="Arial"/>
          <w:sz w:val="22"/>
          <w:szCs w:val="22"/>
        </w:rPr>
      </w:pPr>
    </w:p>
    <w:p w14:paraId="72D77E19" w14:textId="77777777" w:rsidR="00347F3A" w:rsidRPr="00347F3A" w:rsidRDefault="00347F3A" w:rsidP="00347F3A">
      <w:pPr>
        <w:rPr>
          <w:rFonts w:ascii="Arial" w:hAnsi="Arial" w:cs="Arial"/>
          <w:i/>
          <w:iCs/>
          <w:sz w:val="22"/>
          <w:szCs w:val="22"/>
        </w:rPr>
      </w:pPr>
      <w:r>
        <w:rPr>
          <w:rFonts w:ascii="Arial" w:hAnsi="Arial"/>
          <w:i/>
          <w:sz w:val="22"/>
        </w:rPr>
        <w:t>Disclaimer</w:t>
      </w:r>
    </w:p>
    <w:p w14:paraId="500D76BF" w14:textId="6D3AACFC" w:rsidR="00347F3A" w:rsidRPr="00347F3A" w:rsidRDefault="00347F3A" w:rsidP="00347F3A">
      <w:pPr>
        <w:rPr>
          <w:rFonts w:ascii="Arial" w:hAnsi="Arial" w:cs="Arial"/>
          <w:i/>
          <w:iCs/>
          <w:sz w:val="22"/>
          <w:szCs w:val="22"/>
        </w:rPr>
      </w:pPr>
      <w:r>
        <w:rPr>
          <w:rFonts w:ascii="Arial" w:hAnsi="Arial"/>
          <w:i/>
          <w:sz w:val="22"/>
        </w:rPr>
        <w:t xml:space="preserve">Although we have compiled this (updated) Special with the utmost care, we cannot accept any liability for omissions or inaccuracies. Due to the broad and general nature of the Special, it is not intended to provide all the information needed to make financial decisions. </w:t>
      </w:r>
    </w:p>
    <w:p w14:paraId="2F916C5B" w14:textId="77777777" w:rsidR="00347F3A" w:rsidRPr="00347F3A" w:rsidRDefault="00347F3A" w:rsidP="00347F3A">
      <w:pPr>
        <w:rPr>
          <w:rFonts w:ascii="Arial" w:hAnsi="Arial" w:cs="Arial"/>
          <w:i/>
          <w:iCs/>
          <w:sz w:val="22"/>
          <w:szCs w:val="22"/>
        </w:rPr>
      </w:pPr>
    </w:p>
    <w:p w14:paraId="4501AB85" w14:textId="0C0891FC" w:rsidR="00D37C03" w:rsidRDefault="00347F3A" w:rsidP="00347F3A">
      <w:pPr>
        <w:rPr>
          <w:rFonts w:ascii="Arial" w:hAnsi="Arial" w:cs="Arial"/>
          <w:sz w:val="22"/>
          <w:szCs w:val="22"/>
        </w:rPr>
      </w:pPr>
      <w:r>
        <w:rPr>
          <w:rFonts w:ascii="Arial" w:hAnsi="Arial"/>
          <w:i/>
          <w:sz w:val="22"/>
        </w:rPr>
        <w:t>Publication date: 15 January 2026</w:t>
      </w:r>
      <w:r>
        <w:rPr>
          <w:rFonts w:ascii="Arial" w:hAnsi="Arial"/>
          <w:sz w:val="22"/>
        </w:rPr>
        <w:br w:type="page"/>
      </w:r>
    </w:p>
    <w:p w14:paraId="0EA11120" w14:textId="1521F57A" w:rsidR="00D37C03" w:rsidRPr="00D37C03" w:rsidRDefault="00D37C03" w:rsidP="006009D4">
      <w:pPr>
        <w:pStyle w:val="Kop1"/>
      </w:pPr>
      <w:bookmarkStart w:id="126" w:name="_Toc155866662"/>
      <w:bookmarkStart w:id="127" w:name="_Hlk185028472"/>
      <w:r>
        <w:lastRenderedPageBreak/>
        <w:t>Appendices to 202</w:t>
      </w:r>
      <w:bookmarkEnd w:id="126"/>
      <w:r>
        <w:t>6 Payroll Special</w:t>
      </w:r>
    </w:p>
    <w:p w14:paraId="33A3EDFE" w14:textId="77777777" w:rsidR="0067531E" w:rsidRDefault="0067531E" w:rsidP="00250681">
      <w:pPr>
        <w:rPr>
          <w:rFonts w:ascii="Arial" w:hAnsi="Arial" w:cs="Arial"/>
          <w:sz w:val="22"/>
          <w:szCs w:val="22"/>
        </w:rPr>
      </w:pPr>
    </w:p>
    <w:p w14:paraId="7B0F0F5D" w14:textId="77777777" w:rsidR="00D37C03" w:rsidRPr="00AA7EF5" w:rsidRDefault="00D37C03" w:rsidP="00AA7EF5">
      <w:pPr>
        <w:rPr>
          <w:rFonts w:ascii="Arial" w:hAnsi="Arial" w:cs="Arial"/>
          <w:sz w:val="22"/>
          <w:szCs w:val="22"/>
        </w:rPr>
      </w:pPr>
    </w:p>
    <w:p w14:paraId="0BCD5401" w14:textId="77777777" w:rsidR="00D37C03" w:rsidRPr="00D37C03" w:rsidRDefault="00D37C03" w:rsidP="00D37C03">
      <w:pPr>
        <w:pStyle w:val="SRAKopje"/>
        <w:ind w:left="2124" w:hanging="2124"/>
        <w:rPr>
          <w:rFonts w:ascii="Arial" w:hAnsi="Arial" w:cs="Arial"/>
        </w:rPr>
      </w:pPr>
      <w:bookmarkStart w:id="128" w:name="_Toc155866663"/>
      <w:r>
        <w:rPr>
          <w:rFonts w:ascii="Arial" w:hAnsi="Arial"/>
        </w:rPr>
        <w:t>Table 1</w:t>
      </w:r>
      <w:r>
        <w:rPr>
          <w:rFonts w:ascii="Arial" w:hAnsi="Arial"/>
        </w:rPr>
        <w:tab/>
        <w:t>Tax bands for payroll tax/national insurance contributions</w:t>
      </w:r>
      <w:bookmarkEnd w:id="128"/>
    </w:p>
    <w:p w14:paraId="5F1C6F85" w14:textId="77777777" w:rsidR="00D37C03" w:rsidRPr="00D37C03" w:rsidRDefault="00D37C03" w:rsidP="00D37C03">
      <w:pPr>
        <w:rPr>
          <w:rFonts w:ascii="Arial" w:hAnsi="Arial" w:cs="Arial"/>
          <w:sz w:val="22"/>
          <w:szCs w:val="22"/>
        </w:rPr>
      </w:pPr>
    </w:p>
    <w:tbl>
      <w:tblPr>
        <w:tblStyle w:val="Rastertabel4-Accent3"/>
        <w:tblpPr w:vertAnchor="text" w:horzAnchor="margin" w:tblpY="197"/>
        <w:tblW w:w="9748" w:type="dxa"/>
        <w:tblLayout w:type="fixed"/>
        <w:tblLook w:val="04A0" w:firstRow="1" w:lastRow="0" w:firstColumn="1" w:lastColumn="0" w:noHBand="0" w:noVBand="1"/>
      </w:tblPr>
      <w:tblGrid>
        <w:gridCol w:w="1147"/>
        <w:gridCol w:w="3668"/>
        <w:gridCol w:w="4933"/>
      </w:tblGrid>
      <w:tr w:rsidR="00D37C03" w:rsidRPr="00D37C03" w14:paraId="1AE4F750" w14:textId="77777777" w:rsidTr="00ED6EF9">
        <w:trPr>
          <w:cnfStyle w:val="100000000000" w:firstRow="1" w:lastRow="0" w:firstColumn="0" w:lastColumn="0" w:oddVBand="0" w:evenVBand="0" w:oddHBand="0" w:evenHBand="0" w:firstRowFirstColumn="0" w:firstRowLastColumn="0" w:lastRowFirstColumn="0" w:lastRowLastColumn="0"/>
          <w:trHeight w:hRule="exact" w:val="305"/>
        </w:trPr>
        <w:tc>
          <w:tcPr>
            <w:cnfStyle w:val="001000000000" w:firstRow="0" w:lastRow="0" w:firstColumn="1" w:lastColumn="0" w:oddVBand="0" w:evenVBand="0" w:oddHBand="0" w:evenHBand="0" w:firstRowFirstColumn="0" w:firstRowLastColumn="0" w:lastRowFirstColumn="0" w:lastRowLastColumn="0"/>
            <w:tcW w:w="1147" w:type="dxa"/>
            <w:vMerge w:val="restart"/>
          </w:tcPr>
          <w:p w14:paraId="60EF3441" w14:textId="77777777" w:rsidR="00D37C03" w:rsidRPr="00D37C03" w:rsidRDefault="00D37C03" w:rsidP="00980FCA">
            <w:pPr>
              <w:spacing w:before="69" w:after="570"/>
              <w:ind w:left="65" w:right="-18"/>
              <w:jc w:val="center"/>
              <w:rPr>
                <w:rFonts w:ascii="Arial" w:hAnsi="Arial" w:cs="Arial"/>
                <w:color w:val="010302"/>
                <w:sz w:val="22"/>
                <w:szCs w:val="22"/>
              </w:rPr>
            </w:pPr>
            <w:r>
              <w:rPr>
                <w:rFonts w:ascii="Arial" w:hAnsi="Arial"/>
                <w:color w:val="000000"/>
                <w:sz w:val="22"/>
              </w:rPr>
              <w:t>Band</w:t>
            </w:r>
          </w:p>
        </w:tc>
        <w:tc>
          <w:tcPr>
            <w:tcW w:w="3668" w:type="dxa"/>
            <w:vMerge w:val="restart"/>
          </w:tcPr>
          <w:p w14:paraId="53B493E1" w14:textId="77777777" w:rsidR="00D37C03" w:rsidRPr="00D37C03" w:rsidRDefault="00D37C03" w:rsidP="0080169D">
            <w:pPr>
              <w:spacing w:before="69" w:after="370" w:line="200" w:lineRule="exact"/>
              <w:ind w:left="-125" w:right="93"/>
              <w:jc w:val="center"/>
              <w:cnfStyle w:val="100000000000" w:firstRow="1" w:lastRow="0" w:firstColumn="0" w:lastColumn="0" w:oddVBand="0" w:evenVBand="0" w:oddHBand="0" w:evenHBand="0" w:firstRowFirstColumn="0" w:firstRowLastColumn="0" w:lastRowFirstColumn="0" w:lastRowLastColumn="0"/>
              <w:rPr>
                <w:rFonts w:ascii="Arial" w:hAnsi="Arial" w:cs="Arial"/>
                <w:color w:val="010302"/>
                <w:sz w:val="22"/>
                <w:szCs w:val="22"/>
              </w:rPr>
            </w:pPr>
            <w:r>
              <w:rPr>
                <w:rFonts w:ascii="Arial" w:hAnsi="Arial"/>
                <w:color w:val="000000"/>
                <w:sz w:val="22"/>
              </w:rPr>
              <w:t>For annual salary from indicated amount up to next band</w:t>
            </w:r>
          </w:p>
        </w:tc>
        <w:tc>
          <w:tcPr>
            <w:tcW w:w="4933" w:type="dxa"/>
          </w:tcPr>
          <w:p w14:paraId="5199F8A7" w14:textId="77777777" w:rsidR="00D37C03" w:rsidRPr="00D37C03" w:rsidRDefault="00D37C03" w:rsidP="00980FCA">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Pr>
                <w:rFonts w:ascii="Arial" w:hAnsi="Arial"/>
                <w:color w:val="000000" w:themeColor="text1"/>
                <w:sz w:val="22"/>
              </w:rPr>
              <w:t>Payroll tax/national insurance contributions</w:t>
            </w:r>
          </w:p>
        </w:tc>
      </w:tr>
      <w:tr w:rsidR="00D37C03" w:rsidRPr="00D37C03" w14:paraId="4C7208ED" w14:textId="77777777" w:rsidTr="00ED6EF9">
        <w:trPr>
          <w:cnfStyle w:val="000000100000" w:firstRow="0" w:lastRow="0" w:firstColumn="0" w:lastColumn="0" w:oddVBand="0" w:evenVBand="0" w:oddHBand="1" w:evenHBand="0"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1147" w:type="dxa"/>
            <w:vMerge/>
          </w:tcPr>
          <w:p w14:paraId="5CF066F7" w14:textId="77777777" w:rsidR="00D37C03" w:rsidRPr="00D37C03" w:rsidRDefault="00D37C03" w:rsidP="00ED6EF9">
            <w:pPr>
              <w:rPr>
                <w:rFonts w:ascii="Arial" w:hAnsi="Arial" w:cs="Arial"/>
                <w:color w:val="000000" w:themeColor="text1"/>
                <w:sz w:val="22"/>
                <w:szCs w:val="22"/>
              </w:rPr>
            </w:pPr>
          </w:p>
        </w:tc>
        <w:tc>
          <w:tcPr>
            <w:tcW w:w="3668" w:type="dxa"/>
            <w:vMerge/>
          </w:tcPr>
          <w:p w14:paraId="0DAB06B2" w14:textId="77777777" w:rsidR="00D37C03" w:rsidRPr="00D37C03" w:rsidRDefault="00D37C03" w:rsidP="00ED6EF9">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p>
        </w:tc>
        <w:tc>
          <w:tcPr>
            <w:tcW w:w="4933" w:type="dxa"/>
          </w:tcPr>
          <w:p w14:paraId="752CA2E4" w14:textId="77777777" w:rsidR="00D37C03" w:rsidRPr="00D37C03" w:rsidRDefault="00D37C03" w:rsidP="00ED6EF9">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Pr>
                <w:rFonts w:ascii="Arial" w:hAnsi="Arial"/>
                <w:color w:val="000000" w:themeColor="text1"/>
                <w:sz w:val="22"/>
              </w:rPr>
              <w:t>Below state-pension age</w:t>
            </w:r>
          </w:p>
        </w:tc>
      </w:tr>
      <w:tr w:rsidR="00D723D4" w:rsidRPr="00D37C03" w14:paraId="7137FB72" w14:textId="77777777" w:rsidTr="00ED6EF9">
        <w:trPr>
          <w:trHeight w:hRule="exact" w:val="260"/>
        </w:trPr>
        <w:tc>
          <w:tcPr>
            <w:cnfStyle w:val="001000000000" w:firstRow="0" w:lastRow="0" w:firstColumn="1" w:lastColumn="0" w:oddVBand="0" w:evenVBand="0" w:oddHBand="0" w:evenHBand="0" w:firstRowFirstColumn="0" w:firstRowLastColumn="0" w:lastRowFirstColumn="0" w:lastRowLastColumn="0"/>
            <w:tcW w:w="1147" w:type="dxa"/>
          </w:tcPr>
          <w:p w14:paraId="35470559" w14:textId="754BD37B" w:rsidR="00D723D4" w:rsidRPr="00D723D4" w:rsidRDefault="00D723D4" w:rsidP="00ED6EF9">
            <w:pPr>
              <w:rPr>
                <w:rFonts w:ascii="Arial" w:hAnsi="Arial" w:cs="Arial"/>
                <w:b w:val="0"/>
                <w:bCs w:val="0"/>
                <w:color w:val="000000" w:themeColor="text1"/>
                <w:sz w:val="22"/>
                <w:szCs w:val="22"/>
              </w:rPr>
            </w:pPr>
            <w:r>
              <w:rPr>
                <w:rFonts w:ascii="Arial" w:hAnsi="Arial"/>
                <w:b w:val="0"/>
                <w:color w:val="000000" w:themeColor="text1"/>
                <w:sz w:val="22"/>
              </w:rPr>
              <w:t>1</w:t>
            </w:r>
          </w:p>
        </w:tc>
        <w:tc>
          <w:tcPr>
            <w:tcW w:w="3668" w:type="dxa"/>
          </w:tcPr>
          <w:p w14:paraId="00A4F423" w14:textId="2A2CDA9D" w:rsidR="00D723D4" w:rsidRPr="00D37C03" w:rsidRDefault="00D723D4" w:rsidP="00ED6EF9">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Pr>
                <w:rFonts w:ascii="Arial" w:hAnsi="Arial"/>
                <w:color w:val="000000" w:themeColor="text1"/>
                <w:sz w:val="22"/>
              </w:rPr>
              <w:t>€ 0</w:t>
            </w:r>
          </w:p>
        </w:tc>
        <w:tc>
          <w:tcPr>
            <w:tcW w:w="4933" w:type="dxa"/>
          </w:tcPr>
          <w:p w14:paraId="53369D28" w14:textId="1A632AA8" w:rsidR="00D723D4" w:rsidRPr="00D37C03" w:rsidRDefault="000F4D21" w:rsidP="002B5BF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Pr>
                <w:rFonts w:ascii="Arial" w:hAnsi="Arial"/>
                <w:color w:val="000000" w:themeColor="text1"/>
                <w:sz w:val="22"/>
              </w:rPr>
              <w:t>35.75%</w:t>
            </w:r>
          </w:p>
        </w:tc>
      </w:tr>
      <w:tr w:rsidR="00D37C03" w:rsidRPr="00D37C03" w14:paraId="2A68B19F" w14:textId="77777777" w:rsidTr="00ED6EF9">
        <w:trPr>
          <w:cnfStyle w:val="000000100000" w:firstRow="0" w:lastRow="0" w:firstColumn="0" w:lastColumn="0" w:oddVBand="0" w:evenVBand="0" w:oddHBand="1" w:evenHBand="0" w:firstRowFirstColumn="0" w:firstRowLastColumn="0" w:lastRowFirstColumn="0" w:lastRowLastColumn="0"/>
          <w:trHeight w:hRule="exact" w:val="260"/>
        </w:trPr>
        <w:tc>
          <w:tcPr>
            <w:cnfStyle w:val="001000000000" w:firstRow="0" w:lastRow="0" w:firstColumn="1" w:lastColumn="0" w:oddVBand="0" w:evenVBand="0" w:oddHBand="0" w:evenHBand="0" w:firstRowFirstColumn="0" w:firstRowLastColumn="0" w:lastRowFirstColumn="0" w:lastRowLastColumn="0"/>
            <w:tcW w:w="1147" w:type="dxa"/>
          </w:tcPr>
          <w:p w14:paraId="4DCD4EED" w14:textId="13975B22" w:rsidR="00D37C03" w:rsidRPr="00980FCA" w:rsidRDefault="00D723D4" w:rsidP="00ED6EF9">
            <w:pPr>
              <w:rPr>
                <w:rFonts w:ascii="Arial" w:hAnsi="Arial" w:cs="Arial"/>
                <w:b w:val="0"/>
                <w:bCs w:val="0"/>
                <w:color w:val="000000" w:themeColor="text1"/>
                <w:sz w:val="22"/>
                <w:szCs w:val="22"/>
              </w:rPr>
            </w:pPr>
            <w:r>
              <w:rPr>
                <w:rFonts w:ascii="Arial" w:hAnsi="Arial"/>
                <w:b w:val="0"/>
                <w:color w:val="000000" w:themeColor="text1"/>
                <w:sz w:val="22"/>
              </w:rPr>
              <w:t>2</w:t>
            </w:r>
          </w:p>
        </w:tc>
        <w:tc>
          <w:tcPr>
            <w:tcW w:w="3668" w:type="dxa"/>
          </w:tcPr>
          <w:p w14:paraId="5859CA57" w14:textId="6968256D" w:rsidR="00D37C03" w:rsidRPr="00D37C03" w:rsidRDefault="00D37C03" w:rsidP="00ED6EF9">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Pr>
                <w:rFonts w:ascii="Arial" w:hAnsi="Arial"/>
                <w:color w:val="000000" w:themeColor="text1"/>
                <w:sz w:val="22"/>
              </w:rPr>
              <w:t>€ 38,883</w:t>
            </w:r>
          </w:p>
        </w:tc>
        <w:tc>
          <w:tcPr>
            <w:tcW w:w="4933" w:type="dxa"/>
          </w:tcPr>
          <w:p w14:paraId="07B44932" w14:textId="5B70C1DA" w:rsidR="00D37C03" w:rsidRPr="00D37C03" w:rsidRDefault="000F4D21" w:rsidP="002B5BFD">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Pr>
                <w:rFonts w:ascii="Arial" w:hAnsi="Arial"/>
                <w:color w:val="000000" w:themeColor="text1"/>
                <w:sz w:val="22"/>
              </w:rPr>
              <w:t>37.56%</w:t>
            </w:r>
          </w:p>
        </w:tc>
      </w:tr>
      <w:tr w:rsidR="00D37C03" w:rsidRPr="00D37C03" w14:paraId="2BB508DE" w14:textId="77777777" w:rsidTr="00ED6EF9">
        <w:trPr>
          <w:trHeight w:hRule="exact" w:val="260"/>
        </w:trPr>
        <w:tc>
          <w:tcPr>
            <w:cnfStyle w:val="001000000000" w:firstRow="0" w:lastRow="0" w:firstColumn="1" w:lastColumn="0" w:oddVBand="0" w:evenVBand="0" w:oddHBand="0" w:evenHBand="0" w:firstRowFirstColumn="0" w:firstRowLastColumn="0" w:lastRowFirstColumn="0" w:lastRowLastColumn="0"/>
            <w:tcW w:w="1147" w:type="dxa"/>
          </w:tcPr>
          <w:p w14:paraId="0D72EBEB" w14:textId="77777777" w:rsidR="00D37C03" w:rsidRPr="00980FCA" w:rsidRDefault="00D37C03" w:rsidP="00ED6EF9">
            <w:pPr>
              <w:rPr>
                <w:rFonts w:ascii="Arial" w:hAnsi="Arial" w:cs="Arial"/>
                <w:b w:val="0"/>
                <w:bCs w:val="0"/>
                <w:color w:val="000000" w:themeColor="text1"/>
                <w:sz w:val="22"/>
                <w:szCs w:val="22"/>
              </w:rPr>
            </w:pPr>
            <w:r>
              <w:rPr>
                <w:rFonts w:ascii="Arial" w:hAnsi="Arial"/>
                <w:b w:val="0"/>
                <w:color w:val="000000" w:themeColor="text1"/>
                <w:sz w:val="22"/>
              </w:rPr>
              <w:t>2</w:t>
            </w:r>
          </w:p>
        </w:tc>
        <w:tc>
          <w:tcPr>
            <w:tcW w:w="3668" w:type="dxa"/>
          </w:tcPr>
          <w:p w14:paraId="0CD150F8" w14:textId="0FC9C0AF" w:rsidR="00D37C03" w:rsidRPr="00D37C03" w:rsidRDefault="00D37C03" w:rsidP="00ED6EF9">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Pr>
                <w:rFonts w:ascii="Arial" w:hAnsi="Arial"/>
                <w:color w:val="000000" w:themeColor="text1"/>
                <w:sz w:val="22"/>
              </w:rPr>
              <w:t>€ 78,426</w:t>
            </w:r>
          </w:p>
        </w:tc>
        <w:tc>
          <w:tcPr>
            <w:tcW w:w="4933" w:type="dxa"/>
          </w:tcPr>
          <w:p w14:paraId="551BEF38" w14:textId="77777777" w:rsidR="00D37C03" w:rsidRPr="00D37C03" w:rsidRDefault="00D37C03" w:rsidP="002B5BF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Pr>
                <w:rFonts w:ascii="Arial" w:hAnsi="Arial"/>
                <w:color w:val="000000" w:themeColor="text1"/>
                <w:sz w:val="22"/>
              </w:rPr>
              <w:t>49.50%</w:t>
            </w:r>
          </w:p>
        </w:tc>
      </w:tr>
    </w:tbl>
    <w:p w14:paraId="5B21F81A" w14:textId="77777777" w:rsidR="00D37C03" w:rsidRPr="00D37C03" w:rsidRDefault="00D37C03" w:rsidP="00D37C03">
      <w:pPr>
        <w:rPr>
          <w:rFonts w:ascii="Arial" w:hAnsi="Arial" w:cs="Arial"/>
          <w:sz w:val="22"/>
          <w:szCs w:val="22"/>
        </w:rPr>
      </w:pPr>
    </w:p>
    <w:tbl>
      <w:tblPr>
        <w:tblStyle w:val="Rastertabel4-Accent3"/>
        <w:tblpPr w:vertAnchor="text" w:horzAnchor="margin" w:tblpY="9"/>
        <w:tblW w:w="9808" w:type="dxa"/>
        <w:tblLayout w:type="fixed"/>
        <w:tblLook w:val="04A0" w:firstRow="1" w:lastRow="0" w:firstColumn="1" w:lastColumn="0" w:noHBand="0" w:noVBand="1"/>
      </w:tblPr>
      <w:tblGrid>
        <w:gridCol w:w="1154"/>
        <w:gridCol w:w="3661"/>
        <w:gridCol w:w="4993"/>
      </w:tblGrid>
      <w:tr w:rsidR="00D37C03" w:rsidRPr="00D37C03" w14:paraId="05365EE8" w14:textId="77777777" w:rsidTr="00ED6EF9">
        <w:trPr>
          <w:cnfStyle w:val="100000000000" w:firstRow="1" w:lastRow="0" w:firstColumn="0" w:lastColumn="0" w:oddVBand="0" w:evenVBand="0" w:oddHBand="0" w:evenHBand="0" w:firstRowFirstColumn="0" w:firstRowLastColumn="0" w:lastRowFirstColumn="0" w:lastRowLastColumn="0"/>
          <w:trHeight w:hRule="exact" w:val="307"/>
        </w:trPr>
        <w:tc>
          <w:tcPr>
            <w:cnfStyle w:val="001000000000" w:firstRow="0" w:lastRow="0" w:firstColumn="1" w:lastColumn="0" w:oddVBand="0" w:evenVBand="0" w:oddHBand="0" w:evenHBand="0" w:firstRowFirstColumn="0" w:firstRowLastColumn="0" w:lastRowFirstColumn="0" w:lastRowLastColumn="0"/>
            <w:tcW w:w="1154" w:type="dxa"/>
            <w:vMerge w:val="restart"/>
          </w:tcPr>
          <w:p w14:paraId="4137D3EA" w14:textId="77777777" w:rsidR="00D37C03" w:rsidRPr="00D37C03" w:rsidRDefault="00D37C03" w:rsidP="00ED6EF9">
            <w:pPr>
              <w:spacing w:before="69" w:after="570"/>
              <w:ind w:left="65" w:right="-18"/>
              <w:rPr>
                <w:rFonts w:ascii="Arial" w:hAnsi="Arial" w:cs="Arial"/>
                <w:color w:val="010302"/>
                <w:sz w:val="22"/>
                <w:szCs w:val="22"/>
              </w:rPr>
            </w:pPr>
            <w:r>
              <w:rPr>
                <w:rFonts w:ascii="Arial" w:hAnsi="Arial"/>
                <w:color w:val="000000"/>
                <w:sz w:val="22"/>
              </w:rPr>
              <w:t>Band</w:t>
            </w:r>
          </w:p>
        </w:tc>
        <w:tc>
          <w:tcPr>
            <w:tcW w:w="3661" w:type="dxa"/>
            <w:vMerge w:val="restart"/>
          </w:tcPr>
          <w:p w14:paraId="15C98304" w14:textId="77777777" w:rsidR="00D37C03" w:rsidRPr="00D37C03" w:rsidRDefault="00D37C03" w:rsidP="0080169D">
            <w:pPr>
              <w:spacing w:before="69" w:after="370" w:line="200" w:lineRule="exact"/>
              <w:ind w:left="60" w:right="-110"/>
              <w:cnfStyle w:val="100000000000" w:firstRow="1" w:lastRow="0" w:firstColumn="0" w:lastColumn="0" w:oddVBand="0" w:evenVBand="0" w:oddHBand="0" w:evenHBand="0" w:firstRowFirstColumn="0" w:firstRowLastColumn="0" w:lastRowFirstColumn="0" w:lastRowLastColumn="0"/>
              <w:rPr>
                <w:rFonts w:ascii="Arial" w:hAnsi="Arial" w:cs="Arial"/>
                <w:color w:val="010302"/>
                <w:sz w:val="22"/>
                <w:szCs w:val="22"/>
              </w:rPr>
            </w:pPr>
            <w:r>
              <w:rPr>
                <w:rFonts w:ascii="Arial" w:hAnsi="Arial"/>
                <w:color w:val="000000"/>
                <w:sz w:val="22"/>
              </w:rPr>
              <w:t>For annual salary from indicated amount up to next band</w:t>
            </w:r>
          </w:p>
        </w:tc>
        <w:tc>
          <w:tcPr>
            <w:tcW w:w="4993" w:type="dxa"/>
          </w:tcPr>
          <w:p w14:paraId="6EB3DD1C" w14:textId="77777777" w:rsidR="00D37C03" w:rsidRPr="00D37C03" w:rsidRDefault="00D37C03" w:rsidP="00ED6EF9">
            <w:pP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Pr>
                <w:rFonts w:ascii="Arial" w:hAnsi="Arial"/>
                <w:color w:val="000000" w:themeColor="text1"/>
                <w:sz w:val="22"/>
              </w:rPr>
              <w:t>Payroll tax/national insurance contributions</w:t>
            </w:r>
          </w:p>
        </w:tc>
      </w:tr>
      <w:tr w:rsidR="00D37C03" w:rsidRPr="00D37C03" w14:paraId="7D7C33CC" w14:textId="77777777" w:rsidTr="00ED6EF9">
        <w:trPr>
          <w:cnfStyle w:val="000000100000" w:firstRow="0" w:lastRow="0" w:firstColumn="0" w:lastColumn="0" w:oddVBand="0" w:evenVBand="0" w:oddHBand="1" w:evenHBand="0" w:firstRowFirstColumn="0" w:firstRowLastColumn="0" w:lastRowFirstColumn="0" w:lastRowLastColumn="0"/>
          <w:trHeight w:hRule="exact" w:val="514"/>
        </w:trPr>
        <w:tc>
          <w:tcPr>
            <w:cnfStyle w:val="001000000000" w:firstRow="0" w:lastRow="0" w:firstColumn="1" w:lastColumn="0" w:oddVBand="0" w:evenVBand="0" w:oddHBand="0" w:evenHBand="0" w:firstRowFirstColumn="0" w:firstRowLastColumn="0" w:lastRowFirstColumn="0" w:lastRowLastColumn="0"/>
            <w:tcW w:w="1154" w:type="dxa"/>
            <w:vMerge/>
          </w:tcPr>
          <w:p w14:paraId="11E394C5" w14:textId="77777777" w:rsidR="00D37C03" w:rsidRPr="00D37C03" w:rsidRDefault="00D37C03" w:rsidP="00ED6EF9">
            <w:pPr>
              <w:rPr>
                <w:rFonts w:ascii="Arial" w:hAnsi="Arial" w:cs="Arial"/>
                <w:color w:val="000000" w:themeColor="text1"/>
                <w:sz w:val="22"/>
                <w:szCs w:val="22"/>
              </w:rPr>
            </w:pPr>
          </w:p>
        </w:tc>
        <w:tc>
          <w:tcPr>
            <w:tcW w:w="3661" w:type="dxa"/>
            <w:vMerge/>
          </w:tcPr>
          <w:p w14:paraId="62CEFCAA" w14:textId="77777777" w:rsidR="00D37C03" w:rsidRPr="00D37C03" w:rsidRDefault="00D37C03" w:rsidP="00ED6EF9">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p>
        </w:tc>
        <w:tc>
          <w:tcPr>
            <w:tcW w:w="4993" w:type="dxa"/>
          </w:tcPr>
          <w:p w14:paraId="15FF480F" w14:textId="4341EEDA" w:rsidR="00D37C03" w:rsidRPr="00D37C03" w:rsidRDefault="00D37C03" w:rsidP="0080169D">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Pr>
                <w:rFonts w:ascii="Arial" w:hAnsi="Arial"/>
                <w:color w:val="000000" w:themeColor="text1"/>
                <w:sz w:val="22"/>
              </w:rPr>
              <w:t>State-pension age and above,</w:t>
            </w:r>
            <w:r w:rsidR="0080169D">
              <w:rPr>
                <w:rFonts w:ascii="Arial" w:hAnsi="Arial"/>
                <w:color w:val="000000" w:themeColor="text1"/>
                <w:sz w:val="22"/>
              </w:rPr>
              <w:t xml:space="preserve"> </w:t>
            </w:r>
            <w:r w:rsidR="002F4DAF">
              <w:rPr>
                <w:rFonts w:ascii="Arial" w:hAnsi="Arial"/>
                <w:color w:val="000000" w:themeColor="text1"/>
                <w:sz w:val="22"/>
              </w:rPr>
              <w:t>born in 1945 or earlier</w:t>
            </w:r>
          </w:p>
        </w:tc>
      </w:tr>
      <w:tr w:rsidR="00D37C03" w:rsidRPr="00D37C03" w14:paraId="02BFC77A" w14:textId="77777777" w:rsidTr="00ED6EF9">
        <w:trPr>
          <w:trHeight w:hRule="exact" w:val="262"/>
        </w:trPr>
        <w:tc>
          <w:tcPr>
            <w:cnfStyle w:val="001000000000" w:firstRow="0" w:lastRow="0" w:firstColumn="1" w:lastColumn="0" w:oddVBand="0" w:evenVBand="0" w:oddHBand="0" w:evenHBand="0" w:firstRowFirstColumn="0" w:firstRowLastColumn="0" w:lastRowFirstColumn="0" w:lastRowLastColumn="0"/>
            <w:tcW w:w="1154" w:type="dxa"/>
          </w:tcPr>
          <w:p w14:paraId="20DC1CD6" w14:textId="77777777" w:rsidR="00D37C03" w:rsidRPr="00EA74FF" w:rsidRDefault="00D37C03" w:rsidP="00ED6EF9">
            <w:pPr>
              <w:rPr>
                <w:rFonts w:ascii="Arial" w:hAnsi="Arial" w:cs="Arial"/>
                <w:b w:val="0"/>
                <w:bCs w:val="0"/>
                <w:color w:val="000000" w:themeColor="text1"/>
                <w:sz w:val="22"/>
                <w:szCs w:val="22"/>
              </w:rPr>
            </w:pPr>
            <w:r>
              <w:rPr>
                <w:rFonts w:ascii="Arial" w:hAnsi="Arial"/>
                <w:b w:val="0"/>
                <w:color w:val="000000" w:themeColor="text1"/>
                <w:sz w:val="22"/>
              </w:rPr>
              <w:t>1</w:t>
            </w:r>
          </w:p>
        </w:tc>
        <w:tc>
          <w:tcPr>
            <w:tcW w:w="3661" w:type="dxa"/>
          </w:tcPr>
          <w:p w14:paraId="374AFDCF" w14:textId="77777777" w:rsidR="00D37C03" w:rsidRPr="00D37C03" w:rsidRDefault="00D37C03" w:rsidP="00ED6EF9">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Pr>
                <w:rFonts w:ascii="Arial" w:hAnsi="Arial"/>
                <w:color w:val="000000" w:themeColor="text1"/>
                <w:sz w:val="22"/>
              </w:rPr>
              <w:t>€ 0</w:t>
            </w:r>
          </w:p>
        </w:tc>
        <w:tc>
          <w:tcPr>
            <w:tcW w:w="4993" w:type="dxa"/>
          </w:tcPr>
          <w:p w14:paraId="52F7AD4A" w14:textId="49F1B00C" w:rsidR="00D37C03" w:rsidRPr="00D37C03" w:rsidRDefault="000F4D21" w:rsidP="00ED6EF9">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Pr>
                <w:rFonts w:ascii="Arial" w:hAnsi="Arial"/>
                <w:color w:val="000000" w:themeColor="text1"/>
                <w:sz w:val="22"/>
              </w:rPr>
              <w:t>17.85%</w:t>
            </w:r>
          </w:p>
        </w:tc>
      </w:tr>
      <w:tr w:rsidR="00D37C03" w:rsidRPr="00D37C03" w14:paraId="314AA8F6" w14:textId="77777777" w:rsidTr="00ED6EF9">
        <w:trPr>
          <w:cnfStyle w:val="000000100000" w:firstRow="0" w:lastRow="0" w:firstColumn="0" w:lastColumn="0" w:oddVBand="0" w:evenVBand="0" w:oddHBand="1" w:evenHBand="0" w:firstRowFirstColumn="0" w:firstRowLastColumn="0" w:lastRowFirstColumn="0" w:lastRowLastColumn="0"/>
          <w:trHeight w:hRule="exact" w:val="262"/>
        </w:trPr>
        <w:tc>
          <w:tcPr>
            <w:cnfStyle w:val="001000000000" w:firstRow="0" w:lastRow="0" w:firstColumn="1" w:lastColumn="0" w:oddVBand="0" w:evenVBand="0" w:oddHBand="0" w:evenHBand="0" w:firstRowFirstColumn="0" w:firstRowLastColumn="0" w:lastRowFirstColumn="0" w:lastRowLastColumn="0"/>
            <w:tcW w:w="1154" w:type="dxa"/>
          </w:tcPr>
          <w:p w14:paraId="125453C3" w14:textId="77777777" w:rsidR="00D37C03" w:rsidRPr="00EA74FF" w:rsidRDefault="00D37C03" w:rsidP="00ED6EF9">
            <w:pPr>
              <w:rPr>
                <w:rFonts w:ascii="Arial" w:hAnsi="Arial" w:cs="Arial"/>
                <w:b w:val="0"/>
                <w:bCs w:val="0"/>
                <w:color w:val="000000" w:themeColor="text1"/>
                <w:sz w:val="22"/>
                <w:szCs w:val="22"/>
              </w:rPr>
            </w:pPr>
            <w:r>
              <w:rPr>
                <w:rFonts w:ascii="Arial" w:hAnsi="Arial"/>
                <w:b w:val="0"/>
                <w:color w:val="000000" w:themeColor="text1"/>
                <w:sz w:val="22"/>
              </w:rPr>
              <w:t>2a</w:t>
            </w:r>
          </w:p>
        </w:tc>
        <w:tc>
          <w:tcPr>
            <w:tcW w:w="3661" w:type="dxa"/>
          </w:tcPr>
          <w:p w14:paraId="481E1B69" w14:textId="6A0B90B5" w:rsidR="00D37C03" w:rsidRPr="00D37C03" w:rsidRDefault="00D37C03" w:rsidP="00ED6EF9">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Pr>
                <w:rFonts w:ascii="Arial" w:hAnsi="Arial"/>
                <w:color w:val="000000" w:themeColor="text1"/>
                <w:sz w:val="22"/>
              </w:rPr>
              <w:t>€ 41,123</w:t>
            </w:r>
          </w:p>
        </w:tc>
        <w:tc>
          <w:tcPr>
            <w:tcW w:w="4993" w:type="dxa"/>
          </w:tcPr>
          <w:p w14:paraId="460E6522" w14:textId="24847813" w:rsidR="00D37C03" w:rsidRPr="00D37C03" w:rsidRDefault="000F4D21" w:rsidP="00ED6EF9">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Pr>
                <w:rFonts w:ascii="Arial" w:hAnsi="Arial"/>
                <w:color w:val="000000" w:themeColor="text1"/>
                <w:sz w:val="22"/>
              </w:rPr>
              <w:t>37.56%</w:t>
            </w:r>
          </w:p>
        </w:tc>
      </w:tr>
      <w:tr w:rsidR="00D37C03" w:rsidRPr="00D37C03" w14:paraId="7AED081C" w14:textId="77777777" w:rsidTr="00ED6EF9">
        <w:trPr>
          <w:trHeight w:hRule="exact" w:val="262"/>
        </w:trPr>
        <w:tc>
          <w:tcPr>
            <w:cnfStyle w:val="001000000000" w:firstRow="0" w:lastRow="0" w:firstColumn="1" w:lastColumn="0" w:oddVBand="0" w:evenVBand="0" w:oddHBand="0" w:evenHBand="0" w:firstRowFirstColumn="0" w:firstRowLastColumn="0" w:lastRowFirstColumn="0" w:lastRowLastColumn="0"/>
            <w:tcW w:w="1154" w:type="dxa"/>
          </w:tcPr>
          <w:p w14:paraId="1840B684" w14:textId="77777777" w:rsidR="00D37C03" w:rsidRPr="00EA74FF" w:rsidRDefault="00D37C03" w:rsidP="00ED6EF9">
            <w:pPr>
              <w:rPr>
                <w:rFonts w:ascii="Arial" w:hAnsi="Arial" w:cs="Arial"/>
                <w:b w:val="0"/>
                <w:bCs w:val="0"/>
                <w:color w:val="000000" w:themeColor="text1"/>
                <w:sz w:val="22"/>
                <w:szCs w:val="22"/>
              </w:rPr>
            </w:pPr>
            <w:r>
              <w:rPr>
                <w:rFonts w:ascii="Arial" w:hAnsi="Arial"/>
                <w:b w:val="0"/>
                <w:color w:val="000000" w:themeColor="text1"/>
                <w:sz w:val="22"/>
              </w:rPr>
              <w:t>3</w:t>
            </w:r>
          </w:p>
        </w:tc>
        <w:tc>
          <w:tcPr>
            <w:tcW w:w="3661" w:type="dxa"/>
          </w:tcPr>
          <w:p w14:paraId="05A6B4EE" w14:textId="400684B2" w:rsidR="00D37C03" w:rsidRPr="00D37C03" w:rsidRDefault="00D37C03" w:rsidP="00ED6EF9">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Pr>
                <w:rFonts w:ascii="Arial" w:hAnsi="Arial"/>
                <w:color w:val="000000" w:themeColor="text1"/>
                <w:sz w:val="22"/>
              </w:rPr>
              <w:t xml:space="preserve">€ 78,426 </w:t>
            </w:r>
          </w:p>
        </w:tc>
        <w:tc>
          <w:tcPr>
            <w:tcW w:w="4993" w:type="dxa"/>
          </w:tcPr>
          <w:p w14:paraId="6777D32B" w14:textId="77777777" w:rsidR="00D37C03" w:rsidRPr="00D37C03" w:rsidRDefault="00D37C03" w:rsidP="00ED6EF9">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Pr>
                <w:rFonts w:ascii="Arial" w:hAnsi="Arial"/>
                <w:color w:val="000000" w:themeColor="text1"/>
                <w:sz w:val="22"/>
              </w:rPr>
              <w:t>49.50%</w:t>
            </w:r>
          </w:p>
        </w:tc>
      </w:tr>
    </w:tbl>
    <w:p w14:paraId="725D2529" w14:textId="77777777" w:rsidR="00D37C03" w:rsidRPr="00D37C03" w:rsidRDefault="00D37C03" w:rsidP="00D37C03">
      <w:pPr>
        <w:rPr>
          <w:rFonts w:ascii="Arial" w:hAnsi="Arial" w:cs="Arial"/>
          <w:sz w:val="22"/>
          <w:szCs w:val="22"/>
        </w:rPr>
      </w:pPr>
    </w:p>
    <w:tbl>
      <w:tblPr>
        <w:tblStyle w:val="Rastertabel4-Accent3"/>
        <w:tblpPr w:vertAnchor="text" w:horzAnchor="margin" w:tblpY="35"/>
        <w:tblW w:w="9791" w:type="dxa"/>
        <w:tblLayout w:type="fixed"/>
        <w:tblLook w:val="04A0" w:firstRow="1" w:lastRow="0" w:firstColumn="1" w:lastColumn="0" w:noHBand="0" w:noVBand="1"/>
      </w:tblPr>
      <w:tblGrid>
        <w:gridCol w:w="1152"/>
        <w:gridCol w:w="3663"/>
        <w:gridCol w:w="4976"/>
      </w:tblGrid>
      <w:tr w:rsidR="00D37C03" w:rsidRPr="00D37C03" w14:paraId="1C023640" w14:textId="77777777" w:rsidTr="00ED6EF9">
        <w:trPr>
          <w:cnfStyle w:val="100000000000" w:firstRow="1" w:lastRow="0" w:firstColumn="0" w:lastColumn="0" w:oddVBand="0" w:evenVBand="0" w:oddHBand="0" w:evenHBand="0" w:firstRowFirstColumn="0" w:firstRowLastColumn="0" w:lastRowFirstColumn="0" w:lastRowLastColumn="0"/>
          <w:trHeight w:hRule="exact" w:val="304"/>
        </w:trPr>
        <w:tc>
          <w:tcPr>
            <w:cnfStyle w:val="001000000000" w:firstRow="0" w:lastRow="0" w:firstColumn="1" w:lastColumn="0" w:oddVBand="0" w:evenVBand="0" w:oddHBand="0" w:evenHBand="0" w:firstRowFirstColumn="0" w:firstRowLastColumn="0" w:lastRowFirstColumn="0" w:lastRowLastColumn="0"/>
            <w:tcW w:w="1152" w:type="dxa"/>
            <w:vMerge w:val="restart"/>
          </w:tcPr>
          <w:p w14:paraId="7A6793FF" w14:textId="77777777" w:rsidR="00D37C03" w:rsidRPr="00D37C03" w:rsidRDefault="00D37C03" w:rsidP="00ED6EF9">
            <w:pPr>
              <w:spacing w:before="69" w:after="570"/>
              <w:ind w:left="65" w:right="-18"/>
              <w:rPr>
                <w:rFonts w:ascii="Arial" w:hAnsi="Arial" w:cs="Arial"/>
                <w:color w:val="010302"/>
                <w:sz w:val="22"/>
                <w:szCs w:val="22"/>
              </w:rPr>
            </w:pPr>
            <w:r>
              <w:rPr>
                <w:rFonts w:ascii="Arial" w:hAnsi="Arial"/>
                <w:color w:val="000000"/>
                <w:sz w:val="22"/>
              </w:rPr>
              <w:t>Band</w:t>
            </w:r>
          </w:p>
        </w:tc>
        <w:tc>
          <w:tcPr>
            <w:tcW w:w="3663" w:type="dxa"/>
            <w:vMerge w:val="restart"/>
          </w:tcPr>
          <w:p w14:paraId="72A59272" w14:textId="77777777" w:rsidR="00D37C03" w:rsidRPr="00D37C03" w:rsidRDefault="00D37C03" w:rsidP="0080169D">
            <w:pPr>
              <w:spacing w:before="69" w:after="370" w:line="200" w:lineRule="exact"/>
              <w:cnfStyle w:val="100000000000" w:firstRow="1" w:lastRow="0" w:firstColumn="0" w:lastColumn="0" w:oddVBand="0" w:evenVBand="0" w:oddHBand="0" w:evenHBand="0" w:firstRowFirstColumn="0" w:firstRowLastColumn="0" w:lastRowFirstColumn="0" w:lastRowLastColumn="0"/>
              <w:rPr>
                <w:rFonts w:ascii="Arial" w:hAnsi="Arial" w:cs="Arial"/>
                <w:color w:val="010302"/>
                <w:sz w:val="22"/>
                <w:szCs w:val="22"/>
              </w:rPr>
            </w:pPr>
            <w:r>
              <w:rPr>
                <w:rFonts w:ascii="Arial" w:hAnsi="Arial"/>
                <w:color w:val="000000"/>
                <w:sz w:val="22"/>
              </w:rPr>
              <w:t>For annual salary from indicated amount up to next band</w:t>
            </w:r>
          </w:p>
        </w:tc>
        <w:tc>
          <w:tcPr>
            <w:tcW w:w="4976" w:type="dxa"/>
          </w:tcPr>
          <w:p w14:paraId="54F02682" w14:textId="77777777" w:rsidR="00D37C03" w:rsidRPr="00D37C03" w:rsidRDefault="00D37C03" w:rsidP="00ED6EF9">
            <w:pP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Pr>
                <w:rFonts w:ascii="Arial" w:hAnsi="Arial"/>
                <w:color w:val="000000" w:themeColor="text1"/>
                <w:sz w:val="22"/>
              </w:rPr>
              <w:t>Payroll tax/national insurance contributions</w:t>
            </w:r>
          </w:p>
        </w:tc>
      </w:tr>
      <w:tr w:rsidR="00D37C03" w:rsidRPr="00D37C03" w14:paraId="69E7CFCA" w14:textId="77777777" w:rsidTr="00ED6EF9">
        <w:trPr>
          <w:cnfStyle w:val="000000100000" w:firstRow="0" w:lastRow="0" w:firstColumn="0" w:lastColumn="0" w:oddVBand="0" w:evenVBand="0" w:oddHBand="1" w:evenHBand="0" w:firstRowFirstColumn="0" w:firstRowLastColumn="0" w:lastRowFirstColumn="0" w:lastRowLastColumn="0"/>
          <w:trHeight w:hRule="exact" w:val="509"/>
        </w:trPr>
        <w:tc>
          <w:tcPr>
            <w:cnfStyle w:val="001000000000" w:firstRow="0" w:lastRow="0" w:firstColumn="1" w:lastColumn="0" w:oddVBand="0" w:evenVBand="0" w:oddHBand="0" w:evenHBand="0" w:firstRowFirstColumn="0" w:firstRowLastColumn="0" w:lastRowFirstColumn="0" w:lastRowLastColumn="0"/>
            <w:tcW w:w="1152" w:type="dxa"/>
            <w:vMerge/>
          </w:tcPr>
          <w:p w14:paraId="1BE7F3BE" w14:textId="77777777" w:rsidR="00D37C03" w:rsidRPr="00D37C03" w:rsidRDefault="00D37C03" w:rsidP="00ED6EF9">
            <w:pPr>
              <w:rPr>
                <w:rFonts w:ascii="Arial" w:hAnsi="Arial" w:cs="Arial"/>
                <w:color w:val="000000" w:themeColor="text1"/>
                <w:sz w:val="22"/>
                <w:szCs w:val="22"/>
              </w:rPr>
            </w:pPr>
          </w:p>
        </w:tc>
        <w:tc>
          <w:tcPr>
            <w:tcW w:w="3663" w:type="dxa"/>
            <w:vMerge/>
          </w:tcPr>
          <w:p w14:paraId="2C7E863C" w14:textId="77777777" w:rsidR="00D37C03" w:rsidRPr="00D37C03" w:rsidRDefault="00D37C03" w:rsidP="00ED6EF9">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p>
        </w:tc>
        <w:tc>
          <w:tcPr>
            <w:tcW w:w="4976" w:type="dxa"/>
          </w:tcPr>
          <w:p w14:paraId="7DA62509" w14:textId="56A084DF" w:rsidR="00D37C03" w:rsidRPr="00D37C03" w:rsidRDefault="00D37C03" w:rsidP="0080169D">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Pr>
                <w:rFonts w:ascii="Arial" w:hAnsi="Arial"/>
                <w:color w:val="000000" w:themeColor="text1"/>
                <w:sz w:val="22"/>
              </w:rPr>
              <w:t>State-pension age and above,</w:t>
            </w:r>
            <w:r w:rsidR="0080169D">
              <w:rPr>
                <w:rFonts w:ascii="Arial" w:hAnsi="Arial"/>
                <w:color w:val="000000" w:themeColor="text1"/>
                <w:sz w:val="22"/>
              </w:rPr>
              <w:t xml:space="preserve"> </w:t>
            </w:r>
            <w:r w:rsidR="002F4DAF">
              <w:rPr>
                <w:rFonts w:ascii="Arial" w:hAnsi="Arial"/>
                <w:color w:val="000000" w:themeColor="text1"/>
                <w:sz w:val="22"/>
              </w:rPr>
              <w:t>born in 1946 or later</w:t>
            </w:r>
          </w:p>
        </w:tc>
      </w:tr>
      <w:tr w:rsidR="00D37C03" w:rsidRPr="00D37C03" w14:paraId="19E165D5" w14:textId="77777777" w:rsidTr="00ED6EF9">
        <w:trPr>
          <w:trHeight w:hRule="exact" w:val="259"/>
        </w:trPr>
        <w:tc>
          <w:tcPr>
            <w:cnfStyle w:val="001000000000" w:firstRow="0" w:lastRow="0" w:firstColumn="1" w:lastColumn="0" w:oddVBand="0" w:evenVBand="0" w:oddHBand="0" w:evenHBand="0" w:firstRowFirstColumn="0" w:firstRowLastColumn="0" w:lastRowFirstColumn="0" w:lastRowLastColumn="0"/>
            <w:tcW w:w="1152" w:type="dxa"/>
          </w:tcPr>
          <w:p w14:paraId="7D1B6C98" w14:textId="77777777" w:rsidR="00D37C03" w:rsidRPr="00980FCA" w:rsidRDefault="00D37C03" w:rsidP="00ED6EF9">
            <w:pPr>
              <w:rPr>
                <w:rFonts w:ascii="Arial" w:hAnsi="Arial" w:cs="Arial"/>
                <w:b w:val="0"/>
                <w:bCs w:val="0"/>
                <w:color w:val="000000" w:themeColor="text1"/>
                <w:sz w:val="22"/>
                <w:szCs w:val="22"/>
              </w:rPr>
            </w:pPr>
            <w:r>
              <w:rPr>
                <w:rFonts w:ascii="Arial" w:hAnsi="Arial"/>
                <w:b w:val="0"/>
                <w:color w:val="000000" w:themeColor="text1"/>
                <w:sz w:val="22"/>
              </w:rPr>
              <w:t>1</w:t>
            </w:r>
          </w:p>
        </w:tc>
        <w:tc>
          <w:tcPr>
            <w:tcW w:w="3663" w:type="dxa"/>
          </w:tcPr>
          <w:p w14:paraId="2021F8DC" w14:textId="77777777" w:rsidR="00D37C03" w:rsidRPr="00D37C03" w:rsidRDefault="00D37C03" w:rsidP="00ED6EF9">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Pr>
                <w:rFonts w:ascii="Arial" w:hAnsi="Arial"/>
                <w:color w:val="000000" w:themeColor="text1"/>
                <w:sz w:val="22"/>
              </w:rPr>
              <w:t>€ 0</w:t>
            </w:r>
          </w:p>
        </w:tc>
        <w:tc>
          <w:tcPr>
            <w:tcW w:w="4976" w:type="dxa"/>
          </w:tcPr>
          <w:p w14:paraId="5254CA4A" w14:textId="551D6765" w:rsidR="00D37C03" w:rsidRPr="00D37C03" w:rsidRDefault="000F4D21" w:rsidP="00ED6EF9">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Pr>
                <w:rFonts w:ascii="Arial" w:hAnsi="Arial"/>
                <w:color w:val="000000" w:themeColor="text1"/>
                <w:sz w:val="22"/>
              </w:rPr>
              <w:t>17.85%</w:t>
            </w:r>
          </w:p>
        </w:tc>
      </w:tr>
      <w:tr w:rsidR="00D37C03" w:rsidRPr="00D37C03" w14:paraId="0F67CDD5" w14:textId="77777777" w:rsidTr="00ED6EF9">
        <w:trPr>
          <w:cnfStyle w:val="000000100000" w:firstRow="0" w:lastRow="0" w:firstColumn="0" w:lastColumn="0" w:oddVBand="0" w:evenVBand="0" w:oddHBand="1" w:evenHBand="0" w:firstRowFirstColumn="0" w:firstRowLastColumn="0" w:lastRowFirstColumn="0" w:lastRowLastColumn="0"/>
          <w:trHeight w:hRule="exact" w:val="259"/>
        </w:trPr>
        <w:tc>
          <w:tcPr>
            <w:cnfStyle w:val="001000000000" w:firstRow="0" w:lastRow="0" w:firstColumn="1" w:lastColumn="0" w:oddVBand="0" w:evenVBand="0" w:oddHBand="0" w:evenHBand="0" w:firstRowFirstColumn="0" w:firstRowLastColumn="0" w:lastRowFirstColumn="0" w:lastRowLastColumn="0"/>
            <w:tcW w:w="1152" w:type="dxa"/>
          </w:tcPr>
          <w:p w14:paraId="770C53E6" w14:textId="77777777" w:rsidR="00D37C03" w:rsidRPr="00980FCA" w:rsidRDefault="00D37C03" w:rsidP="00ED6EF9">
            <w:pPr>
              <w:rPr>
                <w:rFonts w:ascii="Arial" w:hAnsi="Arial" w:cs="Arial"/>
                <w:b w:val="0"/>
                <w:bCs w:val="0"/>
                <w:color w:val="000000" w:themeColor="text1"/>
                <w:sz w:val="22"/>
                <w:szCs w:val="22"/>
              </w:rPr>
            </w:pPr>
            <w:r>
              <w:rPr>
                <w:rFonts w:ascii="Arial" w:hAnsi="Arial"/>
                <w:b w:val="0"/>
                <w:color w:val="000000" w:themeColor="text1"/>
                <w:sz w:val="22"/>
              </w:rPr>
              <w:t>2b</w:t>
            </w:r>
          </w:p>
        </w:tc>
        <w:tc>
          <w:tcPr>
            <w:tcW w:w="3663" w:type="dxa"/>
          </w:tcPr>
          <w:p w14:paraId="2EFB8F40" w14:textId="00867F0B" w:rsidR="00D37C03" w:rsidRPr="00D37C03" w:rsidRDefault="00D37C03" w:rsidP="00ED6EF9">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Pr>
                <w:rFonts w:ascii="Arial" w:hAnsi="Arial"/>
                <w:color w:val="000000" w:themeColor="text1"/>
                <w:sz w:val="22"/>
              </w:rPr>
              <w:t>€ 38,883</w:t>
            </w:r>
          </w:p>
        </w:tc>
        <w:tc>
          <w:tcPr>
            <w:tcW w:w="4976" w:type="dxa"/>
          </w:tcPr>
          <w:p w14:paraId="03B344EC" w14:textId="0818B1ED" w:rsidR="00D37C03" w:rsidRPr="00D37C03" w:rsidRDefault="000F4D21" w:rsidP="00ED6EF9">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Pr>
                <w:rFonts w:ascii="Arial" w:hAnsi="Arial"/>
                <w:color w:val="000000" w:themeColor="text1"/>
                <w:sz w:val="22"/>
              </w:rPr>
              <w:t>37.56%</w:t>
            </w:r>
          </w:p>
        </w:tc>
      </w:tr>
      <w:tr w:rsidR="00D37C03" w:rsidRPr="00D37C03" w14:paraId="4065C938" w14:textId="77777777" w:rsidTr="00ED6EF9">
        <w:trPr>
          <w:trHeight w:hRule="exact" w:val="259"/>
        </w:trPr>
        <w:tc>
          <w:tcPr>
            <w:cnfStyle w:val="001000000000" w:firstRow="0" w:lastRow="0" w:firstColumn="1" w:lastColumn="0" w:oddVBand="0" w:evenVBand="0" w:oddHBand="0" w:evenHBand="0" w:firstRowFirstColumn="0" w:firstRowLastColumn="0" w:lastRowFirstColumn="0" w:lastRowLastColumn="0"/>
            <w:tcW w:w="1152" w:type="dxa"/>
          </w:tcPr>
          <w:p w14:paraId="1C500B6B" w14:textId="77777777" w:rsidR="00D37C03" w:rsidRPr="00980FCA" w:rsidRDefault="00D37C03" w:rsidP="00ED6EF9">
            <w:pPr>
              <w:rPr>
                <w:rFonts w:ascii="Arial" w:hAnsi="Arial" w:cs="Arial"/>
                <w:b w:val="0"/>
                <w:bCs w:val="0"/>
                <w:color w:val="000000" w:themeColor="text1"/>
                <w:sz w:val="22"/>
                <w:szCs w:val="22"/>
              </w:rPr>
            </w:pPr>
            <w:r>
              <w:rPr>
                <w:rFonts w:ascii="Arial" w:hAnsi="Arial"/>
                <w:b w:val="0"/>
                <w:color w:val="000000" w:themeColor="text1"/>
                <w:sz w:val="22"/>
              </w:rPr>
              <w:t>3</w:t>
            </w:r>
          </w:p>
        </w:tc>
        <w:tc>
          <w:tcPr>
            <w:tcW w:w="3663" w:type="dxa"/>
          </w:tcPr>
          <w:p w14:paraId="45D2D3B3" w14:textId="484E33AB" w:rsidR="00D37C03" w:rsidRPr="00D37C03" w:rsidRDefault="00D37C03" w:rsidP="00ED6EF9">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Pr>
                <w:rFonts w:ascii="Arial" w:hAnsi="Arial"/>
                <w:color w:val="000000" w:themeColor="text1"/>
                <w:sz w:val="22"/>
              </w:rPr>
              <w:t xml:space="preserve">€ 78,426 </w:t>
            </w:r>
          </w:p>
        </w:tc>
        <w:tc>
          <w:tcPr>
            <w:tcW w:w="4976" w:type="dxa"/>
          </w:tcPr>
          <w:p w14:paraId="44104CF9" w14:textId="77777777" w:rsidR="00D37C03" w:rsidRPr="00D37C03" w:rsidRDefault="00D37C03" w:rsidP="00ED6EF9">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Pr>
                <w:rFonts w:ascii="Arial" w:hAnsi="Arial"/>
                <w:color w:val="000000" w:themeColor="text1"/>
                <w:sz w:val="22"/>
              </w:rPr>
              <w:t>49.50%</w:t>
            </w:r>
          </w:p>
        </w:tc>
      </w:tr>
    </w:tbl>
    <w:p w14:paraId="1BE53E3D" w14:textId="77777777" w:rsidR="00D37C03" w:rsidRPr="00D37C03" w:rsidRDefault="00D37C03" w:rsidP="00D37C03">
      <w:pPr>
        <w:rPr>
          <w:rFonts w:ascii="Arial" w:hAnsi="Arial" w:cs="Arial"/>
          <w:sz w:val="22"/>
          <w:szCs w:val="22"/>
        </w:rPr>
      </w:pPr>
    </w:p>
    <w:p w14:paraId="44917C48" w14:textId="658087F9" w:rsidR="00D37C03" w:rsidRPr="00D37C03" w:rsidRDefault="00D37C03" w:rsidP="00D37C03">
      <w:pPr>
        <w:rPr>
          <w:rFonts w:ascii="Arial" w:hAnsi="Arial" w:cs="Arial"/>
          <w:sz w:val="22"/>
          <w:szCs w:val="22"/>
        </w:rPr>
      </w:pPr>
    </w:p>
    <w:tbl>
      <w:tblPr>
        <w:tblStyle w:val="Rastertabel4-Accent3"/>
        <w:tblpPr w:vertAnchor="text" w:horzAnchor="margin" w:tblpY="581"/>
        <w:tblW w:w="9818" w:type="dxa"/>
        <w:tblLayout w:type="fixed"/>
        <w:tblLook w:val="04A0" w:firstRow="1" w:lastRow="0" w:firstColumn="1" w:lastColumn="0" w:noHBand="0" w:noVBand="1"/>
      </w:tblPr>
      <w:tblGrid>
        <w:gridCol w:w="1127"/>
        <w:gridCol w:w="2895"/>
        <w:gridCol w:w="2895"/>
        <w:gridCol w:w="2901"/>
      </w:tblGrid>
      <w:tr w:rsidR="00D37C03" w:rsidRPr="00D37C03" w14:paraId="4BDE3DA4" w14:textId="77777777" w:rsidTr="00D37C03">
        <w:trPr>
          <w:cnfStyle w:val="100000000000" w:firstRow="1" w:lastRow="0" w:firstColumn="0" w:lastColumn="0" w:oddVBand="0" w:evenVBand="0" w:oddHBand="0" w:evenHBand="0" w:firstRowFirstColumn="0" w:firstRowLastColumn="0" w:lastRowFirstColumn="0" w:lastRowLastColumn="0"/>
          <w:trHeight w:hRule="exact" w:val="582"/>
        </w:trPr>
        <w:tc>
          <w:tcPr>
            <w:cnfStyle w:val="001000000000" w:firstRow="0" w:lastRow="0" w:firstColumn="1" w:lastColumn="0" w:oddVBand="0" w:evenVBand="0" w:oddHBand="0" w:evenHBand="0" w:firstRowFirstColumn="0" w:firstRowLastColumn="0" w:lastRowFirstColumn="0" w:lastRowLastColumn="0"/>
            <w:tcW w:w="1127" w:type="dxa"/>
          </w:tcPr>
          <w:p w14:paraId="1C59B2FF" w14:textId="77777777" w:rsidR="00D37C03" w:rsidRPr="00D37C03" w:rsidRDefault="00D37C03" w:rsidP="00ED6EF9">
            <w:pPr>
              <w:spacing w:before="66"/>
              <w:ind w:left="45" w:right="-18"/>
              <w:rPr>
                <w:rFonts w:ascii="Arial" w:hAnsi="Arial" w:cs="Arial"/>
                <w:color w:val="010302"/>
                <w:sz w:val="22"/>
                <w:szCs w:val="22"/>
              </w:rPr>
            </w:pPr>
            <w:r>
              <w:rPr>
                <w:rFonts w:ascii="Arial" w:hAnsi="Arial"/>
                <w:color w:val="010302"/>
                <w:sz w:val="22"/>
              </w:rPr>
              <w:t>Band</w:t>
            </w:r>
          </w:p>
        </w:tc>
        <w:tc>
          <w:tcPr>
            <w:tcW w:w="2895" w:type="dxa"/>
          </w:tcPr>
          <w:p w14:paraId="38349623" w14:textId="77777777" w:rsidR="00D37C03" w:rsidRPr="00D37C03" w:rsidRDefault="00D37C03" w:rsidP="00ED6EF9">
            <w:pPr>
              <w:spacing w:before="66"/>
              <w:ind w:left="60" w:right="-18"/>
              <w:cnfStyle w:val="100000000000" w:firstRow="1" w:lastRow="0" w:firstColumn="0" w:lastColumn="0" w:oddVBand="0" w:evenVBand="0" w:oddHBand="0" w:evenHBand="0" w:firstRowFirstColumn="0" w:firstRowLastColumn="0" w:lastRowFirstColumn="0" w:lastRowLastColumn="0"/>
              <w:rPr>
                <w:rFonts w:ascii="Arial" w:hAnsi="Arial" w:cs="Arial"/>
                <w:color w:val="010302"/>
                <w:sz w:val="22"/>
                <w:szCs w:val="22"/>
              </w:rPr>
            </w:pPr>
            <w:r>
              <w:rPr>
                <w:rFonts w:ascii="Arial" w:hAnsi="Arial"/>
                <w:color w:val="010302"/>
                <w:sz w:val="22"/>
              </w:rPr>
              <w:t>Type of contribution</w:t>
            </w:r>
          </w:p>
        </w:tc>
        <w:tc>
          <w:tcPr>
            <w:tcW w:w="2895" w:type="dxa"/>
          </w:tcPr>
          <w:p w14:paraId="54708AB7" w14:textId="77777777" w:rsidR="00D37C03" w:rsidRPr="00D37C03" w:rsidRDefault="00D37C03" w:rsidP="00ED6EF9">
            <w:pPr>
              <w:spacing w:before="66"/>
              <w:ind w:left="60" w:right="-18"/>
              <w:cnfStyle w:val="100000000000" w:firstRow="1" w:lastRow="0" w:firstColumn="0" w:lastColumn="0" w:oddVBand="0" w:evenVBand="0" w:oddHBand="0" w:evenHBand="0" w:firstRowFirstColumn="0" w:firstRowLastColumn="0" w:lastRowFirstColumn="0" w:lastRowLastColumn="0"/>
              <w:rPr>
                <w:rFonts w:ascii="Arial" w:hAnsi="Arial" w:cs="Arial"/>
                <w:color w:val="010302"/>
                <w:sz w:val="22"/>
                <w:szCs w:val="22"/>
              </w:rPr>
            </w:pPr>
            <w:r>
              <w:rPr>
                <w:rFonts w:ascii="Arial" w:hAnsi="Arial"/>
                <w:color w:val="010302"/>
                <w:sz w:val="22"/>
              </w:rPr>
              <w:t>Below state-pension age</w:t>
            </w:r>
          </w:p>
        </w:tc>
        <w:tc>
          <w:tcPr>
            <w:tcW w:w="2901" w:type="dxa"/>
          </w:tcPr>
          <w:p w14:paraId="7C866BB0" w14:textId="77777777" w:rsidR="00D37C03" w:rsidRPr="00D37C03" w:rsidRDefault="00D37C03" w:rsidP="00ED6EF9">
            <w:pPr>
              <w:spacing w:before="66"/>
              <w:ind w:left="60" w:right="-18"/>
              <w:cnfStyle w:val="100000000000" w:firstRow="1" w:lastRow="0" w:firstColumn="0" w:lastColumn="0" w:oddVBand="0" w:evenVBand="0" w:oddHBand="0" w:evenHBand="0" w:firstRowFirstColumn="0" w:firstRowLastColumn="0" w:lastRowFirstColumn="0" w:lastRowLastColumn="0"/>
              <w:rPr>
                <w:rFonts w:ascii="Arial" w:hAnsi="Arial" w:cs="Arial"/>
                <w:color w:val="010302"/>
                <w:sz w:val="22"/>
                <w:szCs w:val="22"/>
              </w:rPr>
            </w:pPr>
            <w:r>
              <w:rPr>
                <w:rFonts w:ascii="Arial" w:hAnsi="Arial"/>
                <w:color w:val="010302"/>
                <w:sz w:val="22"/>
              </w:rPr>
              <w:t>State-pension age and above</w:t>
            </w:r>
          </w:p>
        </w:tc>
      </w:tr>
      <w:tr w:rsidR="00D37C03" w:rsidRPr="00D37C03" w14:paraId="3D967693" w14:textId="77777777" w:rsidTr="00D37C03">
        <w:trPr>
          <w:cnfStyle w:val="000000100000" w:firstRow="0" w:lastRow="0" w:firstColumn="0" w:lastColumn="0" w:oddVBand="0" w:evenVBand="0" w:oddHBand="1" w:evenHBand="0" w:firstRowFirstColumn="0" w:firstRowLastColumn="0" w:lastRowFirstColumn="0" w:lastRowLastColumn="0"/>
          <w:trHeight w:hRule="exact" w:val="290"/>
        </w:trPr>
        <w:tc>
          <w:tcPr>
            <w:cnfStyle w:val="001000000000" w:firstRow="0" w:lastRow="0" w:firstColumn="1" w:lastColumn="0" w:oddVBand="0" w:evenVBand="0" w:oddHBand="0" w:evenHBand="0" w:firstRowFirstColumn="0" w:firstRowLastColumn="0" w:lastRowFirstColumn="0" w:lastRowLastColumn="0"/>
            <w:tcW w:w="1127" w:type="dxa"/>
            <w:vMerge w:val="restart"/>
          </w:tcPr>
          <w:p w14:paraId="27EF9C6A" w14:textId="77777777" w:rsidR="00D37C03" w:rsidRPr="00980FCA" w:rsidRDefault="00D37C03" w:rsidP="00ED6EF9">
            <w:pPr>
              <w:spacing w:line="300" w:lineRule="exact"/>
              <w:ind w:left="45" w:right="-18"/>
              <w:rPr>
                <w:rFonts w:ascii="Arial" w:hAnsi="Arial" w:cs="Arial"/>
                <w:b w:val="0"/>
                <w:bCs w:val="0"/>
                <w:color w:val="010302"/>
                <w:sz w:val="22"/>
                <w:szCs w:val="22"/>
              </w:rPr>
            </w:pPr>
            <w:r>
              <w:rPr>
                <w:rFonts w:ascii="Arial" w:hAnsi="Arial"/>
                <w:b w:val="0"/>
                <w:color w:val="010302"/>
                <w:sz w:val="22"/>
              </w:rPr>
              <w:t>1</w:t>
            </w:r>
          </w:p>
        </w:tc>
        <w:tc>
          <w:tcPr>
            <w:tcW w:w="2895" w:type="dxa"/>
          </w:tcPr>
          <w:p w14:paraId="2E504E33" w14:textId="77777777" w:rsidR="00D37C03" w:rsidRPr="00D37C03" w:rsidRDefault="00D37C03" w:rsidP="00ED6EF9">
            <w:pPr>
              <w:spacing w:before="28"/>
              <w:ind w:left="2" w:right="-18"/>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r>
              <w:rPr>
                <w:rFonts w:ascii="Arial" w:hAnsi="Arial"/>
                <w:color w:val="010302"/>
                <w:sz w:val="22"/>
              </w:rPr>
              <w:t>State pension (AOW)</w:t>
            </w:r>
          </w:p>
        </w:tc>
        <w:tc>
          <w:tcPr>
            <w:tcW w:w="2895" w:type="dxa"/>
          </w:tcPr>
          <w:p w14:paraId="59D4BD23" w14:textId="77777777" w:rsidR="00D37C03" w:rsidRPr="00D37C03" w:rsidRDefault="00D37C03" w:rsidP="00980FCA">
            <w:pPr>
              <w:spacing w:before="28"/>
              <w:ind w:left="60" w:right="162"/>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r>
              <w:rPr>
                <w:rFonts w:ascii="Arial" w:hAnsi="Arial"/>
                <w:color w:val="010302"/>
                <w:sz w:val="22"/>
              </w:rPr>
              <w:t>17.90%</w:t>
            </w:r>
          </w:p>
        </w:tc>
        <w:tc>
          <w:tcPr>
            <w:tcW w:w="2901" w:type="dxa"/>
          </w:tcPr>
          <w:p w14:paraId="5168D3E9" w14:textId="77777777" w:rsidR="00D37C03" w:rsidRPr="00D37C03" w:rsidRDefault="00D37C03" w:rsidP="00980FCA">
            <w:pPr>
              <w:spacing w:before="28"/>
              <w:ind w:left="60" w:right="162"/>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r>
              <w:rPr>
                <w:rFonts w:ascii="Arial" w:hAnsi="Arial"/>
                <w:color w:val="010302"/>
                <w:sz w:val="22"/>
              </w:rPr>
              <w:t>-</w:t>
            </w:r>
          </w:p>
        </w:tc>
      </w:tr>
      <w:tr w:rsidR="00D37C03" w:rsidRPr="00D37C03" w14:paraId="3DF334F5" w14:textId="77777777" w:rsidTr="00550856">
        <w:trPr>
          <w:trHeight w:hRule="exact" w:val="554"/>
        </w:trPr>
        <w:tc>
          <w:tcPr>
            <w:cnfStyle w:val="001000000000" w:firstRow="0" w:lastRow="0" w:firstColumn="1" w:lastColumn="0" w:oddVBand="0" w:evenVBand="0" w:oddHBand="0" w:evenHBand="0" w:firstRowFirstColumn="0" w:firstRowLastColumn="0" w:lastRowFirstColumn="0" w:lastRowLastColumn="0"/>
            <w:tcW w:w="1127" w:type="dxa"/>
            <w:vMerge/>
          </w:tcPr>
          <w:p w14:paraId="504FB294" w14:textId="77777777" w:rsidR="00D37C03" w:rsidRPr="00980FCA" w:rsidRDefault="00D37C03" w:rsidP="00ED6EF9">
            <w:pPr>
              <w:rPr>
                <w:rFonts w:ascii="Arial" w:hAnsi="Arial" w:cs="Arial"/>
                <w:b w:val="0"/>
                <w:bCs w:val="0"/>
                <w:color w:val="000000" w:themeColor="text1"/>
                <w:sz w:val="22"/>
                <w:szCs w:val="22"/>
              </w:rPr>
            </w:pPr>
          </w:p>
        </w:tc>
        <w:tc>
          <w:tcPr>
            <w:tcW w:w="2895" w:type="dxa"/>
          </w:tcPr>
          <w:p w14:paraId="1C82B50E" w14:textId="77777777" w:rsidR="00D37C03" w:rsidRPr="00D37C03" w:rsidRDefault="00D37C03" w:rsidP="00ED6EF9">
            <w:pPr>
              <w:spacing w:before="28"/>
              <w:ind w:left="32" w:right="-18" w:hanging="52"/>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Pr>
                <w:rFonts w:ascii="Arial" w:hAnsi="Arial"/>
                <w:color w:val="010302"/>
                <w:sz w:val="22"/>
              </w:rPr>
              <w:t>Surviving Dependants Act (ANW)</w:t>
            </w:r>
          </w:p>
        </w:tc>
        <w:tc>
          <w:tcPr>
            <w:tcW w:w="2895" w:type="dxa"/>
          </w:tcPr>
          <w:p w14:paraId="5D689308" w14:textId="77777777" w:rsidR="00D37C03" w:rsidRPr="00D37C03" w:rsidRDefault="00D37C03" w:rsidP="00980FCA">
            <w:pPr>
              <w:spacing w:before="28"/>
              <w:ind w:left="60" w:right="162"/>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Pr>
                <w:rFonts w:ascii="Arial" w:hAnsi="Arial"/>
                <w:color w:val="010302"/>
                <w:sz w:val="22"/>
              </w:rPr>
              <w:t>0.10%</w:t>
            </w:r>
          </w:p>
        </w:tc>
        <w:tc>
          <w:tcPr>
            <w:tcW w:w="2901" w:type="dxa"/>
          </w:tcPr>
          <w:p w14:paraId="0FDD758C" w14:textId="77777777" w:rsidR="00D37C03" w:rsidRPr="00D37C03" w:rsidRDefault="00D37C03" w:rsidP="00980FCA">
            <w:pPr>
              <w:spacing w:before="28"/>
              <w:ind w:left="60" w:right="162"/>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Pr>
                <w:rFonts w:ascii="Arial" w:hAnsi="Arial"/>
                <w:color w:val="010302"/>
                <w:sz w:val="22"/>
              </w:rPr>
              <w:t>0.10%</w:t>
            </w:r>
          </w:p>
        </w:tc>
      </w:tr>
      <w:tr w:rsidR="00D37C03" w:rsidRPr="00D37C03" w14:paraId="7DCAD33A" w14:textId="77777777" w:rsidTr="00D37C03">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1127" w:type="dxa"/>
            <w:vMerge/>
          </w:tcPr>
          <w:p w14:paraId="36435E37" w14:textId="77777777" w:rsidR="00D37C03" w:rsidRPr="00980FCA" w:rsidRDefault="00D37C03" w:rsidP="00ED6EF9">
            <w:pPr>
              <w:rPr>
                <w:rFonts w:ascii="Arial" w:hAnsi="Arial" w:cs="Arial"/>
                <w:b w:val="0"/>
                <w:bCs w:val="0"/>
                <w:color w:val="000000" w:themeColor="text1"/>
                <w:sz w:val="22"/>
                <w:szCs w:val="22"/>
              </w:rPr>
            </w:pPr>
          </w:p>
        </w:tc>
        <w:tc>
          <w:tcPr>
            <w:tcW w:w="2895" w:type="dxa"/>
          </w:tcPr>
          <w:p w14:paraId="51823B32" w14:textId="77777777" w:rsidR="00D37C03" w:rsidRPr="00D37C03" w:rsidRDefault="00D37C03" w:rsidP="00ED6EF9">
            <w:pPr>
              <w:spacing w:before="28"/>
              <w:ind w:left="32" w:right="-18" w:hanging="52"/>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r>
              <w:rPr>
                <w:rFonts w:ascii="Arial" w:hAnsi="Arial"/>
                <w:color w:val="010302"/>
                <w:sz w:val="22"/>
              </w:rPr>
              <w:t>Long-Term Care Act (WLZ)</w:t>
            </w:r>
          </w:p>
        </w:tc>
        <w:tc>
          <w:tcPr>
            <w:tcW w:w="2895" w:type="dxa"/>
          </w:tcPr>
          <w:p w14:paraId="0C25D77E" w14:textId="77777777" w:rsidR="00D37C03" w:rsidRPr="00D37C03" w:rsidRDefault="00D37C03" w:rsidP="00980FCA">
            <w:pPr>
              <w:spacing w:before="28"/>
              <w:ind w:left="60" w:right="162"/>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r>
              <w:rPr>
                <w:rFonts w:ascii="Arial" w:hAnsi="Arial"/>
                <w:color w:val="010302"/>
                <w:sz w:val="22"/>
              </w:rPr>
              <w:t>9.65%</w:t>
            </w:r>
          </w:p>
        </w:tc>
        <w:tc>
          <w:tcPr>
            <w:tcW w:w="2901" w:type="dxa"/>
          </w:tcPr>
          <w:p w14:paraId="22C8A696" w14:textId="77777777" w:rsidR="00D37C03" w:rsidRPr="00D37C03" w:rsidRDefault="00D37C03" w:rsidP="00980FCA">
            <w:pPr>
              <w:spacing w:before="28"/>
              <w:ind w:left="60" w:right="162"/>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r>
              <w:rPr>
                <w:rFonts w:ascii="Arial" w:hAnsi="Arial"/>
                <w:color w:val="010302"/>
                <w:sz w:val="22"/>
              </w:rPr>
              <w:t>9.65%</w:t>
            </w:r>
          </w:p>
          <w:p w14:paraId="06AB899C" w14:textId="77777777" w:rsidR="00D37C03" w:rsidRPr="00D37C03" w:rsidRDefault="00D37C03" w:rsidP="00980FCA">
            <w:pPr>
              <w:spacing w:before="28"/>
              <w:ind w:left="60" w:right="162"/>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p>
        </w:tc>
      </w:tr>
      <w:tr w:rsidR="00D37C03" w:rsidRPr="00D37C03" w14:paraId="33308FC8" w14:textId="77777777" w:rsidTr="00D37C03">
        <w:trPr>
          <w:trHeight w:hRule="exact" w:val="301"/>
        </w:trPr>
        <w:tc>
          <w:tcPr>
            <w:cnfStyle w:val="001000000000" w:firstRow="0" w:lastRow="0" w:firstColumn="1" w:lastColumn="0" w:oddVBand="0" w:evenVBand="0" w:oddHBand="0" w:evenHBand="0" w:firstRowFirstColumn="0" w:firstRowLastColumn="0" w:lastRowFirstColumn="0" w:lastRowLastColumn="0"/>
            <w:tcW w:w="1127" w:type="dxa"/>
            <w:vMerge/>
          </w:tcPr>
          <w:p w14:paraId="691642B1" w14:textId="77777777" w:rsidR="00D37C03" w:rsidRPr="00980FCA" w:rsidRDefault="00D37C03" w:rsidP="00ED6EF9">
            <w:pPr>
              <w:rPr>
                <w:rFonts w:ascii="Arial" w:hAnsi="Arial" w:cs="Arial"/>
                <w:b w:val="0"/>
                <w:bCs w:val="0"/>
                <w:color w:val="000000" w:themeColor="text1"/>
                <w:sz w:val="22"/>
                <w:szCs w:val="22"/>
              </w:rPr>
            </w:pPr>
          </w:p>
        </w:tc>
        <w:tc>
          <w:tcPr>
            <w:tcW w:w="2895" w:type="dxa"/>
          </w:tcPr>
          <w:p w14:paraId="16096C6D" w14:textId="77777777" w:rsidR="00D37C03" w:rsidRPr="00D37C03" w:rsidRDefault="00D37C03" w:rsidP="00ED6EF9">
            <w:pPr>
              <w:spacing w:before="28"/>
              <w:ind w:left="32" w:right="-18" w:hanging="52"/>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Pr>
                <w:rFonts w:ascii="Arial" w:hAnsi="Arial"/>
                <w:color w:val="010302"/>
                <w:sz w:val="22"/>
              </w:rPr>
              <w:t>Payroll tax</w:t>
            </w:r>
          </w:p>
        </w:tc>
        <w:tc>
          <w:tcPr>
            <w:tcW w:w="2895" w:type="dxa"/>
          </w:tcPr>
          <w:p w14:paraId="02914933" w14:textId="55B2AB92" w:rsidR="00D37C03" w:rsidRPr="00D37C03" w:rsidRDefault="000F4D21" w:rsidP="00980FCA">
            <w:pPr>
              <w:spacing w:before="28"/>
              <w:ind w:left="60" w:right="162"/>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Pr>
                <w:rFonts w:ascii="Arial" w:hAnsi="Arial"/>
                <w:color w:val="010302"/>
                <w:sz w:val="22"/>
              </w:rPr>
              <w:t>8.10%</w:t>
            </w:r>
          </w:p>
        </w:tc>
        <w:tc>
          <w:tcPr>
            <w:tcW w:w="2901" w:type="dxa"/>
          </w:tcPr>
          <w:p w14:paraId="1AB1D477" w14:textId="426CD72E" w:rsidR="00D37C03" w:rsidRPr="00D37C03" w:rsidRDefault="000F4D21" w:rsidP="00980FCA">
            <w:pPr>
              <w:spacing w:before="28"/>
              <w:ind w:left="60" w:right="162"/>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Pr>
                <w:rFonts w:ascii="Arial" w:hAnsi="Arial"/>
                <w:color w:val="010302"/>
                <w:sz w:val="22"/>
              </w:rPr>
              <w:t>8.10%</w:t>
            </w:r>
          </w:p>
        </w:tc>
      </w:tr>
      <w:tr w:rsidR="00D37C03" w:rsidRPr="00D37C03" w14:paraId="0BEC2218" w14:textId="77777777" w:rsidTr="00D37C03">
        <w:trPr>
          <w:cnfStyle w:val="000000100000" w:firstRow="0" w:lastRow="0" w:firstColumn="0" w:lastColumn="0" w:oddVBand="0" w:evenVBand="0" w:oddHBand="1" w:evenHBand="0" w:firstRowFirstColumn="0" w:firstRowLastColumn="0" w:lastRowFirstColumn="0" w:lastRowLastColumn="0"/>
          <w:trHeight w:hRule="exact" w:val="290"/>
        </w:trPr>
        <w:tc>
          <w:tcPr>
            <w:cnfStyle w:val="001000000000" w:firstRow="0" w:lastRow="0" w:firstColumn="1" w:lastColumn="0" w:oddVBand="0" w:evenVBand="0" w:oddHBand="0" w:evenHBand="0" w:firstRowFirstColumn="0" w:firstRowLastColumn="0" w:lastRowFirstColumn="0" w:lastRowLastColumn="0"/>
            <w:tcW w:w="1127" w:type="dxa"/>
            <w:vMerge/>
          </w:tcPr>
          <w:p w14:paraId="6908BF20" w14:textId="77777777" w:rsidR="00D37C03" w:rsidRPr="00980FCA" w:rsidRDefault="00D37C03" w:rsidP="00ED6EF9">
            <w:pPr>
              <w:rPr>
                <w:rFonts w:ascii="Arial" w:hAnsi="Arial" w:cs="Arial"/>
                <w:b w:val="0"/>
                <w:bCs w:val="0"/>
                <w:color w:val="000000" w:themeColor="text1"/>
                <w:sz w:val="22"/>
                <w:szCs w:val="22"/>
              </w:rPr>
            </w:pPr>
          </w:p>
        </w:tc>
        <w:tc>
          <w:tcPr>
            <w:tcW w:w="2895" w:type="dxa"/>
          </w:tcPr>
          <w:p w14:paraId="0F9915CE" w14:textId="77777777" w:rsidR="00D37C03" w:rsidRPr="00D37C03" w:rsidRDefault="00D37C03" w:rsidP="00ED6EF9">
            <w:pPr>
              <w:spacing w:before="31"/>
              <w:ind w:left="-20" w:right="-18"/>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10302"/>
                <w:sz w:val="22"/>
                <w:szCs w:val="22"/>
              </w:rPr>
            </w:pPr>
            <w:r>
              <w:rPr>
                <w:rFonts w:ascii="Arial" w:hAnsi="Arial"/>
                <w:b/>
                <w:i/>
                <w:color w:val="010302"/>
                <w:sz w:val="22"/>
              </w:rPr>
              <w:t>Total for band 1</w:t>
            </w:r>
          </w:p>
        </w:tc>
        <w:tc>
          <w:tcPr>
            <w:tcW w:w="2895" w:type="dxa"/>
          </w:tcPr>
          <w:p w14:paraId="7EE637E1" w14:textId="4C1ED778" w:rsidR="00D37C03" w:rsidRPr="00D37C03" w:rsidRDefault="000F4D21" w:rsidP="00980FCA">
            <w:pPr>
              <w:spacing w:before="31"/>
              <w:ind w:left="60" w:right="162"/>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10302"/>
                <w:sz w:val="22"/>
                <w:szCs w:val="22"/>
              </w:rPr>
            </w:pPr>
            <w:r>
              <w:rPr>
                <w:rFonts w:ascii="Arial" w:hAnsi="Arial"/>
                <w:b/>
                <w:i/>
                <w:color w:val="010302"/>
                <w:sz w:val="22"/>
              </w:rPr>
              <w:t>35.75%</w:t>
            </w:r>
          </w:p>
        </w:tc>
        <w:tc>
          <w:tcPr>
            <w:tcW w:w="2901" w:type="dxa"/>
          </w:tcPr>
          <w:p w14:paraId="60FAADD8" w14:textId="563CFDB2" w:rsidR="00D37C03" w:rsidRPr="00D37C03" w:rsidRDefault="000F4D21" w:rsidP="00980FCA">
            <w:pPr>
              <w:spacing w:before="31"/>
              <w:ind w:left="60" w:right="162"/>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10302"/>
                <w:sz w:val="22"/>
                <w:szCs w:val="22"/>
              </w:rPr>
            </w:pPr>
            <w:r>
              <w:rPr>
                <w:rFonts w:ascii="Arial" w:hAnsi="Arial"/>
                <w:b/>
                <w:i/>
                <w:color w:val="000000" w:themeColor="text1"/>
                <w:sz w:val="22"/>
              </w:rPr>
              <w:t>17.85%</w:t>
            </w:r>
          </w:p>
        </w:tc>
      </w:tr>
      <w:tr w:rsidR="00D37C03" w:rsidRPr="00D37C03" w14:paraId="5E13D3F2" w14:textId="77777777" w:rsidTr="00212994">
        <w:trPr>
          <w:trHeight w:hRule="exact" w:val="628"/>
        </w:trPr>
        <w:tc>
          <w:tcPr>
            <w:cnfStyle w:val="001000000000" w:firstRow="0" w:lastRow="0" w:firstColumn="1" w:lastColumn="0" w:oddVBand="0" w:evenVBand="0" w:oddHBand="0" w:evenHBand="0" w:firstRowFirstColumn="0" w:firstRowLastColumn="0" w:lastRowFirstColumn="0" w:lastRowLastColumn="0"/>
            <w:tcW w:w="1127" w:type="dxa"/>
          </w:tcPr>
          <w:p w14:paraId="7CE4B866" w14:textId="77777777" w:rsidR="00D37C03" w:rsidRPr="00980FCA" w:rsidRDefault="00D37C03" w:rsidP="00ED6EF9">
            <w:pPr>
              <w:spacing w:before="28"/>
              <w:ind w:left="45" w:right="-18"/>
              <w:rPr>
                <w:rFonts w:ascii="Arial" w:hAnsi="Arial" w:cs="Arial"/>
                <w:b w:val="0"/>
                <w:bCs w:val="0"/>
                <w:color w:val="010302"/>
                <w:sz w:val="22"/>
                <w:szCs w:val="22"/>
              </w:rPr>
            </w:pPr>
            <w:r>
              <w:rPr>
                <w:rFonts w:ascii="Arial" w:hAnsi="Arial"/>
                <w:b w:val="0"/>
                <w:color w:val="010302"/>
                <w:sz w:val="22"/>
              </w:rPr>
              <w:t>2a and 2b</w:t>
            </w:r>
          </w:p>
        </w:tc>
        <w:tc>
          <w:tcPr>
            <w:tcW w:w="2895" w:type="dxa"/>
          </w:tcPr>
          <w:p w14:paraId="6D831E68" w14:textId="77777777" w:rsidR="00D37C03" w:rsidRPr="00D37C03" w:rsidRDefault="00D37C03" w:rsidP="00ED6EF9">
            <w:pPr>
              <w:spacing w:before="28"/>
              <w:ind w:right="-18"/>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Pr>
                <w:rFonts w:ascii="Arial" w:hAnsi="Arial"/>
                <w:color w:val="010302"/>
                <w:sz w:val="22"/>
              </w:rPr>
              <w:t>Payroll tax</w:t>
            </w:r>
          </w:p>
        </w:tc>
        <w:tc>
          <w:tcPr>
            <w:tcW w:w="2895" w:type="dxa"/>
          </w:tcPr>
          <w:p w14:paraId="5A3277A3" w14:textId="55AF7DAC" w:rsidR="00D37C03" w:rsidRPr="00D37C03" w:rsidRDefault="000F4D21" w:rsidP="00980FCA">
            <w:pPr>
              <w:spacing w:before="28"/>
              <w:ind w:left="60" w:right="162"/>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Pr>
                <w:rFonts w:ascii="Arial" w:hAnsi="Arial"/>
                <w:color w:val="000000" w:themeColor="text1"/>
                <w:sz w:val="22"/>
              </w:rPr>
              <w:t>37.56%</w:t>
            </w:r>
          </w:p>
        </w:tc>
        <w:tc>
          <w:tcPr>
            <w:tcW w:w="2901" w:type="dxa"/>
          </w:tcPr>
          <w:p w14:paraId="5D248BCB" w14:textId="4F6BEA5F" w:rsidR="00D37C03" w:rsidRPr="00D37C03" w:rsidRDefault="000F4D21" w:rsidP="00980FCA">
            <w:pPr>
              <w:spacing w:before="28"/>
              <w:ind w:left="60" w:right="162"/>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Pr>
                <w:rFonts w:ascii="Arial" w:hAnsi="Arial"/>
                <w:color w:val="000000" w:themeColor="text1"/>
                <w:sz w:val="22"/>
              </w:rPr>
              <w:t>37.56%</w:t>
            </w:r>
          </w:p>
        </w:tc>
      </w:tr>
      <w:tr w:rsidR="00D37C03" w:rsidRPr="00D37C03" w14:paraId="27DEAFB2" w14:textId="77777777" w:rsidTr="00D37C03">
        <w:trPr>
          <w:cnfStyle w:val="000000100000" w:firstRow="0" w:lastRow="0" w:firstColumn="0" w:lastColumn="0" w:oddVBand="0" w:evenVBand="0" w:oddHBand="1" w:evenHBand="0" w:firstRowFirstColumn="0" w:firstRowLastColumn="0" w:lastRowFirstColumn="0" w:lastRowLastColumn="0"/>
          <w:trHeight w:hRule="exact" w:val="279"/>
        </w:trPr>
        <w:tc>
          <w:tcPr>
            <w:cnfStyle w:val="001000000000" w:firstRow="0" w:lastRow="0" w:firstColumn="1" w:lastColumn="0" w:oddVBand="0" w:evenVBand="0" w:oddHBand="0" w:evenHBand="0" w:firstRowFirstColumn="0" w:firstRowLastColumn="0" w:lastRowFirstColumn="0" w:lastRowLastColumn="0"/>
            <w:tcW w:w="1127" w:type="dxa"/>
          </w:tcPr>
          <w:p w14:paraId="39B6C5A7" w14:textId="77777777" w:rsidR="00D37C03" w:rsidRPr="00980FCA" w:rsidRDefault="00D37C03" w:rsidP="00ED6EF9">
            <w:pPr>
              <w:spacing w:before="28"/>
              <w:ind w:left="45" w:right="-18"/>
              <w:rPr>
                <w:rFonts w:ascii="Arial" w:hAnsi="Arial" w:cs="Arial"/>
                <w:b w:val="0"/>
                <w:bCs w:val="0"/>
                <w:color w:val="010302"/>
                <w:sz w:val="22"/>
                <w:szCs w:val="22"/>
              </w:rPr>
            </w:pPr>
            <w:r>
              <w:rPr>
                <w:rFonts w:ascii="Arial" w:hAnsi="Arial"/>
                <w:b w:val="0"/>
                <w:color w:val="010302"/>
                <w:sz w:val="22"/>
              </w:rPr>
              <w:t>3</w:t>
            </w:r>
          </w:p>
        </w:tc>
        <w:tc>
          <w:tcPr>
            <w:tcW w:w="2895" w:type="dxa"/>
          </w:tcPr>
          <w:p w14:paraId="33C9703C" w14:textId="77777777" w:rsidR="00D37C03" w:rsidRPr="00D37C03" w:rsidRDefault="00D37C03" w:rsidP="00ED6EF9">
            <w:pPr>
              <w:spacing w:before="28"/>
              <w:ind w:right="-18"/>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r>
              <w:rPr>
                <w:rFonts w:ascii="Arial" w:hAnsi="Arial"/>
                <w:color w:val="010302"/>
                <w:sz w:val="22"/>
              </w:rPr>
              <w:t>Payroll tax</w:t>
            </w:r>
          </w:p>
        </w:tc>
        <w:tc>
          <w:tcPr>
            <w:tcW w:w="2895" w:type="dxa"/>
          </w:tcPr>
          <w:p w14:paraId="51E37C19" w14:textId="77777777" w:rsidR="00D37C03" w:rsidRPr="00D37C03" w:rsidRDefault="00D37C03" w:rsidP="00980FCA">
            <w:pPr>
              <w:spacing w:before="28"/>
              <w:ind w:left="60" w:right="162"/>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r>
              <w:rPr>
                <w:rFonts w:ascii="Arial" w:hAnsi="Arial"/>
                <w:color w:val="000000" w:themeColor="text1"/>
                <w:sz w:val="22"/>
              </w:rPr>
              <w:t>49.50%</w:t>
            </w:r>
          </w:p>
        </w:tc>
        <w:tc>
          <w:tcPr>
            <w:tcW w:w="2901" w:type="dxa"/>
          </w:tcPr>
          <w:p w14:paraId="1F1C9DCE" w14:textId="77777777" w:rsidR="00D37C03" w:rsidRPr="00D37C03" w:rsidRDefault="00D37C03" w:rsidP="00980FCA">
            <w:pPr>
              <w:spacing w:before="28"/>
              <w:ind w:left="60" w:right="162"/>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r>
              <w:rPr>
                <w:rFonts w:ascii="Arial" w:hAnsi="Arial"/>
                <w:color w:val="000000" w:themeColor="text1"/>
                <w:sz w:val="22"/>
              </w:rPr>
              <w:t>49.50%</w:t>
            </w:r>
          </w:p>
        </w:tc>
      </w:tr>
    </w:tbl>
    <w:p w14:paraId="2CE29AB7" w14:textId="180CF47D" w:rsidR="00F4314C" w:rsidRPr="00D37C03" w:rsidRDefault="00166246" w:rsidP="00166246">
      <w:pPr>
        <w:rPr>
          <w:rFonts w:ascii="Arial" w:hAnsi="Arial" w:cs="Arial"/>
          <w:sz w:val="22"/>
          <w:szCs w:val="22"/>
        </w:rPr>
      </w:pPr>
      <w:r>
        <w:rPr>
          <w:rFonts w:ascii="Arial" w:hAnsi="Arial"/>
          <w:sz w:val="22"/>
        </w:rPr>
        <w:t>The rate for the bands is made up of the following elements:</w:t>
      </w:r>
    </w:p>
    <w:p w14:paraId="77E72F50" w14:textId="77777777" w:rsidR="00D37C03" w:rsidRDefault="00D37C03" w:rsidP="00250681">
      <w:pPr>
        <w:rPr>
          <w:rFonts w:ascii="Arial" w:hAnsi="Arial" w:cs="Arial"/>
          <w:sz w:val="22"/>
          <w:szCs w:val="22"/>
        </w:rPr>
      </w:pPr>
    </w:p>
    <w:p w14:paraId="7324BDB9" w14:textId="77777777" w:rsidR="00BB0435" w:rsidRDefault="00BB0435">
      <w:pPr>
        <w:rPr>
          <w:rFonts w:ascii="Arial" w:hAnsi="Arial" w:cs="Arial"/>
          <w:sz w:val="22"/>
          <w:szCs w:val="22"/>
        </w:rPr>
      </w:pPr>
    </w:p>
    <w:p w14:paraId="62CBDE4A" w14:textId="1F7C0050" w:rsidR="00D37C03" w:rsidRDefault="00D37C03">
      <w:pPr>
        <w:rPr>
          <w:rFonts w:ascii="Arial" w:hAnsi="Arial" w:cs="Arial"/>
          <w:sz w:val="22"/>
          <w:szCs w:val="22"/>
        </w:rPr>
      </w:pPr>
      <w:r>
        <w:br w:type="page"/>
      </w:r>
    </w:p>
    <w:p w14:paraId="0CC333AB" w14:textId="6A233A5A" w:rsidR="00D37C03" w:rsidRPr="00D37C03" w:rsidRDefault="00D37C03" w:rsidP="002B5BFD">
      <w:pPr>
        <w:pStyle w:val="SRAKopje"/>
        <w:ind w:left="2124" w:hanging="2124"/>
        <w:rPr>
          <w:rFonts w:ascii="Arial" w:hAnsi="Arial" w:cs="Arial"/>
        </w:rPr>
      </w:pPr>
      <w:bookmarkStart w:id="129" w:name="_Toc155866664"/>
      <w:r>
        <w:rPr>
          <w:rFonts w:ascii="Arial" w:hAnsi="Arial"/>
        </w:rPr>
        <w:lastRenderedPageBreak/>
        <w:t>Table 2a</w:t>
      </w:r>
      <w:r>
        <w:rPr>
          <w:rFonts w:ascii="Arial" w:hAnsi="Arial"/>
        </w:rPr>
        <w:tab/>
        <w:t>Tax credits for payroll tax/national insurance contributions</w:t>
      </w:r>
      <w:bookmarkEnd w:id="129"/>
    </w:p>
    <w:tbl>
      <w:tblPr>
        <w:tblStyle w:val="Rastertabel4-Accent3"/>
        <w:tblpPr w:vertAnchor="text" w:horzAnchor="margin" w:tblpXSpec="center" w:tblpY="494"/>
        <w:tblW w:w="10624" w:type="dxa"/>
        <w:tblLayout w:type="fixed"/>
        <w:tblLook w:val="04A0" w:firstRow="1" w:lastRow="0" w:firstColumn="1" w:lastColumn="0" w:noHBand="0" w:noVBand="1"/>
      </w:tblPr>
      <w:tblGrid>
        <w:gridCol w:w="2972"/>
        <w:gridCol w:w="1248"/>
        <w:gridCol w:w="2114"/>
        <w:gridCol w:w="4290"/>
      </w:tblGrid>
      <w:tr w:rsidR="00D37C03" w:rsidRPr="00D37C03" w14:paraId="1612ADE6" w14:textId="77777777" w:rsidTr="00A70200">
        <w:trPr>
          <w:cnfStyle w:val="100000000000" w:firstRow="1" w:lastRow="0" w:firstColumn="0" w:lastColumn="0" w:oddVBand="0" w:evenVBand="0" w:oddHBand="0" w:evenHBand="0" w:firstRowFirstColumn="0" w:firstRowLastColumn="0" w:lastRowFirstColumn="0" w:lastRowLastColumn="0"/>
          <w:trHeight w:hRule="exact" w:val="613"/>
        </w:trPr>
        <w:tc>
          <w:tcPr>
            <w:cnfStyle w:val="001000000000" w:firstRow="0" w:lastRow="0" w:firstColumn="1" w:lastColumn="0" w:oddVBand="0" w:evenVBand="0" w:oddHBand="0" w:evenHBand="0" w:firstRowFirstColumn="0" w:firstRowLastColumn="0" w:lastRowFirstColumn="0" w:lastRowLastColumn="0"/>
            <w:tcW w:w="2972" w:type="dxa"/>
            <w:vMerge w:val="restart"/>
          </w:tcPr>
          <w:p w14:paraId="37A1E862" w14:textId="77777777" w:rsidR="00D37C03" w:rsidRPr="00D37C03" w:rsidRDefault="00D37C03" w:rsidP="002B5BFD">
            <w:pPr>
              <w:spacing w:beforeLines="30" w:before="72" w:afterLines="50" w:after="120" w:line="240" w:lineRule="exact"/>
              <w:ind w:left="170" w:right="357"/>
              <w:rPr>
                <w:rFonts w:ascii="Arial" w:hAnsi="Arial" w:cs="Arial"/>
                <w:color w:val="010302"/>
                <w:sz w:val="22"/>
                <w:szCs w:val="22"/>
              </w:rPr>
            </w:pPr>
            <w:r>
              <w:rPr>
                <w:rFonts w:ascii="Arial" w:hAnsi="Arial"/>
                <w:color w:val="010302"/>
                <w:sz w:val="22"/>
              </w:rPr>
              <w:t>Tax credit</w:t>
            </w:r>
          </w:p>
        </w:tc>
        <w:tc>
          <w:tcPr>
            <w:tcW w:w="3362" w:type="dxa"/>
            <w:gridSpan w:val="2"/>
          </w:tcPr>
          <w:p w14:paraId="595CD975" w14:textId="77777777" w:rsidR="00D37C03" w:rsidRPr="00D37C03" w:rsidRDefault="00D37C03" w:rsidP="002B5BFD">
            <w:pPr>
              <w:spacing w:beforeLines="30" w:before="72" w:afterLines="50" w:after="120" w:line="240" w:lineRule="exact"/>
              <w:ind w:left="170" w:right="357"/>
              <w:jc w:val="center"/>
              <w:cnfStyle w:val="100000000000" w:firstRow="1" w:lastRow="0" w:firstColumn="0" w:lastColumn="0" w:oddVBand="0" w:evenVBand="0" w:oddHBand="0" w:evenHBand="0" w:firstRowFirstColumn="0" w:firstRowLastColumn="0" w:lastRowFirstColumn="0" w:lastRowLastColumn="0"/>
              <w:rPr>
                <w:rFonts w:ascii="Arial" w:hAnsi="Arial" w:cs="Arial"/>
                <w:color w:val="010302"/>
                <w:sz w:val="22"/>
                <w:szCs w:val="22"/>
              </w:rPr>
            </w:pPr>
            <w:r>
              <w:rPr>
                <w:rFonts w:ascii="Arial" w:hAnsi="Arial"/>
                <w:color w:val="010302"/>
                <w:sz w:val="22"/>
              </w:rPr>
              <w:t>Below state-pension age</w:t>
            </w:r>
          </w:p>
        </w:tc>
        <w:tc>
          <w:tcPr>
            <w:tcW w:w="4290" w:type="dxa"/>
            <w:vMerge w:val="restart"/>
          </w:tcPr>
          <w:p w14:paraId="5A0F3FE2" w14:textId="77777777" w:rsidR="00D37C03" w:rsidRPr="00D37C03" w:rsidRDefault="00D37C03" w:rsidP="002B5BFD">
            <w:pPr>
              <w:spacing w:beforeLines="30" w:before="72" w:afterLines="50" w:after="120" w:line="240" w:lineRule="exact"/>
              <w:ind w:left="170" w:right="357"/>
              <w:cnfStyle w:val="100000000000" w:firstRow="1" w:lastRow="0" w:firstColumn="0" w:lastColumn="0" w:oddVBand="0" w:evenVBand="0" w:oddHBand="0" w:evenHBand="0" w:firstRowFirstColumn="0" w:firstRowLastColumn="0" w:lastRowFirstColumn="0" w:lastRowLastColumn="0"/>
              <w:rPr>
                <w:rFonts w:ascii="Arial" w:hAnsi="Arial" w:cs="Arial"/>
                <w:color w:val="010302"/>
                <w:sz w:val="22"/>
                <w:szCs w:val="22"/>
              </w:rPr>
            </w:pPr>
            <w:r>
              <w:rPr>
                <w:rFonts w:ascii="Arial" w:hAnsi="Arial"/>
                <w:color w:val="010302"/>
                <w:sz w:val="22"/>
              </w:rPr>
              <w:t>Details</w:t>
            </w:r>
          </w:p>
        </w:tc>
      </w:tr>
      <w:tr w:rsidR="002B5BFD" w:rsidRPr="00D37C03" w14:paraId="043C8174" w14:textId="77777777" w:rsidTr="00A70200">
        <w:trPr>
          <w:cnfStyle w:val="000000100000" w:firstRow="0" w:lastRow="0" w:firstColumn="0" w:lastColumn="0" w:oddVBand="0" w:evenVBand="0" w:oddHBand="1" w:evenHBand="0" w:firstRowFirstColumn="0" w:firstRowLastColumn="0" w:lastRowFirstColumn="0" w:lastRowLastColumn="0"/>
          <w:trHeight w:hRule="exact" w:val="376"/>
        </w:trPr>
        <w:tc>
          <w:tcPr>
            <w:cnfStyle w:val="001000000000" w:firstRow="0" w:lastRow="0" w:firstColumn="1" w:lastColumn="0" w:oddVBand="0" w:evenVBand="0" w:oddHBand="0" w:evenHBand="0" w:firstRowFirstColumn="0" w:firstRowLastColumn="0" w:lastRowFirstColumn="0" w:lastRowLastColumn="0"/>
            <w:tcW w:w="2972" w:type="dxa"/>
            <w:vMerge/>
          </w:tcPr>
          <w:p w14:paraId="65A62080" w14:textId="77777777" w:rsidR="00D37C03" w:rsidRPr="00D37C03" w:rsidRDefault="00D37C03" w:rsidP="002B5BFD">
            <w:pPr>
              <w:rPr>
                <w:rFonts w:ascii="Arial" w:hAnsi="Arial" w:cs="Arial"/>
                <w:color w:val="000000" w:themeColor="text1"/>
                <w:sz w:val="22"/>
                <w:szCs w:val="22"/>
              </w:rPr>
            </w:pPr>
          </w:p>
        </w:tc>
        <w:tc>
          <w:tcPr>
            <w:tcW w:w="1248" w:type="dxa"/>
          </w:tcPr>
          <w:p w14:paraId="3139C76F" w14:textId="77777777" w:rsidR="00D37C03" w:rsidRPr="00D37C03" w:rsidRDefault="00D37C03" w:rsidP="002B5BFD">
            <w:pPr>
              <w:spacing w:before="71"/>
              <w:ind w:left="40" w:right="-18"/>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r>
              <w:rPr>
                <w:rFonts w:ascii="Arial" w:hAnsi="Arial"/>
                <w:color w:val="010302"/>
                <w:sz w:val="22"/>
              </w:rPr>
              <w:t>Amount</w:t>
            </w:r>
          </w:p>
        </w:tc>
        <w:tc>
          <w:tcPr>
            <w:tcW w:w="2114" w:type="dxa"/>
          </w:tcPr>
          <w:p w14:paraId="10A4CD9C" w14:textId="77777777" w:rsidR="00D37C03" w:rsidRPr="00D37C03" w:rsidRDefault="00D37C03" w:rsidP="002B5BFD">
            <w:pPr>
              <w:spacing w:before="71"/>
              <w:ind w:left="60" w:right="-18"/>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r>
              <w:rPr>
                <w:rFonts w:ascii="Arial" w:hAnsi="Arial"/>
                <w:color w:val="010302"/>
                <w:sz w:val="22"/>
              </w:rPr>
              <w:t>Percentage</w:t>
            </w:r>
          </w:p>
        </w:tc>
        <w:tc>
          <w:tcPr>
            <w:tcW w:w="4290" w:type="dxa"/>
            <w:vMerge/>
          </w:tcPr>
          <w:p w14:paraId="1D709CCF" w14:textId="77777777" w:rsidR="00D37C03" w:rsidRPr="00D37C03" w:rsidRDefault="00D37C03" w:rsidP="002B5BFD">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p>
        </w:tc>
      </w:tr>
      <w:tr w:rsidR="00D37C03" w:rsidRPr="00D37C03" w14:paraId="78FEF4CF" w14:textId="77777777" w:rsidTr="00A70200">
        <w:trPr>
          <w:trHeight w:hRule="exact" w:val="558"/>
        </w:trPr>
        <w:tc>
          <w:tcPr>
            <w:cnfStyle w:val="001000000000" w:firstRow="0" w:lastRow="0" w:firstColumn="1" w:lastColumn="0" w:oddVBand="0" w:evenVBand="0" w:oddHBand="0" w:evenHBand="0" w:firstRowFirstColumn="0" w:firstRowLastColumn="0" w:lastRowFirstColumn="0" w:lastRowLastColumn="0"/>
            <w:tcW w:w="2972" w:type="dxa"/>
          </w:tcPr>
          <w:p w14:paraId="203EE0DC" w14:textId="77777777" w:rsidR="00D37C03" w:rsidRPr="00D37C03" w:rsidRDefault="00D37C03" w:rsidP="002B5BFD">
            <w:pPr>
              <w:spacing w:before="53" w:after="30"/>
              <w:ind w:left="45" w:right="472"/>
              <w:contextualSpacing/>
              <w:rPr>
                <w:rFonts w:ascii="Arial" w:hAnsi="Arial" w:cs="Arial"/>
                <w:color w:val="010302"/>
                <w:sz w:val="22"/>
                <w:szCs w:val="22"/>
              </w:rPr>
            </w:pPr>
            <w:r>
              <w:rPr>
                <w:rFonts w:ascii="Arial" w:hAnsi="Arial"/>
                <w:color w:val="010302"/>
                <w:sz w:val="22"/>
              </w:rPr>
              <w:t>General tax credit</w:t>
            </w:r>
          </w:p>
        </w:tc>
        <w:tc>
          <w:tcPr>
            <w:tcW w:w="1248" w:type="dxa"/>
          </w:tcPr>
          <w:p w14:paraId="274527B9" w14:textId="77777777" w:rsidR="00D37C03" w:rsidRPr="00D37C03" w:rsidRDefault="00D37C03" w:rsidP="002B5BFD">
            <w:pPr>
              <w:spacing w:before="61" w:after="230"/>
              <w:ind w:left="4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p>
          <w:p w14:paraId="2311A8D8" w14:textId="2415F336" w:rsidR="00D37C03" w:rsidRPr="00D37C03" w:rsidRDefault="00D37C03" w:rsidP="002B5BFD">
            <w:pPr>
              <w:spacing w:before="61" w:after="230"/>
              <w:ind w:left="4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Pr>
                <w:rFonts w:ascii="Arial" w:hAnsi="Arial"/>
                <w:color w:val="010302"/>
                <w:sz w:val="22"/>
              </w:rPr>
              <w:t>€ 3,115</w:t>
            </w:r>
          </w:p>
        </w:tc>
        <w:tc>
          <w:tcPr>
            <w:tcW w:w="2114" w:type="dxa"/>
          </w:tcPr>
          <w:p w14:paraId="778728A1" w14:textId="77777777" w:rsidR="00D37C03" w:rsidRPr="00D37C03" w:rsidRDefault="00D37C03" w:rsidP="002B5BFD">
            <w:pPr>
              <w:spacing w:before="61" w:after="230"/>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p>
        </w:tc>
        <w:tc>
          <w:tcPr>
            <w:tcW w:w="4290" w:type="dxa"/>
          </w:tcPr>
          <w:p w14:paraId="172E913E" w14:textId="77777777" w:rsidR="00D37C03" w:rsidRPr="00D37C03" w:rsidRDefault="00D37C03" w:rsidP="002B5BFD">
            <w:pPr>
              <w:spacing w:before="61" w:after="230"/>
              <w:ind w:left="60" w:right="-18"/>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p>
          <w:p w14:paraId="7086A899" w14:textId="2B3B3ADE" w:rsidR="00D37C03" w:rsidRPr="00D37C03" w:rsidRDefault="00D37C03" w:rsidP="002B5BFD">
            <w:pPr>
              <w:tabs>
                <w:tab w:val="left" w:pos="2732"/>
              </w:tabs>
              <w:spacing w:before="61" w:after="230"/>
              <w:ind w:left="60" w:right="-18"/>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Pr>
                <w:rFonts w:ascii="Arial" w:hAnsi="Arial"/>
                <w:color w:val="010302"/>
                <w:sz w:val="22"/>
              </w:rPr>
              <w:t>for salary up to                           € 29,736</w:t>
            </w:r>
          </w:p>
        </w:tc>
      </w:tr>
      <w:tr w:rsidR="002B5BFD" w:rsidRPr="00D37C03" w14:paraId="2B6A569A" w14:textId="77777777" w:rsidTr="00A70200">
        <w:trPr>
          <w:cnfStyle w:val="000000100000" w:firstRow="0" w:lastRow="0" w:firstColumn="0" w:lastColumn="0" w:oddVBand="0" w:evenVBand="0" w:oddHBand="1" w:evenHBand="0" w:firstRowFirstColumn="0" w:firstRowLastColumn="0" w:lastRowFirstColumn="0" w:lastRowLastColumn="0"/>
          <w:trHeight w:hRule="exact" w:val="1234"/>
        </w:trPr>
        <w:tc>
          <w:tcPr>
            <w:cnfStyle w:val="001000000000" w:firstRow="0" w:lastRow="0" w:firstColumn="1" w:lastColumn="0" w:oddVBand="0" w:evenVBand="0" w:oddHBand="0" w:evenHBand="0" w:firstRowFirstColumn="0" w:firstRowLastColumn="0" w:lastRowFirstColumn="0" w:lastRowLastColumn="0"/>
            <w:tcW w:w="2972" w:type="dxa"/>
          </w:tcPr>
          <w:p w14:paraId="68029385" w14:textId="77777777" w:rsidR="00D37C03" w:rsidRPr="00D37C03" w:rsidRDefault="00D37C03" w:rsidP="002B5BFD">
            <w:pPr>
              <w:spacing w:before="469" w:after="30"/>
              <w:ind w:right="-18"/>
              <w:contextualSpacing/>
              <w:rPr>
                <w:rFonts w:ascii="Arial" w:hAnsi="Arial" w:cs="Arial"/>
                <w:b w:val="0"/>
                <w:bCs w:val="0"/>
                <w:color w:val="010302"/>
                <w:sz w:val="22"/>
                <w:szCs w:val="22"/>
              </w:rPr>
            </w:pPr>
            <w:r>
              <w:rPr>
                <w:rFonts w:ascii="Arial" w:hAnsi="Arial"/>
                <w:color w:val="010302"/>
                <w:sz w:val="22"/>
              </w:rPr>
              <w:t>Reduction in general tax credit for higher incomes</w:t>
            </w:r>
          </w:p>
          <w:p w14:paraId="45E24BEE" w14:textId="77777777" w:rsidR="00D37C03" w:rsidRPr="00D37C03" w:rsidRDefault="00D37C03" w:rsidP="002B5BFD">
            <w:pPr>
              <w:spacing w:before="469" w:after="30"/>
              <w:ind w:left="22" w:right="-18"/>
              <w:contextualSpacing/>
              <w:rPr>
                <w:rFonts w:ascii="Arial" w:hAnsi="Arial" w:cs="Arial"/>
                <w:b w:val="0"/>
                <w:bCs w:val="0"/>
                <w:color w:val="010302"/>
                <w:sz w:val="22"/>
                <w:szCs w:val="22"/>
              </w:rPr>
            </w:pPr>
          </w:p>
          <w:p w14:paraId="1587B18B" w14:textId="77777777" w:rsidR="00D37C03" w:rsidRPr="00D37C03" w:rsidRDefault="00D37C03" w:rsidP="002B5BFD">
            <w:pPr>
              <w:spacing w:before="469" w:after="30"/>
              <w:ind w:left="22" w:right="-18"/>
              <w:contextualSpacing/>
              <w:rPr>
                <w:rFonts w:ascii="Arial" w:hAnsi="Arial" w:cs="Arial"/>
                <w:b w:val="0"/>
                <w:bCs w:val="0"/>
                <w:color w:val="010302"/>
                <w:sz w:val="22"/>
                <w:szCs w:val="22"/>
              </w:rPr>
            </w:pPr>
            <w:r>
              <w:rPr>
                <w:rFonts w:ascii="Arial" w:hAnsi="Arial"/>
                <w:color w:val="010302"/>
                <w:sz w:val="22"/>
              </w:rPr>
              <w:t>Maximum reduction</w:t>
            </w:r>
          </w:p>
          <w:p w14:paraId="11B2F14C" w14:textId="77777777" w:rsidR="00D37C03" w:rsidRPr="00D37C03" w:rsidRDefault="00D37C03" w:rsidP="002B5BFD">
            <w:pPr>
              <w:spacing w:before="469" w:after="30"/>
              <w:ind w:left="45" w:right="-18"/>
              <w:contextualSpacing/>
              <w:rPr>
                <w:rFonts w:ascii="Arial" w:hAnsi="Arial" w:cs="Arial"/>
                <w:color w:val="010302"/>
                <w:sz w:val="22"/>
                <w:szCs w:val="22"/>
              </w:rPr>
            </w:pPr>
          </w:p>
        </w:tc>
        <w:tc>
          <w:tcPr>
            <w:tcW w:w="1248" w:type="dxa"/>
          </w:tcPr>
          <w:p w14:paraId="18DFB53F" w14:textId="77777777" w:rsidR="00D37C03" w:rsidRPr="00D37C03" w:rsidRDefault="00D37C03" w:rsidP="002B5BFD">
            <w:pPr>
              <w:spacing w:before="208" w:after="30"/>
              <w:ind w:left="60" w:right="-18"/>
              <w:contextualSpacing/>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p>
          <w:p w14:paraId="5938F40C" w14:textId="77777777" w:rsidR="00D37C03" w:rsidRPr="00D37C03" w:rsidRDefault="00D37C03" w:rsidP="002B5BFD">
            <w:pPr>
              <w:spacing w:before="208" w:after="30"/>
              <w:ind w:left="60" w:right="-18"/>
              <w:contextualSpacing/>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p>
          <w:p w14:paraId="78F7591B" w14:textId="77777777" w:rsidR="00D37C03" w:rsidRPr="00D37C03" w:rsidRDefault="00D37C03" w:rsidP="002B5BFD">
            <w:pPr>
              <w:spacing w:before="208" w:after="30"/>
              <w:ind w:left="60" w:right="-18"/>
              <w:contextualSpacing/>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p>
          <w:p w14:paraId="44225E77" w14:textId="194C17C0" w:rsidR="00D37C03" w:rsidRPr="00D37C03" w:rsidRDefault="00D37C03" w:rsidP="002B5BFD">
            <w:pPr>
              <w:spacing w:before="208" w:after="30"/>
              <w:ind w:left="60" w:right="-18"/>
              <w:contextualSpacing/>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r>
              <w:rPr>
                <w:rFonts w:ascii="Arial" w:hAnsi="Arial"/>
                <w:color w:val="010302"/>
                <w:sz w:val="22"/>
              </w:rPr>
              <w:t>€ 3,115</w:t>
            </w:r>
          </w:p>
        </w:tc>
        <w:tc>
          <w:tcPr>
            <w:tcW w:w="2114" w:type="dxa"/>
          </w:tcPr>
          <w:p w14:paraId="758EC63B" w14:textId="47BC00CC" w:rsidR="00D37C03" w:rsidRPr="00D37C03" w:rsidRDefault="00617270" w:rsidP="002B5BFD">
            <w:pPr>
              <w:spacing w:before="208" w:after="30"/>
              <w:ind w:left="60" w:right="-18"/>
              <w:contextualSpacing/>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r>
              <w:rPr>
                <w:rFonts w:ascii="Arial" w:hAnsi="Arial"/>
                <w:color w:val="010302"/>
                <w:sz w:val="22"/>
              </w:rPr>
              <w:t>6.398%</w:t>
            </w:r>
          </w:p>
          <w:p w14:paraId="0157BED2" w14:textId="556FC0D9" w:rsidR="00D37C03" w:rsidRPr="00D37C03" w:rsidRDefault="00D37C03" w:rsidP="002B5BFD">
            <w:pPr>
              <w:spacing w:before="208" w:after="30"/>
              <w:ind w:left="60" w:right="-18"/>
              <w:contextualSpacing/>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p>
        </w:tc>
        <w:tc>
          <w:tcPr>
            <w:tcW w:w="4290" w:type="dxa"/>
          </w:tcPr>
          <w:p w14:paraId="1E403BA8" w14:textId="7BA974AD" w:rsidR="00D37C03" w:rsidRPr="00D37C03" w:rsidRDefault="00D37C03" w:rsidP="002B5BFD">
            <w:pPr>
              <w:tabs>
                <w:tab w:val="left" w:pos="2732"/>
              </w:tabs>
              <w:spacing w:before="8" w:after="30"/>
              <w:ind w:left="60"/>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r>
              <w:rPr>
                <w:rFonts w:ascii="Arial" w:hAnsi="Arial"/>
                <w:color w:val="010302"/>
                <w:sz w:val="22"/>
              </w:rPr>
              <w:t xml:space="preserve">for salary above                      </w:t>
            </w:r>
            <w:r w:rsidR="00212994">
              <w:rPr>
                <w:rFonts w:ascii="Arial" w:hAnsi="Arial"/>
                <w:color w:val="010302"/>
                <w:sz w:val="22"/>
              </w:rPr>
              <w:t xml:space="preserve">   </w:t>
            </w:r>
            <w:r>
              <w:rPr>
                <w:rFonts w:ascii="Arial" w:hAnsi="Arial"/>
                <w:color w:val="010302"/>
                <w:sz w:val="22"/>
              </w:rPr>
              <w:t>€ 29,736</w:t>
            </w:r>
          </w:p>
          <w:p w14:paraId="213D6CCF" w14:textId="2E603BF9" w:rsidR="00D37C03" w:rsidRPr="00D37C03" w:rsidRDefault="00D37C03" w:rsidP="002B5BFD">
            <w:pPr>
              <w:spacing w:before="8" w:after="30"/>
              <w:ind w:left="60"/>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r>
              <w:rPr>
                <w:rFonts w:ascii="Arial" w:hAnsi="Arial"/>
                <w:color w:val="010302"/>
                <w:sz w:val="22"/>
              </w:rPr>
              <w:t xml:space="preserve">but not exceeding                 </w:t>
            </w:r>
            <w:r w:rsidR="00212994">
              <w:rPr>
                <w:rFonts w:ascii="Arial" w:hAnsi="Arial"/>
                <w:color w:val="010302"/>
                <w:sz w:val="22"/>
              </w:rPr>
              <w:t xml:space="preserve">     </w:t>
            </w:r>
            <w:r>
              <w:rPr>
                <w:rFonts w:ascii="Arial" w:hAnsi="Arial"/>
                <w:color w:val="010302"/>
                <w:sz w:val="22"/>
              </w:rPr>
              <w:t>€ 78,426</w:t>
            </w:r>
          </w:p>
          <w:p w14:paraId="4C83F8D5" w14:textId="77777777" w:rsidR="00D37C03" w:rsidRPr="00D37C03" w:rsidRDefault="00D37C03" w:rsidP="002B5BFD">
            <w:pPr>
              <w:tabs>
                <w:tab w:val="left" w:pos="2732"/>
              </w:tabs>
              <w:spacing w:before="8" w:after="30"/>
              <w:ind w:left="60"/>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p>
          <w:p w14:paraId="7DEDEB57" w14:textId="1000C305" w:rsidR="00D37C03" w:rsidRPr="00D37C03" w:rsidRDefault="00D37C03" w:rsidP="002B5BFD">
            <w:pPr>
              <w:tabs>
                <w:tab w:val="left" w:pos="2732"/>
              </w:tabs>
              <w:spacing w:before="8" w:after="30"/>
              <w:ind w:left="60"/>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r>
              <w:rPr>
                <w:rFonts w:ascii="Arial" w:hAnsi="Arial"/>
                <w:color w:val="010302"/>
                <w:sz w:val="22"/>
              </w:rPr>
              <w:t>applies from                               € 78,426</w:t>
            </w:r>
          </w:p>
        </w:tc>
      </w:tr>
      <w:tr w:rsidR="00D37C03" w:rsidRPr="00D37C03" w14:paraId="426906CC" w14:textId="77777777" w:rsidTr="00212994">
        <w:trPr>
          <w:trHeight w:hRule="exact" w:val="3609"/>
        </w:trPr>
        <w:tc>
          <w:tcPr>
            <w:cnfStyle w:val="001000000000" w:firstRow="0" w:lastRow="0" w:firstColumn="1" w:lastColumn="0" w:oddVBand="0" w:evenVBand="0" w:oddHBand="0" w:evenHBand="0" w:firstRowFirstColumn="0" w:firstRowLastColumn="0" w:lastRowFirstColumn="0" w:lastRowLastColumn="0"/>
            <w:tcW w:w="2972" w:type="dxa"/>
          </w:tcPr>
          <w:p w14:paraId="0C5C26F9" w14:textId="77777777" w:rsidR="00D37C03" w:rsidRPr="00D37C03" w:rsidRDefault="00D37C03" w:rsidP="002B5BFD">
            <w:pPr>
              <w:spacing w:after="30"/>
              <w:ind w:left="45"/>
              <w:contextualSpacing/>
              <w:rPr>
                <w:rFonts w:ascii="Arial" w:hAnsi="Arial" w:cs="Arial"/>
                <w:b w:val="0"/>
                <w:bCs w:val="0"/>
                <w:color w:val="010302"/>
                <w:sz w:val="22"/>
                <w:szCs w:val="22"/>
              </w:rPr>
            </w:pPr>
            <w:r>
              <w:rPr>
                <w:rFonts w:ascii="Arial" w:hAnsi="Arial"/>
                <w:color w:val="010302"/>
                <w:sz w:val="22"/>
              </w:rPr>
              <w:t>Employed person’s tax credit</w:t>
            </w:r>
          </w:p>
          <w:p w14:paraId="464FDE5F" w14:textId="77777777" w:rsidR="00D37C03" w:rsidRPr="00D37C03" w:rsidRDefault="00D37C03" w:rsidP="002B5BFD">
            <w:pPr>
              <w:spacing w:after="30"/>
              <w:ind w:left="45"/>
              <w:contextualSpacing/>
              <w:rPr>
                <w:rFonts w:ascii="Arial" w:hAnsi="Arial" w:cs="Arial"/>
                <w:b w:val="0"/>
                <w:bCs w:val="0"/>
                <w:color w:val="010302"/>
                <w:sz w:val="22"/>
                <w:szCs w:val="22"/>
              </w:rPr>
            </w:pPr>
          </w:p>
          <w:p w14:paraId="0112BA08" w14:textId="77777777" w:rsidR="00D37C03" w:rsidRPr="00D37C03" w:rsidRDefault="00D37C03" w:rsidP="002B5BFD">
            <w:pPr>
              <w:spacing w:after="30"/>
              <w:ind w:left="45"/>
              <w:contextualSpacing/>
              <w:rPr>
                <w:rFonts w:ascii="Arial" w:hAnsi="Arial" w:cs="Arial"/>
                <w:b w:val="0"/>
                <w:bCs w:val="0"/>
                <w:color w:val="010302"/>
                <w:sz w:val="22"/>
                <w:szCs w:val="22"/>
              </w:rPr>
            </w:pPr>
            <w:r>
              <w:rPr>
                <w:rFonts w:ascii="Arial" w:hAnsi="Arial"/>
                <w:color w:val="010302"/>
                <w:sz w:val="22"/>
              </w:rPr>
              <w:t>1</w:t>
            </w:r>
            <w:r>
              <w:rPr>
                <w:rFonts w:ascii="Arial" w:hAnsi="Arial"/>
                <w:color w:val="010302"/>
                <w:sz w:val="22"/>
                <w:vertAlign w:val="superscript"/>
              </w:rPr>
              <w:t>st</w:t>
            </w:r>
            <w:r>
              <w:rPr>
                <w:rFonts w:ascii="Arial" w:hAnsi="Arial"/>
                <w:color w:val="010302"/>
                <w:sz w:val="22"/>
              </w:rPr>
              <w:t xml:space="preserve"> band percentage</w:t>
            </w:r>
          </w:p>
          <w:p w14:paraId="46777E60" w14:textId="77777777" w:rsidR="00D37C03" w:rsidRPr="00D37C03" w:rsidRDefault="00D37C03" w:rsidP="002B5BFD">
            <w:pPr>
              <w:spacing w:after="30"/>
              <w:ind w:left="45"/>
              <w:contextualSpacing/>
              <w:rPr>
                <w:rFonts w:ascii="Arial" w:hAnsi="Arial" w:cs="Arial"/>
                <w:b w:val="0"/>
                <w:bCs w:val="0"/>
                <w:color w:val="010302"/>
                <w:sz w:val="22"/>
                <w:szCs w:val="22"/>
              </w:rPr>
            </w:pPr>
            <w:r>
              <w:rPr>
                <w:rFonts w:ascii="Arial" w:hAnsi="Arial"/>
                <w:color w:val="010302"/>
                <w:sz w:val="22"/>
              </w:rPr>
              <w:t>maximum in 1</w:t>
            </w:r>
            <w:r>
              <w:rPr>
                <w:rFonts w:ascii="Arial" w:hAnsi="Arial"/>
                <w:color w:val="010302"/>
                <w:sz w:val="22"/>
                <w:vertAlign w:val="superscript"/>
              </w:rPr>
              <w:t>st</w:t>
            </w:r>
            <w:r>
              <w:rPr>
                <w:rFonts w:ascii="Arial" w:hAnsi="Arial"/>
                <w:color w:val="010302"/>
                <w:sz w:val="22"/>
              </w:rPr>
              <w:t xml:space="preserve"> band</w:t>
            </w:r>
          </w:p>
          <w:p w14:paraId="71380EED" w14:textId="77777777" w:rsidR="00D37C03" w:rsidRPr="00D37C03" w:rsidRDefault="00D37C03" w:rsidP="002B5BFD">
            <w:pPr>
              <w:spacing w:after="30"/>
              <w:ind w:left="45"/>
              <w:contextualSpacing/>
              <w:rPr>
                <w:rFonts w:ascii="Arial" w:hAnsi="Arial" w:cs="Arial"/>
                <w:color w:val="010302"/>
                <w:sz w:val="22"/>
                <w:szCs w:val="22"/>
              </w:rPr>
            </w:pPr>
          </w:p>
          <w:p w14:paraId="66E60219" w14:textId="77777777" w:rsidR="00D37C03" w:rsidRPr="00D37C03" w:rsidRDefault="00D37C03" w:rsidP="002B5BFD">
            <w:pPr>
              <w:spacing w:after="30"/>
              <w:ind w:left="45"/>
              <w:contextualSpacing/>
              <w:rPr>
                <w:rFonts w:ascii="Arial" w:hAnsi="Arial" w:cs="Arial"/>
                <w:b w:val="0"/>
                <w:bCs w:val="0"/>
                <w:color w:val="010302"/>
                <w:sz w:val="22"/>
                <w:szCs w:val="22"/>
              </w:rPr>
            </w:pPr>
            <w:r>
              <w:rPr>
                <w:rFonts w:ascii="Arial" w:hAnsi="Arial"/>
                <w:color w:val="010302"/>
                <w:sz w:val="22"/>
              </w:rPr>
              <w:t>2</w:t>
            </w:r>
            <w:r>
              <w:rPr>
                <w:rFonts w:ascii="Arial" w:hAnsi="Arial"/>
                <w:color w:val="010302"/>
                <w:sz w:val="22"/>
                <w:vertAlign w:val="superscript"/>
              </w:rPr>
              <w:t>nd</w:t>
            </w:r>
            <w:r>
              <w:rPr>
                <w:rFonts w:ascii="Arial" w:hAnsi="Arial"/>
                <w:color w:val="010302"/>
                <w:sz w:val="22"/>
              </w:rPr>
              <w:t xml:space="preserve"> band percentage</w:t>
            </w:r>
          </w:p>
          <w:p w14:paraId="20EB5B3E" w14:textId="77777777" w:rsidR="00D37C03" w:rsidRPr="00D37C03" w:rsidRDefault="00D37C03" w:rsidP="002B5BFD">
            <w:pPr>
              <w:spacing w:after="30"/>
              <w:ind w:left="45"/>
              <w:contextualSpacing/>
              <w:rPr>
                <w:rFonts w:ascii="Arial" w:hAnsi="Arial" w:cs="Arial"/>
                <w:b w:val="0"/>
                <w:bCs w:val="0"/>
                <w:color w:val="010302"/>
                <w:sz w:val="22"/>
                <w:szCs w:val="22"/>
              </w:rPr>
            </w:pPr>
            <w:r>
              <w:rPr>
                <w:rFonts w:ascii="Arial" w:hAnsi="Arial"/>
                <w:color w:val="010302"/>
                <w:sz w:val="22"/>
              </w:rPr>
              <w:t>maximum in 2</w:t>
            </w:r>
            <w:r>
              <w:rPr>
                <w:rFonts w:ascii="Arial" w:hAnsi="Arial"/>
                <w:color w:val="010302"/>
                <w:sz w:val="22"/>
                <w:vertAlign w:val="superscript"/>
              </w:rPr>
              <w:t>nd</w:t>
            </w:r>
            <w:r>
              <w:rPr>
                <w:rFonts w:ascii="Arial" w:hAnsi="Arial"/>
                <w:color w:val="010302"/>
                <w:sz w:val="22"/>
              </w:rPr>
              <w:t xml:space="preserve"> band</w:t>
            </w:r>
          </w:p>
          <w:p w14:paraId="00180B0E" w14:textId="77777777" w:rsidR="00D37C03" w:rsidRDefault="00D37C03" w:rsidP="002B5BFD">
            <w:pPr>
              <w:spacing w:after="30"/>
              <w:ind w:left="45"/>
              <w:contextualSpacing/>
              <w:rPr>
                <w:rFonts w:ascii="Arial" w:hAnsi="Arial" w:cs="Arial"/>
                <w:b w:val="0"/>
                <w:bCs w:val="0"/>
                <w:color w:val="010302"/>
                <w:sz w:val="22"/>
                <w:szCs w:val="22"/>
              </w:rPr>
            </w:pPr>
          </w:p>
          <w:p w14:paraId="476FA1B2" w14:textId="77777777" w:rsidR="00704818" w:rsidRPr="00D37C03" w:rsidRDefault="00704818" w:rsidP="002B5BFD">
            <w:pPr>
              <w:spacing w:after="30"/>
              <w:ind w:left="45"/>
              <w:contextualSpacing/>
              <w:rPr>
                <w:rFonts w:ascii="Arial" w:hAnsi="Arial" w:cs="Arial"/>
                <w:color w:val="010302"/>
                <w:sz w:val="22"/>
                <w:szCs w:val="22"/>
              </w:rPr>
            </w:pPr>
          </w:p>
          <w:p w14:paraId="2A2900B8" w14:textId="77777777" w:rsidR="00D37C03" w:rsidRPr="00D37C03" w:rsidRDefault="00D37C03" w:rsidP="002B5BFD">
            <w:pPr>
              <w:spacing w:after="30"/>
              <w:ind w:left="45"/>
              <w:contextualSpacing/>
              <w:rPr>
                <w:rFonts w:ascii="Arial" w:hAnsi="Arial" w:cs="Arial"/>
                <w:b w:val="0"/>
                <w:bCs w:val="0"/>
                <w:color w:val="010302"/>
                <w:sz w:val="22"/>
                <w:szCs w:val="22"/>
              </w:rPr>
            </w:pPr>
            <w:r>
              <w:rPr>
                <w:rFonts w:ascii="Arial" w:hAnsi="Arial"/>
                <w:color w:val="010302"/>
                <w:sz w:val="22"/>
              </w:rPr>
              <w:t>3</w:t>
            </w:r>
            <w:r>
              <w:rPr>
                <w:rFonts w:ascii="Arial" w:hAnsi="Arial"/>
                <w:color w:val="010302"/>
                <w:sz w:val="22"/>
                <w:vertAlign w:val="superscript"/>
              </w:rPr>
              <w:t>rd</w:t>
            </w:r>
            <w:r>
              <w:rPr>
                <w:rFonts w:ascii="Arial" w:hAnsi="Arial"/>
                <w:color w:val="010302"/>
                <w:sz w:val="22"/>
              </w:rPr>
              <w:t xml:space="preserve"> band percentage</w:t>
            </w:r>
          </w:p>
          <w:p w14:paraId="4DC13C27" w14:textId="59775E09" w:rsidR="00E737EC" w:rsidRDefault="00D37C03" w:rsidP="002B5BFD">
            <w:pPr>
              <w:spacing w:after="30"/>
              <w:ind w:left="45"/>
              <w:contextualSpacing/>
              <w:rPr>
                <w:rFonts w:ascii="Arial" w:hAnsi="Arial" w:cs="Arial"/>
                <w:b w:val="0"/>
                <w:bCs w:val="0"/>
                <w:color w:val="010302"/>
                <w:sz w:val="22"/>
                <w:szCs w:val="22"/>
              </w:rPr>
            </w:pPr>
            <w:r>
              <w:rPr>
                <w:rFonts w:ascii="Arial" w:hAnsi="Arial"/>
                <w:color w:val="010302"/>
                <w:sz w:val="22"/>
              </w:rPr>
              <w:t>maximum in 3</w:t>
            </w:r>
            <w:r>
              <w:rPr>
                <w:rFonts w:ascii="Arial" w:hAnsi="Arial"/>
                <w:color w:val="010302"/>
                <w:sz w:val="22"/>
                <w:vertAlign w:val="superscript"/>
              </w:rPr>
              <w:t>rd</w:t>
            </w:r>
            <w:r>
              <w:rPr>
                <w:rFonts w:ascii="Arial" w:hAnsi="Arial"/>
                <w:color w:val="010302"/>
                <w:sz w:val="22"/>
              </w:rPr>
              <w:t xml:space="preserve"> band                                 </w:t>
            </w:r>
          </w:p>
          <w:p w14:paraId="51E1E523" w14:textId="3F77C8D0" w:rsidR="00D37C03" w:rsidRPr="00D37C03" w:rsidRDefault="00E737EC" w:rsidP="00E737EC">
            <w:pPr>
              <w:spacing w:after="30"/>
              <w:ind w:left="45"/>
              <w:contextualSpacing/>
              <w:rPr>
                <w:rFonts w:ascii="Arial" w:hAnsi="Arial" w:cs="Arial"/>
                <w:color w:val="010302"/>
                <w:sz w:val="22"/>
                <w:szCs w:val="22"/>
              </w:rPr>
            </w:pPr>
            <w:r>
              <w:rPr>
                <w:rFonts w:ascii="Arial" w:hAnsi="Arial"/>
                <w:color w:val="010302"/>
                <w:sz w:val="22"/>
              </w:rPr>
              <w:t>Total maximum employed person’s tax credit</w:t>
            </w:r>
          </w:p>
        </w:tc>
        <w:tc>
          <w:tcPr>
            <w:tcW w:w="1248" w:type="dxa"/>
          </w:tcPr>
          <w:p w14:paraId="0AD82817" w14:textId="77777777" w:rsidR="00D37C03" w:rsidRDefault="00D37C03" w:rsidP="002B5BFD">
            <w:pPr>
              <w:spacing w:before="2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p>
          <w:p w14:paraId="2BB7D466" w14:textId="77777777" w:rsidR="00E737EC" w:rsidRPr="00D37C03" w:rsidRDefault="00E737EC" w:rsidP="002B5BFD">
            <w:pPr>
              <w:spacing w:before="2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p>
          <w:p w14:paraId="66C22044" w14:textId="77777777" w:rsidR="00212994" w:rsidRDefault="00212994" w:rsidP="002B5BFD">
            <w:pPr>
              <w:spacing w:before="2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olor w:val="010302"/>
                <w:sz w:val="22"/>
              </w:rPr>
            </w:pPr>
          </w:p>
          <w:p w14:paraId="47A7CBF7" w14:textId="3CE98C8F" w:rsidR="00D37C03" w:rsidRPr="00D37C03" w:rsidRDefault="00D37C03" w:rsidP="002B5BFD">
            <w:pPr>
              <w:spacing w:before="2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Pr>
                <w:rFonts w:ascii="Arial" w:hAnsi="Arial"/>
                <w:color w:val="010302"/>
                <w:sz w:val="22"/>
              </w:rPr>
              <w:t>-</w:t>
            </w:r>
          </w:p>
          <w:p w14:paraId="0B488D96" w14:textId="2CE62C41" w:rsidR="00D37C03" w:rsidRPr="00D37C03" w:rsidRDefault="00D37C03" w:rsidP="002B5BFD">
            <w:pPr>
              <w:spacing w:before="2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Pr>
                <w:rFonts w:ascii="Arial" w:hAnsi="Arial"/>
                <w:color w:val="010302"/>
                <w:sz w:val="22"/>
              </w:rPr>
              <w:t>€ 996</w:t>
            </w:r>
          </w:p>
          <w:p w14:paraId="515A8B60" w14:textId="77777777" w:rsidR="00D37C03" w:rsidRPr="00D37C03" w:rsidRDefault="00D37C03" w:rsidP="002B5BFD">
            <w:pPr>
              <w:spacing w:before="2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p>
          <w:p w14:paraId="19A1B1FA" w14:textId="77777777" w:rsidR="00D37C03" w:rsidRPr="00D37C03" w:rsidRDefault="00D37C03" w:rsidP="002B5BFD">
            <w:pPr>
              <w:spacing w:before="2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Pr>
                <w:rFonts w:ascii="Arial" w:hAnsi="Arial"/>
                <w:color w:val="010302"/>
                <w:sz w:val="22"/>
              </w:rPr>
              <w:t>-</w:t>
            </w:r>
          </w:p>
          <w:p w14:paraId="6B357DF6" w14:textId="4DBDB864" w:rsidR="00D37C03" w:rsidRPr="00D37C03" w:rsidRDefault="00D37C03" w:rsidP="002B5BFD">
            <w:pPr>
              <w:spacing w:before="2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Pr>
                <w:rFonts w:ascii="Arial" w:hAnsi="Arial"/>
                <w:color w:val="010302"/>
                <w:sz w:val="22"/>
              </w:rPr>
              <w:t>€ 4,304</w:t>
            </w:r>
          </w:p>
          <w:p w14:paraId="501123E4" w14:textId="77777777" w:rsidR="00D37C03" w:rsidRPr="00D37C03" w:rsidRDefault="00D37C03" w:rsidP="002B5BFD">
            <w:pPr>
              <w:spacing w:before="2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p>
          <w:p w14:paraId="3C9AB214" w14:textId="77777777" w:rsidR="00D37C03" w:rsidRPr="00D37C03" w:rsidRDefault="00D37C03" w:rsidP="002B5BFD">
            <w:pPr>
              <w:spacing w:before="2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Pr>
                <w:rFonts w:ascii="Arial" w:hAnsi="Arial"/>
                <w:color w:val="010302"/>
                <w:sz w:val="22"/>
              </w:rPr>
              <w:t>-</w:t>
            </w:r>
          </w:p>
          <w:p w14:paraId="27DA7D55" w14:textId="77777777" w:rsidR="00704818" w:rsidRDefault="00704818" w:rsidP="002B5BFD">
            <w:pPr>
              <w:spacing w:before="2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p>
          <w:p w14:paraId="15AE7159" w14:textId="067BF1DB" w:rsidR="00D37C03" w:rsidRPr="00D37C03" w:rsidRDefault="00D37C03" w:rsidP="002B5BFD">
            <w:pPr>
              <w:spacing w:before="2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Pr>
                <w:rFonts w:ascii="Arial" w:hAnsi="Arial"/>
                <w:color w:val="010302"/>
                <w:sz w:val="22"/>
              </w:rPr>
              <w:t>€ 385</w:t>
            </w:r>
          </w:p>
          <w:p w14:paraId="03AE69F0" w14:textId="77777777" w:rsidR="00704818" w:rsidRDefault="00704818" w:rsidP="002B5BFD">
            <w:pPr>
              <w:spacing w:before="2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p>
          <w:p w14:paraId="5E9DA312" w14:textId="6E0EA27A" w:rsidR="00D37C03" w:rsidRPr="00D37C03" w:rsidRDefault="00D37C03" w:rsidP="002B5BFD">
            <w:pPr>
              <w:spacing w:before="2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Pr>
                <w:rFonts w:ascii="Arial" w:hAnsi="Arial"/>
                <w:color w:val="010302"/>
                <w:sz w:val="22"/>
              </w:rPr>
              <w:t>€ 5,685</w:t>
            </w:r>
          </w:p>
        </w:tc>
        <w:tc>
          <w:tcPr>
            <w:tcW w:w="2114" w:type="dxa"/>
          </w:tcPr>
          <w:p w14:paraId="08E4180C" w14:textId="77777777" w:rsidR="00D37C03" w:rsidRPr="00D37C03" w:rsidRDefault="00D37C03" w:rsidP="002B5BFD">
            <w:pPr>
              <w:spacing w:before="2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p>
          <w:p w14:paraId="317B4B2B" w14:textId="77777777" w:rsidR="00D37C03" w:rsidRPr="00D37C03" w:rsidRDefault="00D37C03" w:rsidP="002B5BFD">
            <w:pPr>
              <w:spacing w:before="2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p>
          <w:p w14:paraId="3F77579D" w14:textId="77777777" w:rsidR="00212994" w:rsidRDefault="00212994" w:rsidP="002B5BFD">
            <w:pPr>
              <w:spacing w:before="2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olor w:val="010302"/>
                <w:sz w:val="22"/>
              </w:rPr>
            </w:pPr>
          </w:p>
          <w:p w14:paraId="61FF7D0C" w14:textId="405CB422" w:rsidR="00D37C03" w:rsidRPr="00D37C03" w:rsidRDefault="00D37C03" w:rsidP="002B5BFD">
            <w:pPr>
              <w:spacing w:before="2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Pr>
                <w:rFonts w:ascii="Arial" w:hAnsi="Arial"/>
                <w:color w:val="010302"/>
                <w:sz w:val="22"/>
              </w:rPr>
              <w:t>8.324%</w:t>
            </w:r>
          </w:p>
          <w:p w14:paraId="216D19B1" w14:textId="77777777" w:rsidR="00D37C03" w:rsidRPr="00D37C03" w:rsidRDefault="00D37C03" w:rsidP="002B5BFD">
            <w:pPr>
              <w:spacing w:before="2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Pr>
                <w:rFonts w:ascii="Arial" w:hAnsi="Arial"/>
                <w:color w:val="010302"/>
                <w:sz w:val="22"/>
              </w:rPr>
              <w:t>-</w:t>
            </w:r>
          </w:p>
          <w:p w14:paraId="3D3D0B9C" w14:textId="77777777" w:rsidR="00D37C03" w:rsidRPr="00D37C03" w:rsidRDefault="00D37C03" w:rsidP="002B5BFD">
            <w:pPr>
              <w:spacing w:before="2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p>
          <w:p w14:paraId="69F33C0E" w14:textId="589C35F8" w:rsidR="00D37C03" w:rsidRPr="00D37C03" w:rsidRDefault="00E737EC" w:rsidP="002B5BFD">
            <w:pPr>
              <w:spacing w:before="2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Pr>
                <w:rFonts w:ascii="Arial" w:hAnsi="Arial"/>
                <w:color w:val="010302"/>
                <w:sz w:val="22"/>
              </w:rPr>
              <w:t>31.009%</w:t>
            </w:r>
          </w:p>
          <w:p w14:paraId="3353E3DE" w14:textId="77777777" w:rsidR="00D37C03" w:rsidRPr="00D37C03" w:rsidRDefault="00D37C03" w:rsidP="002B5BFD">
            <w:pPr>
              <w:spacing w:before="2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Pr>
                <w:rFonts w:ascii="Arial" w:hAnsi="Arial"/>
                <w:color w:val="010302"/>
                <w:sz w:val="22"/>
              </w:rPr>
              <w:t>-</w:t>
            </w:r>
          </w:p>
          <w:p w14:paraId="34597C03" w14:textId="77777777" w:rsidR="00D37C03" w:rsidRPr="00D37C03" w:rsidRDefault="00D37C03" w:rsidP="002B5BFD">
            <w:pPr>
              <w:spacing w:before="2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p>
          <w:p w14:paraId="4DA0848F" w14:textId="77777777" w:rsidR="00704818" w:rsidRDefault="00704818" w:rsidP="002B5BFD">
            <w:pPr>
              <w:spacing w:before="2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p>
          <w:p w14:paraId="17469232" w14:textId="7E9C6CD1" w:rsidR="00D37C03" w:rsidRPr="00D37C03" w:rsidRDefault="00AA522A" w:rsidP="002B5BFD">
            <w:pPr>
              <w:spacing w:before="2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Pr>
                <w:rFonts w:ascii="Arial" w:hAnsi="Arial"/>
                <w:color w:val="010302"/>
                <w:sz w:val="22"/>
              </w:rPr>
              <w:t>1.950%</w:t>
            </w:r>
          </w:p>
          <w:p w14:paraId="09634A1B" w14:textId="77777777" w:rsidR="00D37C03" w:rsidRPr="00D37C03" w:rsidRDefault="00D37C03" w:rsidP="002B5BFD">
            <w:pPr>
              <w:spacing w:before="2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Pr>
                <w:rFonts w:ascii="Arial" w:hAnsi="Arial"/>
                <w:color w:val="010302"/>
                <w:sz w:val="22"/>
              </w:rPr>
              <w:t>-</w:t>
            </w:r>
          </w:p>
          <w:p w14:paraId="0948A34C" w14:textId="687E0CEF" w:rsidR="00D37C03" w:rsidRDefault="00D37C03" w:rsidP="002B5BFD">
            <w:pPr>
              <w:spacing w:before="2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p>
          <w:p w14:paraId="6069FCEF" w14:textId="20EEB753" w:rsidR="00704818" w:rsidRPr="00D37C03" w:rsidRDefault="00704818" w:rsidP="002B5BFD">
            <w:pPr>
              <w:spacing w:before="2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Pr>
                <w:rFonts w:ascii="Arial" w:hAnsi="Arial"/>
                <w:color w:val="010302"/>
                <w:sz w:val="22"/>
              </w:rPr>
              <w:t>-</w:t>
            </w:r>
          </w:p>
        </w:tc>
        <w:tc>
          <w:tcPr>
            <w:tcW w:w="4290" w:type="dxa"/>
          </w:tcPr>
          <w:p w14:paraId="30970CC7" w14:textId="77777777" w:rsidR="00D37C03" w:rsidRDefault="00D37C03" w:rsidP="002B5BFD">
            <w:pPr>
              <w:ind w:left="60"/>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p>
          <w:p w14:paraId="15B82A3F" w14:textId="77777777" w:rsidR="00704818" w:rsidRPr="00D37C03" w:rsidRDefault="00704818" w:rsidP="002B5BFD">
            <w:pPr>
              <w:ind w:left="60"/>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p>
          <w:p w14:paraId="37F24245" w14:textId="77777777" w:rsidR="00212994" w:rsidRDefault="00212994" w:rsidP="002B5BFD">
            <w:pPr>
              <w:ind w:left="60"/>
              <w:contextualSpacing/>
              <w:cnfStyle w:val="000000000000" w:firstRow="0" w:lastRow="0" w:firstColumn="0" w:lastColumn="0" w:oddVBand="0" w:evenVBand="0" w:oddHBand="0" w:evenHBand="0" w:firstRowFirstColumn="0" w:firstRowLastColumn="0" w:lastRowFirstColumn="0" w:lastRowLastColumn="0"/>
              <w:rPr>
                <w:rFonts w:ascii="Arial" w:hAnsi="Arial"/>
                <w:color w:val="010302"/>
                <w:sz w:val="22"/>
              </w:rPr>
            </w:pPr>
          </w:p>
          <w:p w14:paraId="2DD1F913" w14:textId="60690504" w:rsidR="00D37C03" w:rsidRPr="00D37C03" w:rsidRDefault="00D37C03" w:rsidP="002B5BFD">
            <w:pPr>
              <w:ind w:left="60"/>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Pr>
                <w:rFonts w:ascii="Arial" w:hAnsi="Arial"/>
                <w:color w:val="010302"/>
                <w:sz w:val="22"/>
              </w:rPr>
              <w:t xml:space="preserve">for salary from current </w:t>
            </w:r>
          </w:p>
          <w:p w14:paraId="6B4D0C04" w14:textId="71BBAFA2" w:rsidR="00D37C03" w:rsidRPr="00D37C03" w:rsidRDefault="00D37C03" w:rsidP="002B5BFD">
            <w:pPr>
              <w:tabs>
                <w:tab w:val="left" w:pos="2732"/>
              </w:tabs>
              <w:ind w:left="60"/>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Pr>
                <w:rFonts w:ascii="Arial" w:hAnsi="Arial"/>
                <w:color w:val="010302"/>
                <w:sz w:val="22"/>
              </w:rPr>
              <w:t xml:space="preserve">employment up to              </w:t>
            </w:r>
            <w:r w:rsidR="00212994">
              <w:rPr>
                <w:rFonts w:ascii="Arial" w:hAnsi="Arial"/>
                <w:color w:val="010302"/>
                <w:sz w:val="22"/>
              </w:rPr>
              <w:t xml:space="preserve">    </w:t>
            </w:r>
            <w:r>
              <w:rPr>
                <w:rFonts w:ascii="Arial" w:hAnsi="Arial"/>
                <w:color w:val="010302"/>
                <w:sz w:val="22"/>
              </w:rPr>
              <w:t xml:space="preserve">  € 11,965</w:t>
            </w:r>
          </w:p>
          <w:p w14:paraId="05D2E58D" w14:textId="77777777" w:rsidR="00D37C03" w:rsidRPr="00D37C03" w:rsidRDefault="00D37C03" w:rsidP="002B5BFD">
            <w:pPr>
              <w:ind w:left="60"/>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p>
          <w:p w14:paraId="1B09874A" w14:textId="4515AD75" w:rsidR="00D37C03" w:rsidRPr="00D37C03" w:rsidRDefault="00D37C03" w:rsidP="002B5BFD">
            <w:pPr>
              <w:tabs>
                <w:tab w:val="left" w:pos="2590"/>
              </w:tabs>
              <w:ind w:left="60"/>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Pr>
                <w:rFonts w:ascii="Arial" w:hAnsi="Arial"/>
                <w:color w:val="010302"/>
                <w:sz w:val="22"/>
              </w:rPr>
              <w:t xml:space="preserve">for salary from current employment above          </w:t>
            </w:r>
            <w:r w:rsidR="00212994">
              <w:rPr>
                <w:rFonts w:ascii="Arial" w:hAnsi="Arial"/>
                <w:color w:val="010302"/>
                <w:sz w:val="22"/>
              </w:rPr>
              <w:t xml:space="preserve">                           </w:t>
            </w:r>
            <w:r>
              <w:rPr>
                <w:rFonts w:ascii="Arial" w:hAnsi="Arial"/>
                <w:color w:val="010302"/>
                <w:sz w:val="22"/>
              </w:rPr>
              <w:t xml:space="preserve">  € 11,965</w:t>
            </w:r>
          </w:p>
          <w:p w14:paraId="5797EC49" w14:textId="2807B398" w:rsidR="00D37C03" w:rsidRPr="00D37C03" w:rsidRDefault="00D37C03" w:rsidP="002B5BFD">
            <w:pPr>
              <w:tabs>
                <w:tab w:val="left" w:pos="2732"/>
              </w:tabs>
              <w:ind w:left="60"/>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Pr>
                <w:rFonts w:ascii="Arial" w:hAnsi="Arial"/>
                <w:color w:val="010302"/>
                <w:sz w:val="22"/>
              </w:rPr>
              <w:t>up to                                         € 25,845</w:t>
            </w:r>
          </w:p>
          <w:p w14:paraId="005E90A8" w14:textId="77777777" w:rsidR="00D37C03" w:rsidRPr="00D37C03" w:rsidRDefault="00D37C03" w:rsidP="002B5BFD">
            <w:pPr>
              <w:tabs>
                <w:tab w:val="left" w:pos="2686"/>
              </w:tabs>
              <w:ind w:left="60"/>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p>
          <w:p w14:paraId="46E02485" w14:textId="0ECF2018" w:rsidR="00D37C03" w:rsidRPr="00D37C03" w:rsidRDefault="00D37C03" w:rsidP="0080169D">
            <w:pPr>
              <w:tabs>
                <w:tab w:val="left" w:pos="2686"/>
              </w:tabs>
              <w:ind w:left="60" w:right="-116"/>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Pr>
                <w:rFonts w:ascii="Arial" w:hAnsi="Arial"/>
                <w:color w:val="010302"/>
                <w:sz w:val="22"/>
              </w:rPr>
              <w:t xml:space="preserve">for salary from current employment above          </w:t>
            </w:r>
            <w:r w:rsidR="00212994">
              <w:rPr>
                <w:rFonts w:ascii="Arial" w:hAnsi="Arial"/>
                <w:color w:val="010302"/>
                <w:sz w:val="22"/>
              </w:rPr>
              <w:t xml:space="preserve">                           </w:t>
            </w:r>
            <w:r>
              <w:rPr>
                <w:rFonts w:ascii="Arial" w:hAnsi="Arial"/>
                <w:color w:val="010302"/>
                <w:sz w:val="22"/>
              </w:rPr>
              <w:t xml:space="preserve">  € 25,845</w:t>
            </w:r>
          </w:p>
          <w:p w14:paraId="4EA67CD3" w14:textId="77777777" w:rsidR="00D37C03" w:rsidRPr="00D37C03" w:rsidRDefault="00D37C03" w:rsidP="002B5BFD">
            <w:pPr>
              <w:tabs>
                <w:tab w:val="left" w:pos="2732"/>
              </w:tabs>
              <w:ind w:left="60"/>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p>
          <w:p w14:paraId="640F84DD" w14:textId="0AFBF82A" w:rsidR="00D37C03" w:rsidRPr="00D37C03" w:rsidRDefault="00D37C03" w:rsidP="002B5BFD">
            <w:pPr>
              <w:tabs>
                <w:tab w:val="left" w:pos="2732"/>
              </w:tabs>
              <w:ind w:left="60"/>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Pr>
                <w:rFonts w:ascii="Arial" w:hAnsi="Arial"/>
                <w:color w:val="010302"/>
                <w:sz w:val="22"/>
              </w:rPr>
              <w:t>applies from                              € 45,592</w:t>
            </w:r>
          </w:p>
        </w:tc>
      </w:tr>
      <w:tr w:rsidR="002B5BFD" w:rsidRPr="00D37C03" w14:paraId="5F236550" w14:textId="77777777" w:rsidTr="00550856">
        <w:trPr>
          <w:cnfStyle w:val="000000100000" w:firstRow="0" w:lastRow="0" w:firstColumn="0" w:lastColumn="0" w:oddVBand="0" w:evenVBand="0" w:oddHBand="1" w:evenHBand="0" w:firstRowFirstColumn="0" w:firstRowLastColumn="0" w:lastRowFirstColumn="0" w:lastRowLastColumn="0"/>
          <w:trHeight w:hRule="exact" w:val="1561"/>
        </w:trPr>
        <w:tc>
          <w:tcPr>
            <w:cnfStyle w:val="001000000000" w:firstRow="0" w:lastRow="0" w:firstColumn="1" w:lastColumn="0" w:oddVBand="0" w:evenVBand="0" w:oddHBand="0" w:evenHBand="0" w:firstRowFirstColumn="0" w:firstRowLastColumn="0" w:lastRowFirstColumn="0" w:lastRowLastColumn="0"/>
            <w:tcW w:w="2972" w:type="dxa"/>
          </w:tcPr>
          <w:p w14:paraId="5236AB42" w14:textId="77777777" w:rsidR="00D37C03" w:rsidRPr="00D37C03" w:rsidRDefault="00D37C03" w:rsidP="002B5BFD">
            <w:pPr>
              <w:spacing w:before="469" w:after="30"/>
              <w:ind w:left="45" w:right="-18"/>
              <w:contextualSpacing/>
              <w:rPr>
                <w:rFonts w:ascii="Arial" w:hAnsi="Arial" w:cs="Arial"/>
                <w:b w:val="0"/>
                <w:bCs w:val="0"/>
                <w:color w:val="010302"/>
                <w:sz w:val="22"/>
                <w:szCs w:val="22"/>
              </w:rPr>
            </w:pPr>
            <w:r>
              <w:rPr>
                <w:rFonts w:ascii="Arial" w:hAnsi="Arial"/>
                <w:color w:val="010302"/>
                <w:sz w:val="22"/>
              </w:rPr>
              <w:t>Reduction in employed person’s tax credit for higher incomes</w:t>
            </w:r>
          </w:p>
          <w:p w14:paraId="1654D314" w14:textId="77777777" w:rsidR="00D37C03" w:rsidRPr="00D37C03" w:rsidRDefault="00D37C03" w:rsidP="00704818">
            <w:pPr>
              <w:spacing w:before="469" w:after="30"/>
              <w:ind w:right="-18"/>
              <w:contextualSpacing/>
              <w:rPr>
                <w:rFonts w:ascii="Arial" w:hAnsi="Arial" w:cs="Arial"/>
                <w:b w:val="0"/>
                <w:bCs w:val="0"/>
                <w:color w:val="010302"/>
                <w:sz w:val="22"/>
                <w:szCs w:val="22"/>
              </w:rPr>
            </w:pPr>
          </w:p>
          <w:p w14:paraId="4F326069" w14:textId="77777777" w:rsidR="00D37C03" w:rsidRPr="00D37C03" w:rsidRDefault="00D37C03" w:rsidP="002B5BFD">
            <w:pPr>
              <w:spacing w:before="469" w:after="30"/>
              <w:ind w:right="-18"/>
              <w:contextualSpacing/>
              <w:rPr>
                <w:rFonts w:ascii="Arial" w:hAnsi="Arial" w:cs="Arial"/>
                <w:b w:val="0"/>
                <w:bCs w:val="0"/>
                <w:color w:val="010302"/>
                <w:sz w:val="22"/>
                <w:szCs w:val="22"/>
              </w:rPr>
            </w:pPr>
          </w:p>
          <w:p w14:paraId="5AA9742F" w14:textId="77777777" w:rsidR="00D37C03" w:rsidRPr="00D37C03" w:rsidRDefault="00D37C03" w:rsidP="002B5BFD">
            <w:pPr>
              <w:spacing w:before="469" w:after="30"/>
              <w:ind w:right="-18"/>
              <w:contextualSpacing/>
              <w:rPr>
                <w:rFonts w:ascii="Arial" w:hAnsi="Arial" w:cs="Arial"/>
                <w:color w:val="010302"/>
                <w:sz w:val="22"/>
                <w:szCs w:val="22"/>
              </w:rPr>
            </w:pPr>
            <w:r>
              <w:rPr>
                <w:rFonts w:ascii="Arial" w:hAnsi="Arial"/>
                <w:color w:val="010302"/>
                <w:sz w:val="22"/>
              </w:rPr>
              <w:t>Maximum reduction</w:t>
            </w:r>
          </w:p>
        </w:tc>
        <w:tc>
          <w:tcPr>
            <w:tcW w:w="1248" w:type="dxa"/>
          </w:tcPr>
          <w:p w14:paraId="31DB1953" w14:textId="77777777" w:rsidR="00D37C03" w:rsidRPr="00D37C03" w:rsidRDefault="00D37C03" w:rsidP="002B5BFD">
            <w:pPr>
              <w:spacing w:before="208" w:after="30"/>
              <w:ind w:left="60" w:right="-18"/>
              <w:contextualSpacing/>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p>
          <w:p w14:paraId="3D674E5C" w14:textId="77777777" w:rsidR="00D37C03" w:rsidRPr="00D37C03" w:rsidRDefault="00D37C03" w:rsidP="002B5BFD">
            <w:pPr>
              <w:spacing w:before="208" w:after="30"/>
              <w:ind w:left="60" w:right="-18"/>
              <w:contextualSpacing/>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p>
          <w:p w14:paraId="3F35E4A8" w14:textId="77777777" w:rsidR="00D37C03" w:rsidRPr="00D37C03" w:rsidRDefault="00D37C03" w:rsidP="002B5BFD">
            <w:pPr>
              <w:spacing w:before="208" w:after="30"/>
              <w:ind w:left="60" w:right="-18"/>
              <w:contextualSpacing/>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p>
          <w:p w14:paraId="3B547568" w14:textId="77777777" w:rsidR="00550856" w:rsidRDefault="00550856" w:rsidP="002B5BFD">
            <w:pPr>
              <w:spacing w:before="208" w:after="30"/>
              <w:ind w:left="60" w:right="-18"/>
              <w:contextualSpacing/>
              <w:jc w:val="right"/>
              <w:cnfStyle w:val="000000100000" w:firstRow="0" w:lastRow="0" w:firstColumn="0" w:lastColumn="0" w:oddVBand="0" w:evenVBand="0" w:oddHBand="1" w:evenHBand="0" w:firstRowFirstColumn="0" w:firstRowLastColumn="0" w:lastRowFirstColumn="0" w:lastRowLastColumn="0"/>
              <w:rPr>
                <w:rFonts w:ascii="Arial" w:hAnsi="Arial"/>
                <w:color w:val="010302"/>
                <w:sz w:val="22"/>
              </w:rPr>
            </w:pPr>
          </w:p>
          <w:p w14:paraId="67BAD466" w14:textId="77777777" w:rsidR="00550856" w:rsidRDefault="00550856" w:rsidP="002B5BFD">
            <w:pPr>
              <w:spacing w:before="208" w:after="30"/>
              <w:ind w:left="60" w:right="-18"/>
              <w:contextualSpacing/>
              <w:jc w:val="right"/>
              <w:cnfStyle w:val="000000100000" w:firstRow="0" w:lastRow="0" w:firstColumn="0" w:lastColumn="0" w:oddVBand="0" w:evenVBand="0" w:oddHBand="1" w:evenHBand="0" w:firstRowFirstColumn="0" w:firstRowLastColumn="0" w:lastRowFirstColumn="0" w:lastRowLastColumn="0"/>
              <w:rPr>
                <w:rFonts w:ascii="Arial" w:hAnsi="Arial"/>
                <w:color w:val="010302"/>
                <w:sz w:val="22"/>
              </w:rPr>
            </w:pPr>
          </w:p>
          <w:p w14:paraId="1191D494" w14:textId="3228F139" w:rsidR="00D37C03" w:rsidRPr="00D37C03" w:rsidRDefault="00D37C03" w:rsidP="002B5BFD">
            <w:pPr>
              <w:spacing w:before="208" w:after="30"/>
              <w:ind w:left="60" w:right="-18"/>
              <w:contextualSpacing/>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r>
              <w:rPr>
                <w:rFonts w:ascii="Arial" w:hAnsi="Arial"/>
                <w:color w:val="010302"/>
                <w:sz w:val="22"/>
              </w:rPr>
              <w:t>€ 5,685</w:t>
            </w:r>
          </w:p>
        </w:tc>
        <w:tc>
          <w:tcPr>
            <w:tcW w:w="2114" w:type="dxa"/>
          </w:tcPr>
          <w:p w14:paraId="2294F98D" w14:textId="642270DF" w:rsidR="00D37C03" w:rsidRPr="00D37C03" w:rsidRDefault="00D37C03" w:rsidP="002B5BFD">
            <w:pPr>
              <w:spacing w:before="208" w:after="30"/>
              <w:ind w:left="60" w:right="-18"/>
              <w:contextualSpacing/>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r>
              <w:rPr>
                <w:rFonts w:ascii="Arial" w:hAnsi="Arial"/>
                <w:color w:val="010302"/>
                <w:sz w:val="22"/>
              </w:rPr>
              <w:t>6.510%</w:t>
            </w:r>
          </w:p>
        </w:tc>
        <w:tc>
          <w:tcPr>
            <w:tcW w:w="4290" w:type="dxa"/>
          </w:tcPr>
          <w:p w14:paraId="48364A26" w14:textId="2CF3D10F" w:rsidR="00D37C03" w:rsidRPr="00D37C03" w:rsidRDefault="00D37C03" w:rsidP="002B5BFD">
            <w:pPr>
              <w:tabs>
                <w:tab w:val="left" w:pos="2582"/>
              </w:tabs>
              <w:spacing w:before="8" w:after="30"/>
              <w:ind w:left="60" w:right="-18"/>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r>
              <w:rPr>
                <w:rFonts w:ascii="Arial" w:hAnsi="Arial"/>
                <w:color w:val="010302"/>
                <w:sz w:val="22"/>
              </w:rPr>
              <w:t xml:space="preserve">for salary from current employment above          </w:t>
            </w:r>
            <w:r w:rsidR="00212994">
              <w:rPr>
                <w:rFonts w:ascii="Arial" w:hAnsi="Arial"/>
                <w:color w:val="010302"/>
                <w:sz w:val="22"/>
              </w:rPr>
              <w:t xml:space="preserve">                            </w:t>
            </w:r>
            <w:r>
              <w:rPr>
                <w:rFonts w:ascii="Arial" w:hAnsi="Arial"/>
                <w:color w:val="010302"/>
                <w:sz w:val="22"/>
              </w:rPr>
              <w:t xml:space="preserve">  € 45,592</w:t>
            </w:r>
          </w:p>
          <w:p w14:paraId="65C768EC" w14:textId="77777777" w:rsidR="00D37C03" w:rsidRPr="00D37C03" w:rsidRDefault="00D37C03" w:rsidP="002B5BFD">
            <w:pPr>
              <w:spacing w:before="8" w:after="30"/>
              <w:ind w:left="60" w:right="-18"/>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p>
          <w:p w14:paraId="2E65A854" w14:textId="77777777" w:rsidR="00550856" w:rsidRDefault="00550856" w:rsidP="002B5BFD">
            <w:pPr>
              <w:spacing w:before="8" w:after="30"/>
              <w:ind w:left="60" w:right="-18"/>
              <w:contextualSpacing/>
              <w:cnfStyle w:val="000000100000" w:firstRow="0" w:lastRow="0" w:firstColumn="0" w:lastColumn="0" w:oddVBand="0" w:evenVBand="0" w:oddHBand="1" w:evenHBand="0" w:firstRowFirstColumn="0" w:firstRowLastColumn="0" w:lastRowFirstColumn="0" w:lastRowLastColumn="0"/>
              <w:rPr>
                <w:rFonts w:ascii="Arial" w:hAnsi="Arial"/>
                <w:color w:val="010302"/>
                <w:sz w:val="22"/>
              </w:rPr>
            </w:pPr>
          </w:p>
          <w:p w14:paraId="0C3B9375" w14:textId="77777777" w:rsidR="00550856" w:rsidRDefault="00550856" w:rsidP="002B5BFD">
            <w:pPr>
              <w:spacing w:before="8" w:after="30"/>
              <w:ind w:left="60" w:right="-18"/>
              <w:contextualSpacing/>
              <w:cnfStyle w:val="000000100000" w:firstRow="0" w:lastRow="0" w:firstColumn="0" w:lastColumn="0" w:oddVBand="0" w:evenVBand="0" w:oddHBand="1" w:evenHBand="0" w:firstRowFirstColumn="0" w:firstRowLastColumn="0" w:lastRowFirstColumn="0" w:lastRowLastColumn="0"/>
              <w:rPr>
                <w:rFonts w:ascii="Arial" w:hAnsi="Arial"/>
                <w:color w:val="010302"/>
                <w:sz w:val="22"/>
              </w:rPr>
            </w:pPr>
          </w:p>
          <w:p w14:paraId="2E110CC3" w14:textId="0CF77476" w:rsidR="00D37C03" w:rsidRPr="00D37C03" w:rsidRDefault="00D37C03" w:rsidP="002B5BFD">
            <w:pPr>
              <w:spacing w:before="8" w:after="30"/>
              <w:ind w:left="60" w:right="-18"/>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r>
              <w:rPr>
                <w:rFonts w:ascii="Arial" w:hAnsi="Arial"/>
                <w:color w:val="010302"/>
                <w:sz w:val="22"/>
              </w:rPr>
              <w:t>applies from                              € 132,920</w:t>
            </w:r>
          </w:p>
        </w:tc>
      </w:tr>
      <w:tr w:rsidR="00D37C03" w:rsidRPr="00D37C03" w14:paraId="04C688CA" w14:textId="77777777" w:rsidTr="00A70200">
        <w:trPr>
          <w:trHeight w:hRule="exact" w:val="558"/>
        </w:trPr>
        <w:tc>
          <w:tcPr>
            <w:cnfStyle w:val="001000000000" w:firstRow="0" w:lastRow="0" w:firstColumn="1" w:lastColumn="0" w:oddVBand="0" w:evenVBand="0" w:oddHBand="0" w:evenHBand="0" w:firstRowFirstColumn="0" w:firstRowLastColumn="0" w:lastRowFirstColumn="0" w:lastRowLastColumn="0"/>
            <w:tcW w:w="2972" w:type="dxa"/>
          </w:tcPr>
          <w:p w14:paraId="6BF28B0C" w14:textId="77777777" w:rsidR="00D37C03" w:rsidRPr="00D37C03" w:rsidRDefault="00D37C03" w:rsidP="002B5BFD">
            <w:pPr>
              <w:spacing w:after="30"/>
              <w:ind w:left="45"/>
              <w:contextualSpacing/>
              <w:rPr>
                <w:rFonts w:ascii="Arial" w:hAnsi="Arial" w:cs="Arial"/>
                <w:color w:val="010302"/>
                <w:sz w:val="22"/>
                <w:szCs w:val="22"/>
              </w:rPr>
            </w:pPr>
            <w:r>
              <w:rPr>
                <w:rFonts w:ascii="Arial" w:hAnsi="Arial"/>
                <w:color w:val="010302"/>
                <w:sz w:val="22"/>
              </w:rPr>
              <w:t>Young disabled person’s tax credit</w:t>
            </w:r>
          </w:p>
        </w:tc>
        <w:tc>
          <w:tcPr>
            <w:tcW w:w="1248" w:type="dxa"/>
          </w:tcPr>
          <w:p w14:paraId="52CD3528" w14:textId="68B3B806" w:rsidR="00D37C03" w:rsidRPr="00D37C03" w:rsidRDefault="00D37C03" w:rsidP="002B5BFD">
            <w:pPr>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Pr>
                <w:rFonts w:ascii="Arial" w:hAnsi="Arial"/>
                <w:color w:val="000000" w:themeColor="text1"/>
                <w:sz w:val="22"/>
              </w:rPr>
              <w:t>€ 923</w:t>
            </w:r>
          </w:p>
        </w:tc>
        <w:tc>
          <w:tcPr>
            <w:tcW w:w="2114" w:type="dxa"/>
          </w:tcPr>
          <w:p w14:paraId="257D2BA8" w14:textId="77777777" w:rsidR="00D37C03" w:rsidRPr="00D37C03" w:rsidRDefault="00D37C03" w:rsidP="002B5BFD">
            <w:pPr>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Pr>
                <w:rFonts w:ascii="Arial" w:hAnsi="Arial"/>
                <w:color w:val="000000" w:themeColor="text1"/>
                <w:sz w:val="22"/>
              </w:rPr>
              <w:t>-</w:t>
            </w:r>
          </w:p>
        </w:tc>
        <w:tc>
          <w:tcPr>
            <w:tcW w:w="4290" w:type="dxa"/>
          </w:tcPr>
          <w:p w14:paraId="4E0083A1" w14:textId="77777777" w:rsidR="00D37C03" w:rsidRPr="00D37C03" w:rsidRDefault="00D37C03" w:rsidP="002B5BFD">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Pr>
                <w:rFonts w:ascii="Arial" w:hAnsi="Arial"/>
                <w:color w:val="000000" w:themeColor="text1"/>
                <w:sz w:val="22"/>
              </w:rPr>
              <w:t>-</w:t>
            </w:r>
          </w:p>
        </w:tc>
      </w:tr>
    </w:tbl>
    <w:p w14:paraId="43A6141C" w14:textId="77777777" w:rsidR="002B5BFD" w:rsidRDefault="002B5BFD" w:rsidP="00250681">
      <w:pPr>
        <w:rPr>
          <w:rFonts w:ascii="Arial" w:hAnsi="Arial" w:cs="Arial"/>
          <w:sz w:val="22"/>
          <w:szCs w:val="22"/>
        </w:rPr>
      </w:pPr>
    </w:p>
    <w:p w14:paraId="690E9E8C" w14:textId="4C9E0559" w:rsidR="002B5BFD" w:rsidRDefault="002B5BFD">
      <w:pPr>
        <w:rPr>
          <w:rFonts w:ascii="Arial" w:hAnsi="Arial" w:cs="Arial"/>
          <w:sz w:val="22"/>
          <w:szCs w:val="22"/>
        </w:rPr>
      </w:pPr>
      <w:r>
        <w:br w:type="page"/>
      </w:r>
    </w:p>
    <w:p w14:paraId="5A46B06B" w14:textId="49872933" w:rsidR="002B5BFD" w:rsidRPr="002B5BFD" w:rsidRDefault="002B5BFD" w:rsidP="002B5BFD">
      <w:pPr>
        <w:pStyle w:val="SRAKopje"/>
        <w:ind w:left="2124" w:hanging="2124"/>
        <w:rPr>
          <w:rFonts w:ascii="Arial" w:hAnsi="Arial" w:cs="Arial"/>
        </w:rPr>
      </w:pPr>
      <w:bookmarkStart w:id="130" w:name="_Toc155866665"/>
      <w:r>
        <w:rPr>
          <w:rFonts w:ascii="Arial" w:hAnsi="Arial"/>
        </w:rPr>
        <w:lastRenderedPageBreak/>
        <w:t>Table 2b</w:t>
      </w:r>
      <w:r>
        <w:rPr>
          <w:rFonts w:ascii="Arial" w:hAnsi="Arial"/>
        </w:rPr>
        <w:tab/>
        <w:t>Tax credits for payroll tax/national insurance contributions</w:t>
      </w:r>
      <w:bookmarkEnd w:id="130"/>
    </w:p>
    <w:tbl>
      <w:tblPr>
        <w:tblStyle w:val="Rastertabel4-Accent3"/>
        <w:tblpPr w:vertAnchor="text" w:horzAnchor="margin" w:tblpXSpec="center" w:tblpY="393"/>
        <w:tblW w:w="11117" w:type="dxa"/>
        <w:tblLayout w:type="fixed"/>
        <w:tblLook w:val="04A0" w:firstRow="1" w:lastRow="0" w:firstColumn="1" w:lastColumn="0" w:noHBand="0" w:noVBand="1"/>
      </w:tblPr>
      <w:tblGrid>
        <w:gridCol w:w="2938"/>
        <w:gridCol w:w="1634"/>
        <w:gridCol w:w="2293"/>
        <w:gridCol w:w="4252"/>
      </w:tblGrid>
      <w:tr w:rsidR="002B5BFD" w:rsidRPr="002B5BFD" w14:paraId="78088459" w14:textId="77777777" w:rsidTr="002B5BFD">
        <w:trPr>
          <w:cnfStyle w:val="100000000000" w:firstRow="1" w:lastRow="0" w:firstColumn="0" w:lastColumn="0" w:oddVBand="0" w:evenVBand="0" w:oddHBand="0" w:evenHBand="0" w:firstRowFirstColumn="0" w:firstRowLastColumn="0" w:lastRowFirstColumn="0" w:lastRowLastColumn="0"/>
          <w:trHeight w:hRule="exact" w:val="598"/>
        </w:trPr>
        <w:tc>
          <w:tcPr>
            <w:cnfStyle w:val="001000000000" w:firstRow="0" w:lastRow="0" w:firstColumn="1" w:lastColumn="0" w:oddVBand="0" w:evenVBand="0" w:oddHBand="0" w:evenHBand="0" w:firstRowFirstColumn="0" w:firstRowLastColumn="0" w:lastRowFirstColumn="0" w:lastRowLastColumn="0"/>
            <w:tcW w:w="2938" w:type="dxa"/>
            <w:vMerge w:val="restart"/>
          </w:tcPr>
          <w:p w14:paraId="2107E349" w14:textId="77777777" w:rsidR="002B5BFD" w:rsidRPr="002B5BFD" w:rsidRDefault="002B5BFD" w:rsidP="002B5BFD">
            <w:pPr>
              <w:spacing w:beforeLines="30" w:before="72" w:afterLines="50" w:after="120" w:line="240" w:lineRule="exact"/>
              <w:ind w:left="170" w:right="357"/>
              <w:rPr>
                <w:rFonts w:ascii="Arial" w:hAnsi="Arial" w:cs="Arial"/>
                <w:color w:val="010302"/>
                <w:sz w:val="22"/>
                <w:szCs w:val="22"/>
              </w:rPr>
            </w:pPr>
            <w:r>
              <w:rPr>
                <w:rFonts w:ascii="Arial" w:hAnsi="Arial"/>
                <w:color w:val="010302"/>
                <w:sz w:val="22"/>
              </w:rPr>
              <w:t>Tax credit</w:t>
            </w:r>
          </w:p>
        </w:tc>
        <w:tc>
          <w:tcPr>
            <w:tcW w:w="3927" w:type="dxa"/>
            <w:gridSpan w:val="2"/>
          </w:tcPr>
          <w:p w14:paraId="46A72F60" w14:textId="77777777" w:rsidR="002B5BFD" w:rsidRPr="002B5BFD" w:rsidRDefault="002B5BFD" w:rsidP="002B5BFD">
            <w:pPr>
              <w:spacing w:beforeLines="30" w:before="72" w:afterLines="50" w:after="120" w:line="240" w:lineRule="exact"/>
              <w:ind w:left="170" w:right="357"/>
              <w:jc w:val="center"/>
              <w:cnfStyle w:val="100000000000" w:firstRow="1" w:lastRow="0" w:firstColumn="0" w:lastColumn="0" w:oddVBand="0" w:evenVBand="0" w:oddHBand="0" w:evenHBand="0" w:firstRowFirstColumn="0" w:firstRowLastColumn="0" w:lastRowFirstColumn="0" w:lastRowLastColumn="0"/>
              <w:rPr>
                <w:rFonts w:ascii="Arial" w:hAnsi="Arial" w:cs="Arial"/>
                <w:color w:val="010302"/>
                <w:sz w:val="22"/>
                <w:szCs w:val="22"/>
              </w:rPr>
            </w:pPr>
            <w:r>
              <w:rPr>
                <w:rFonts w:ascii="Arial" w:hAnsi="Arial"/>
                <w:color w:val="010302"/>
                <w:sz w:val="22"/>
              </w:rPr>
              <w:t>State-pension age and above</w:t>
            </w:r>
          </w:p>
        </w:tc>
        <w:tc>
          <w:tcPr>
            <w:tcW w:w="4252" w:type="dxa"/>
            <w:vMerge w:val="restart"/>
          </w:tcPr>
          <w:p w14:paraId="16D15722" w14:textId="77777777" w:rsidR="002B5BFD" w:rsidRPr="002B5BFD" w:rsidRDefault="002B5BFD" w:rsidP="002B5BFD">
            <w:pPr>
              <w:spacing w:beforeLines="30" w:before="72" w:afterLines="50" w:after="120" w:line="240" w:lineRule="exact"/>
              <w:ind w:left="170" w:right="357"/>
              <w:cnfStyle w:val="100000000000" w:firstRow="1" w:lastRow="0" w:firstColumn="0" w:lastColumn="0" w:oddVBand="0" w:evenVBand="0" w:oddHBand="0" w:evenHBand="0" w:firstRowFirstColumn="0" w:firstRowLastColumn="0" w:lastRowFirstColumn="0" w:lastRowLastColumn="0"/>
              <w:rPr>
                <w:rFonts w:ascii="Arial" w:hAnsi="Arial" w:cs="Arial"/>
                <w:color w:val="010302"/>
                <w:sz w:val="22"/>
                <w:szCs w:val="22"/>
              </w:rPr>
            </w:pPr>
            <w:r>
              <w:rPr>
                <w:rFonts w:ascii="Arial" w:hAnsi="Arial"/>
                <w:color w:val="010302"/>
                <w:sz w:val="22"/>
              </w:rPr>
              <w:t>Details</w:t>
            </w:r>
          </w:p>
        </w:tc>
      </w:tr>
      <w:tr w:rsidR="002B5BFD" w:rsidRPr="002B5BFD" w14:paraId="3C683A4D" w14:textId="77777777" w:rsidTr="002B5BFD">
        <w:trPr>
          <w:cnfStyle w:val="000000100000" w:firstRow="0" w:lastRow="0" w:firstColumn="0" w:lastColumn="0" w:oddVBand="0" w:evenVBand="0" w:oddHBand="1" w:evenHBand="0" w:firstRowFirstColumn="0" w:firstRowLastColumn="0" w:lastRowFirstColumn="0" w:lastRowLastColumn="0"/>
          <w:trHeight w:hRule="exact" w:val="367"/>
        </w:trPr>
        <w:tc>
          <w:tcPr>
            <w:cnfStyle w:val="001000000000" w:firstRow="0" w:lastRow="0" w:firstColumn="1" w:lastColumn="0" w:oddVBand="0" w:evenVBand="0" w:oddHBand="0" w:evenHBand="0" w:firstRowFirstColumn="0" w:firstRowLastColumn="0" w:lastRowFirstColumn="0" w:lastRowLastColumn="0"/>
            <w:tcW w:w="2938" w:type="dxa"/>
            <w:vMerge/>
          </w:tcPr>
          <w:p w14:paraId="79CA31BB" w14:textId="77777777" w:rsidR="002B5BFD" w:rsidRPr="002B5BFD" w:rsidRDefault="002B5BFD" w:rsidP="002B5BFD">
            <w:pPr>
              <w:rPr>
                <w:rFonts w:ascii="Arial" w:hAnsi="Arial" w:cs="Arial"/>
                <w:color w:val="000000" w:themeColor="text1"/>
                <w:sz w:val="22"/>
                <w:szCs w:val="22"/>
              </w:rPr>
            </w:pPr>
          </w:p>
        </w:tc>
        <w:tc>
          <w:tcPr>
            <w:tcW w:w="1634" w:type="dxa"/>
          </w:tcPr>
          <w:p w14:paraId="5CE2C63F" w14:textId="77777777" w:rsidR="002B5BFD" w:rsidRPr="002B5BFD" w:rsidRDefault="002B5BFD" w:rsidP="002B5BFD">
            <w:pPr>
              <w:spacing w:before="71"/>
              <w:ind w:left="40" w:right="-18"/>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r>
              <w:rPr>
                <w:rFonts w:ascii="Arial" w:hAnsi="Arial"/>
                <w:color w:val="010302"/>
                <w:sz w:val="22"/>
              </w:rPr>
              <w:t>Amount</w:t>
            </w:r>
          </w:p>
        </w:tc>
        <w:tc>
          <w:tcPr>
            <w:tcW w:w="2293" w:type="dxa"/>
          </w:tcPr>
          <w:p w14:paraId="02DC4DB6" w14:textId="77777777" w:rsidR="002B5BFD" w:rsidRPr="002B5BFD" w:rsidRDefault="002B5BFD" w:rsidP="002B5BFD">
            <w:pPr>
              <w:spacing w:before="71"/>
              <w:ind w:left="60" w:right="-18"/>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r>
              <w:rPr>
                <w:rFonts w:ascii="Arial" w:hAnsi="Arial"/>
                <w:color w:val="010302"/>
                <w:sz w:val="22"/>
              </w:rPr>
              <w:t>Percentage</w:t>
            </w:r>
          </w:p>
        </w:tc>
        <w:tc>
          <w:tcPr>
            <w:tcW w:w="4252" w:type="dxa"/>
            <w:vMerge/>
          </w:tcPr>
          <w:p w14:paraId="589DE508" w14:textId="77777777" w:rsidR="002B5BFD" w:rsidRPr="002B5BFD" w:rsidRDefault="002B5BFD" w:rsidP="002B5BFD">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p>
        </w:tc>
      </w:tr>
      <w:tr w:rsidR="002B5BFD" w:rsidRPr="002B5BFD" w14:paraId="0D1C8C08" w14:textId="77777777" w:rsidTr="002B5BFD">
        <w:trPr>
          <w:trHeight w:hRule="exact" w:val="802"/>
        </w:trPr>
        <w:tc>
          <w:tcPr>
            <w:cnfStyle w:val="001000000000" w:firstRow="0" w:lastRow="0" w:firstColumn="1" w:lastColumn="0" w:oddVBand="0" w:evenVBand="0" w:oddHBand="0" w:evenHBand="0" w:firstRowFirstColumn="0" w:firstRowLastColumn="0" w:lastRowFirstColumn="0" w:lastRowLastColumn="0"/>
            <w:tcW w:w="2938" w:type="dxa"/>
          </w:tcPr>
          <w:p w14:paraId="05917704" w14:textId="77777777" w:rsidR="002B5BFD" w:rsidRPr="002B5BFD" w:rsidRDefault="002B5BFD" w:rsidP="002B5BFD">
            <w:pPr>
              <w:spacing w:before="53" w:after="30"/>
              <w:ind w:left="45" w:right="472"/>
              <w:contextualSpacing/>
              <w:rPr>
                <w:rFonts w:ascii="Arial" w:hAnsi="Arial" w:cs="Arial"/>
                <w:color w:val="010302"/>
                <w:sz w:val="22"/>
                <w:szCs w:val="22"/>
              </w:rPr>
            </w:pPr>
            <w:r>
              <w:rPr>
                <w:rFonts w:ascii="Arial" w:hAnsi="Arial"/>
                <w:color w:val="010302"/>
                <w:sz w:val="22"/>
              </w:rPr>
              <w:t>General tax credit</w:t>
            </w:r>
          </w:p>
        </w:tc>
        <w:tc>
          <w:tcPr>
            <w:tcW w:w="1634" w:type="dxa"/>
          </w:tcPr>
          <w:p w14:paraId="388F7C2A" w14:textId="77777777" w:rsidR="002B5BFD" w:rsidRPr="002B5BFD" w:rsidRDefault="002B5BFD" w:rsidP="002B5BFD">
            <w:pPr>
              <w:spacing w:before="61" w:after="230"/>
              <w:ind w:left="4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p>
          <w:p w14:paraId="739B3B6F" w14:textId="077D10CB" w:rsidR="002B5BFD" w:rsidRPr="002B5BFD" w:rsidRDefault="002B5BFD" w:rsidP="002B5BFD">
            <w:pPr>
              <w:spacing w:before="61" w:after="230"/>
              <w:ind w:left="4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Pr>
                <w:rFonts w:ascii="Arial" w:hAnsi="Arial"/>
                <w:color w:val="010302"/>
                <w:sz w:val="22"/>
              </w:rPr>
              <w:t>€ 1,556</w:t>
            </w:r>
          </w:p>
        </w:tc>
        <w:tc>
          <w:tcPr>
            <w:tcW w:w="2293" w:type="dxa"/>
          </w:tcPr>
          <w:p w14:paraId="25440BE9" w14:textId="77777777" w:rsidR="002B5BFD" w:rsidRPr="002B5BFD" w:rsidRDefault="002B5BFD" w:rsidP="002B5BFD">
            <w:pPr>
              <w:spacing w:before="61" w:after="230"/>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p>
        </w:tc>
        <w:tc>
          <w:tcPr>
            <w:tcW w:w="4252" w:type="dxa"/>
          </w:tcPr>
          <w:p w14:paraId="3E89A36A" w14:textId="77777777" w:rsidR="002B5BFD" w:rsidRPr="002B5BFD" w:rsidRDefault="002B5BFD" w:rsidP="002B5BFD">
            <w:pPr>
              <w:spacing w:before="61" w:after="230"/>
              <w:ind w:left="60" w:right="-18"/>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p>
          <w:p w14:paraId="414EF512" w14:textId="4BDF639A" w:rsidR="002B5BFD" w:rsidRPr="002B5BFD" w:rsidRDefault="002B5BFD" w:rsidP="002B5BFD">
            <w:pPr>
              <w:tabs>
                <w:tab w:val="left" w:pos="2732"/>
              </w:tabs>
              <w:spacing w:before="61" w:after="230"/>
              <w:ind w:left="60" w:right="-18"/>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Pr>
                <w:rFonts w:ascii="Arial" w:hAnsi="Arial"/>
                <w:color w:val="010302"/>
                <w:sz w:val="22"/>
              </w:rPr>
              <w:t xml:space="preserve">for salary up to                           € 29,736 </w:t>
            </w:r>
          </w:p>
        </w:tc>
      </w:tr>
      <w:tr w:rsidR="002B5BFD" w:rsidRPr="002B5BFD" w14:paraId="27DF3A0C" w14:textId="77777777" w:rsidTr="002B5BFD">
        <w:trPr>
          <w:cnfStyle w:val="000000100000" w:firstRow="0" w:lastRow="0" w:firstColumn="0" w:lastColumn="0" w:oddVBand="0" w:evenVBand="0" w:oddHBand="1" w:evenHBand="0" w:firstRowFirstColumn="0" w:firstRowLastColumn="0" w:lastRowFirstColumn="0" w:lastRowLastColumn="0"/>
          <w:trHeight w:hRule="exact" w:val="1382"/>
        </w:trPr>
        <w:tc>
          <w:tcPr>
            <w:cnfStyle w:val="001000000000" w:firstRow="0" w:lastRow="0" w:firstColumn="1" w:lastColumn="0" w:oddVBand="0" w:evenVBand="0" w:oddHBand="0" w:evenHBand="0" w:firstRowFirstColumn="0" w:firstRowLastColumn="0" w:lastRowFirstColumn="0" w:lastRowLastColumn="0"/>
            <w:tcW w:w="2938" w:type="dxa"/>
          </w:tcPr>
          <w:p w14:paraId="1B34D63E" w14:textId="77777777" w:rsidR="002B5BFD" w:rsidRPr="002B5BFD" w:rsidRDefault="002B5BFD" w:rsidP="002B5BFD">
            <w:pPr>
              <w:spacing w:before="469" w:after="30"/>
              <w:ind w:right="-18"/>
              <w:contextualSpacing/>
              <w:rPr>
                <w:rFonts w:ascii="Arial" w:hAnsi="Arial" w:cs="Arial"/>
                <w:b w:val="0"/>
                <w:bCs w:val="0"/>
                <w:color w:val="010302"/>
                <w:sz w:val="22"/>
                <w:szCs w:val="22"/>
              </w:rPr>
            </w:pPr>
            <w:r>
              <w:rPr>
                <w:rFonts w:ascii="Arial" w:hAnsi="Arial"/>
                <w:color w:val="010302"/>
                <w:sz w:val="22"/>
              </w:rPr>
              <w:t>Reduction in general tax credit for higher incomes</w:t>
            </w:r>
          </w:p>
          <w:p w14:paraId="550BB900" w14:textId="77777777" w:rsidR="002B5BFD" w:rsidRPr="002B5BFD" w:rsidRDefault="002B5BFD" w:rsidP="002B5BFD">
            <w:pPr>
              <w:spacing w:before="469" w:after="30"/>
              <w:ind w:left="22" w:right="-18"/>
              <w:contextualSpacing/>
              <w:rPr>
                <w:rFonts w:ascii="Arial" w:hAnsi="Arial" w:cs="Arial"/>
                <w:b w:val="0"/>
                <w:bCs w:val="0"/>
                <w:color w:val="010302"/>
                <w:sz w:val="22"/>
                <w:szCs w:val="22"/>
              </w:rPr>
            </w:pPr>
          </w:p>
          <w:p w14:paraId="3DC522D8" w14:textId="77777777" w:rsidR="002B5BFD" w:rsidRPr="002B5BFD" w:rsidRDefault="002B5BFD" w:rsidP="002B5BFD">
            <w:pPr>
              <w:spacing w:before="469" w:after="30"/>
              <w:ind w:left="22" w:right="-18"/>
              <w:contextualSpacing/>
              <w:rPr>
                <w:rFonts w:ascii="Arial" w:hAnsi="Arial" w:cs="Arial"/>
                <w:b w:val="0"/>
                <w:bCs w:val="0"/>
                <w:color w:val="010302"/>
                <w:sz w:val="22"/>
                <w:szCs w:val="22"/>
              </w:rPr>
            </w:pPr>
            <w:r>
              <w:rPr>
                <w:rFonts w:ascii="Arial" w:hAnsi="Arial"/>
                <w:color w:val="010302"/>
                <w:sz w:val="22"/>
              </w:rPr>
              <w:t>Maximum reduction</w:t>
            </w:r>
          </w:p>
          <w:p w14:paraId="4ED69D3F" w14:textId="77777777" w:rsidR="002B5BFD" w:rsidRPr="002B5BFD" w:rsidRDefault="002B5BFD" w:rsidP="002B5BFD">
            <w:pPr>
              <w:spacing w:before="469" w:after="30"/>
              <w:ind w:left="45" w:right="-18"/>
              <w:contextualSpacing/>
              <w:rPr>
                <w:rFonts w:ascii="Arial" w:hAnsi="Arial" w:cs="Arial"/>
                <w:color w:val="010302"/>
                <w:sz w:val="22"/>
                <w:szCs w:val="22"/>
              </w:rPr>
            </w:pPr>
          </w:p>
        </w:tc>
        <w:tc>
          <w:tcPr>
            <w:tcW w:w="1634" w:type="dxa"/>
          </w:tcPr>
          <w:p w14:paraId="1A5B5F7E" w14:textId="77777777" w:rsidR="002B5BFD" w:rsidRPr="002B5BFD" w:rsidRDefault="002B5BFD" w:rsidP="002B5BFD">
            <w:pPr>
              <w:spacing w:before="208" w:after="30"/>
              <w:ind w:left="60" w:right="-18"/>
              <w:contextualSpacing/>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p>
          <w:p w14:paraId="3E6B23F0" w14:textId="77777777" w:rsidR="002B5BFD" w:rsidRPr="002B5BFD" w:rsidRDefault="002B5BFD" w:rsidP="002B5BFD">
            <w:pPr>
              <w:spacing w:before="208" w:after="30"/>
              <w:ind w:left="60" w:right="-18"/>
              <w:contextualSpacing/>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p>
          <w:p w14:paraId="2F4E8CC0" w14:textId="77777777" w:rsidR="002B5BFD" w:rsidRPr="002B5BFD" w:rsidRDefault="002B5BFD" w:rsidP="002B5BFD">
            <w:pPr>
              <w:spacing w:before="208" w:after="30"/>
              <w:ind w:left="60" w:right="-18"/>
              <w:contextualSpacing/>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p>
          <w:p w14:paraId="737A5E11" w14:textId="63FA00C1" w:rsidR="002B5BFD" w:rsidRPr="002B5BFD" w:rsidRDefault="002B5BFD" w:rsidP="002B5BFD">
            <w:pPr>
              <w:spacing w:before="208" w:after="30"/>
              <w:ind w:left="60" w:right="-18"/>
              <w:contextualSpacing/>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r>
              <w:rPr>
                <w:rFonts w:ascii="Arial" w:hAnsi="Arial"/>
                <w:color w:val="010302"/>
                <w:sz w:val="22"/>
              </w:rPr>
              <w:t>€ 1,556</w:t>
            </w:r>
          </w:p>
        </w:tc>
        <w:tc>
          <w:tcPr>
            <w:tcW w:w="2293" w:type="dxa"/>
          </w:tcPr>
          <w:p w14:paraId="3877947C" w14:textId="08FBD11F" w:rsidR="002B5BFD" w:rsidRPr="002B5BFD" w:rsidRDefault="00FA7E4E" w:rsidP="002B5BFD">
            <w:pPr>
              <w:spacing w:before="208" w:after="30"/>
              <w:ind w:left="60" w:right="-18"/>
              <w:contextualSpacing/>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r>
              <w:rPr>
                <w:rFonts w:ascii="Arial" w:hAnsi="Arial"/>
                <w:color w:val="010302"/>
                <w:sz w:val="22"/>
              </w:rPr>
              <w:t>3.195%</w:t>
            </w:r>
          </w:p>
          <w:p w14:paraId="5E881882" w14:textId="31D0961D" w:rsidR="002B5BFD" w:rsidRPr="002B5BFD" w:rsidRDefault="002B5BFD" w:rsidP="002B5BFD">
            <w:pPr>
              <w:spacing w:before="208" w:after="30"/>
              <w:ind w:left="60" w:right="-18"/>
              <w:contextualSpacing/>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p>
          <w:p w14:paraId="26212DA9" w14:textId="77777777" w:rsidR="002B5BFD" w:rsidRPr="002B5BFD" w:rsidRDefault="002B5BFD" w:rsidP="002B5BFD">
            <w:pPr>
              <w:spacing w:before="208" w:after="30"/>
              <w:ind w:left="60" w:right="-18"/>
              <w:contextualSpacing/>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p>
        </w:tc>
        <w:tc>
          <w:tcPr>
            <w:tcW w:w="4252" w:type="dxa"/>
          </w:tcPr>
          <w:p w14:paraId="61E17E97" w14:textId="2629F87B" w:rsidR="002B5BFD" w:rsidRPr="002B5BFD" w:rsidRDefault="002B5BFD" w:rsidP="002B5BFD">
            <w:pPr>
              <w:tabs>
                <w:tab w:val="left" w:pos="2732"/>
              </w:tabs>
              <w:spacing w:before="8" w:after="30"/>
              <w:ind w:left="60"/>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r>
              <w:rPr>
                <w:rFonts w:ascii="Arial" w:hAnsi="Arial"/>
                <w:color w:val="010302"/>
                <w:sz w:val="22"/>
              </w:rPr>
              <w:t xml:space="preserve">for salary above                    </w:t>
            </w:r>
            <w:r w:rsidR="00BD3C98">
              <w:rPr>
                <w:rFonts w:ascii="Arial" w:hAnsi="Arial"/>
                <w:color w:val="010302"/>
                <w:sz w:val="22"/>
              </w:rPr>
              <w:t xml:space="preserve">  </w:t>
            </w:r>
            <w:r>
              <w:rPr>
                <w:rFonts w:ascii="Arial" w:hAnsi="Arial"/>
                <w:color w:val="010302"/>
                <w:sz w:val="22"/>
              </w:rPr>
              <w:t xml:space="preserve">   € 29,736</w:t>
            </w:r>
          </w:p>
          <w:p w14:paraId="22C24AA9" w14:textId="16772E16" w:rsidR="002B5BFD" w:rsidRPr="002B5BFD" w:rsidRDefault="002B5BFD" w:rsidP="002B5BFD">
            <w:pPr>
              <w:spacing w:before="8" w:after="30"/>
              <w:ind w:left="60"/>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r>
              <w:rPr>
                <w:rFonts w:ascii="Arial" w:hAnsi="Arial"/>
                <w:color w:val="010302"/>
                <w:sz w:val="22"/>
              </w:rPr>
              <w:t xml:space="preserve">but not exceeding              </w:t>
            </w:r>
            <w:r w:rsidR="00BD3C98">
              <w:rPr>
                <w:rFonts w:ascii="Arial" w:hAnsi="Arial"/>
                <w:color w:val="010302"/>
                <w:sz w:val="22"/>
              </w:rPr>
              <w:t xml:space="preserve">      </w:t>
            </w:r>
            <w:r>
              <w:rPr>
                <w:rFonts w:ascii="Arial" w:hAnsi="Arial"/>
                <w:color w:val="010302"/>
                <w:sz w:val="22"/>
              </w:rPr>
              <w:t xml:space="preserve">  € 78,426</w:t>
            </w:r>
          </w:p>
          <w:p w14:paraId="12B70D23" w14:textId="77777777" w:rsidR="002B5BFD" w:rsidRPr="002B5BFD" w:rsidRDefault="002B5BFD" w:rsidP="002B5BFD">
            <w:pPr>
              <w:tabs>
                <w:tab w:val="left" w:pos="2732"/>
              </w:tabs>
              <w:spacing w:before="8" w:after="30"/>
              <w:ind w:left="60"/>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p>
          <w:p w14:paraId="137FC618" w14:textId="752FC5F3" w:rsidR="002B5BFD" w:rsidRPr="002B5BFD" w:rsidRDefault="002B5BFD" w:rsidP="002B5BFD">
            <w:pPr>
              <w:tabs>
                <w:tab w:val="left" w:pos="2732"/>
              </w:tabs>
              <w:spacing w:before="8" w:after="30"/>
              <w:ind w:left="60"/>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r>
              <w:rPr>
                <w:rFonts w:ascii="Arial" w:hAnsi="Arial"/>
                <w:color w:val="010302"/>
                <w:sz w:val="22"/>
              </w:rPr>
              <w:t xml:space="preserve">applies from                            </w:t>
            </w:r>
            <w:r w:rsidR="00BD3C98">
              <w:rPr>
                <w:rFonts w:ascii="Arial" w:hAnsi="Arial"/>
                <w:color w:val="010302"/>
                <w:sz w:val="22"/>
              </w:rPr>
              <w:t xml:space="preserve"> </w:t>
            </w:r>
            <w:r>
              <w:rPr>
                <w:rFonts w:ascii="Arial" w:hAnsi="Arial"/>
                <w:color w:val="010302"/>
                <w:sz w:val="22"/>
              </w:rPr>
              <w:t xml:space="preserve">  € 78,426</w:t>
            </w:r>
          </w:p>
        </w:tc>
      </w:tr>
      <w:tr w:rsidR="002B5BFD" w:rsidRPr="002B5BFD" w14:paraId="014823E5" w14:textId="77777777" w:rsidTr="00BD3C98">
        <w:trPr>
          <w:trHeight w:hRule="exact" w:val="3805"/>
        </w:trPr>
        <w:tc>
          <w:tcPr>
            <w:cnfStyle w:val="001000000000" w:firstRow="0" w:lastRow="0" w:firstColumn="1" w:lastColumn="0" w:oddVBand="0" w:evenVBand="0" w:oddHBand="0" w:evenHBand="0" w:firstRowFirstColumn="0" w:firstRowLastColumn="0" w:lastRowFirstColumn="0" w:lastRowLastColumn="0"/>
            <w:tcW w:w="2938" w:type="dxa"/>
          </w:tcPr>
          <w:p w14:paraId="7AD15459" w14:textId="77777777" w:rsidR="002B5BFD" w:rsidRPr="002B5BFD" w:rsidRDefault="002B5BFD" w:rsidP="002B5BFD">
            <w:pPr>
              <w:spacing w:after="30"/>
              <w:ind w:left="45"/>
              <w:contextualSpacing/>
              <w:rPr>
                <w:rFonts w:ascii="Arial" w:hAnsi="Arial" w:cs="Arial"/>
                <w:b w:val="0"/>
                <w:bCs w:val="0"/>
                <w:color w:val="010302"/>
                <w:sz w:val="22"/>
                <w:szCs w:val="22"/>
              </w:rPr>
            </w:pPr>
            <w:r>
              <w:rPr>
                <w:rFonts w:ascii="Arial" w:hAnsi="Arial"/>
                <w:color w:val="010302"/>
                <w:sz w:val="22"/>
              </w:rPr>
              <w:t>Employed person’s tax credit</w:t>
            </w:r>
          </w:p>
          <w:p w14:paraId="4B9DCE2C" w14:textId="77777777" w:rsidR="002B5BFD" w:rsidRPr="002B5BFD" w:rsidRDefault="002B5BFD" w:rsidP="002B5BFD">
            <w:pPr>
              <w:spacing w:after="30"/>
              <w:ind w:left="45"/>
              <w:contextualSpacing/>
              <w:rPr>
                <w:rFonts w:ascii="Arial" w:hAnsi="Arial" w:cs="Arial"/>
                <w:b w:val="0"/>
                <w:bCs w:val="0"/>
                <w:color w:val="010302"/>
                <w:sz w:val="22"/>
                <w:szCs w:val="22"/>
              </w:rPr>
            </w:pPr>
          </w:p>
          <w:p w14:paraId="7FFB40ED" w14:textId="77777777" w:rsidR="002B5BFD" w:rsidRPr="002B5BFD" w:rsidRDefault="002B5BFD" w:rsidP="002B5BFD">
            <w:pPr>
              <w:spacing w:after="30"/>
              <w:ind w:left="45"/>
              <w:contextualSpacing/>
              <w:rPr>
                <w:rFonts w:ascii="Arial" w:hAnsi="Arial" w:cs="Arial"/>
                <w:b w:val="0"/>
                <w:bCs w:val="0"/>
                <w:color w:val="010302"/>
                <w:sz w:val="22"/>
                <w:szCs w:val="22"/>
              </w:rPr>
            </w:pPr>
            <w:r>
              <w:rPr>
                <w:rFonts w:ascii="Arial" w:hAnsi="Arial"/>
                <w:color w:val="010302"/>
                <w:sz w:val="22"/>
              </w:rPr>
              <w:t>1</w:t>
            </w:r>
            <w:r>
              <w:rPr>
                <w:rFonts w:ascii="Arial" w:hAnsi="Arial"/>
                <w:color w:val="010302"/>
                <w:sz w:val="22"/>
                <w:vertAlign w:val="superscript"/>
              </w:rPr>
              <w:t>st</w:t>
            </w:r>
            <w:r>
              <w:rPr>
                <w:rFonts w:ascii="Arial" w:hAnsi="Arial"/>
                <w:color w:val="010302"/>
                <w:sz w:val="22"/>
              </w:rPr>
              <w:t xml:space="preserve"> band percentage</w:t>
            </w:r>
          </w:p>
          <w:p w14:paraId="64F6C738" w14:textId="77777777" w:rsidR="002B5BFD" w:rsidRPr="002B5BFD" w:rsidRDefault="002B5BFD" w:rsidP="002B5BFD">
            <w:pPr>
              <w:spacing w:after="30"/>
              <w:ind w:left="45"/>
              <w:contextualSpacing/>
              <w:rPr>
                <w:rFonts w:ascii="Arial" w:hAnsi="Arial" w:cs="Arial"/>
                <w:b w:val="0"/>
                <w:bCs w:val="0"/>
                <w:color w:val="010302"/>
                <w:sz w:val="22"/>
                <w:szCs w:val="22"/>
              </w:rPr>
            </w:pPr>
            <w:r>
              <w:rPr>
                <w:rFonts w:ascii="Arial" w:hAnsi="Arial"/>
                <w:color w:val="010302"/>
                <w:sz w:val="22"/>
              </w:rPr>
              <w:t>maximum in 1</w:t>
            </w:r>
            <w:r>
              <w:rPr>
                <w:rFonts w:ascii="Arial" w:hAnsi="Arial"/>
                <w:color w:val="010302"/>
                <w:sz w:val="22"/>
                <w:vertAlign w:val="superscript"/>
              </w:rPr>
              <w:t>st</w:t>
            </w:r>
            <w:r>
              <w:rPr>
                <w:rFonts w:ascii="Arial" w:hAnsi="Arial"/>
                <w:color w:val="010302"/>
                <w:sz w:val="22"/>
              </w:rPr>
              <w:t xml:space="preserve"> band</w:t>
            </w:r>
          </w:p>
          <w:p w14:paraId="0DB467D0" w14:textId="77777777" w:rsidR="002B5BFD" w:rsidRPr="002B5BFD" w:rsidRDefault="002B5BFD" w:rsidP="002B5BFD">
            <w:pPr>
              <w:spacing w:after="30"/>
              <w:ind w:left="45"/>
              <w:contextualSpacing/>
              <w:rPr>
                <w:rFonts w:ascii="Arial" w:hAnsi="Arial" w:cs="Arial"/>
                <w:b w:val="0"/>
                <w:bCs w:val="0"/>
                <w:color w:val="010302"/>
                <w:sz w:val="22"/>
                <w:szCs w:val="22"/>
              </w:rPr>
            </w:pPr>
          </w:p>
          <w:p w14:paraId="5CFF44CB" w14:textId="77777777" w:rsidR="002B5BFD" w:rsidRPr="002B5BFD" w:rsidRDefault="002B5BFD" w:rsidP="002B5BFD">
            <w:pPr>
              <w:spacing w:after="30"/>
              <w:ind w:left="45"/>
              <w:contextualSpacing/>
              <w:rPr>
                <w:rFonts w:ascii="Arial" w:hAnsi="Arial" w:cs="Arial"/>
                <w:b w:val="0"/>
                <w:bCs w:val="0"/>
                <w:color w:val="010302"/>
                <w:sz w:val="22"/>
                <w:szCs w:val="22"/>
              </w:rPr>
            </w:pPr>
            <w:r>
              <w:rPr>
                <w:rFonts w:ascii="Arial" w:hAnsi="Arial"/>
                <w:color w:val="010302"/>
                <w:sz w:val="22"/>
              </w:rPr>
              <w:t>2</w:t>
            </w:r>
            <w:r>
              <w:rPr>
                <w:rFonts w:ascii="Arial" w:hAnsi="Arial"/>
                <w:color w:val="010302"/>
                <w:sz w:val="22"/>
                <w:vertAlign w:val="superscript"/>
              </w:rPr>
              <w:t>nd</w:t>
            </w:r>
            <w:r>
              <w:rPr>
                <w:rFonts w:ascii="Arial" w:hAnsi="Arial"/>
                <w:color w:val="010302"/>
                <w:sz w:val="22"/>
              </w:rPr>
              <w:t xml:space="preserve"> band percentage</w:t>
            </w:r>
          </w:p>
          <w:p w14:paraId="47FEFC5B" w14:textId="77777777" w:rsidR="002B5BFD" w:rsidRPr="002B5BFD" w:rsidRDefault="002B5BFD" w:rsidP="002B5BFD">
            <w:pPr>
              <w:spacing w:after="30"/>
              <w:ind w:left="45"/>
              <w:contextualSpacing/>
              <w:rPr>
                <w:rFonts w:ascii="Arial" w:hAnsi="Arial" w:cs="Arial"/>
                <w:b w:val="0"/>
                <w:bCs w:val="0"/>
                <w:color w:val="010302"/>
                <w:sz w:val="22"/>
                <w:szCs w:val="22"/>
              </w:rPr>
            </w:pPr>
            <w:r>
              <w:rPr>
                <w:rFonts w:ascii="Arial" w:hAnsi="Arial"/>
                <w:color w:val="010302"/>
                <w:sz w:val="22"/>
              </w:rPr>
              <w:t>maximum in 2</w:t>
            </w:r>
            <w:r>
              <w:rPr>
                <w:rFonts w:ascii="Arial" w:hAnsi="Arial"/>
                <w:color w:val="010302"/>
                <w:sz w:val="22"/>
                <w:vertAlign w:val="superscript"/>
              </w:rPr>
              <w:t>nd</w:t>
            </w:r>
            <w:r>
              <w:rPr>
                <w:rFonts w:ascii="Arial" w:hAnsi="Arial"/>
                <w:color w:val="010302"/>
                <w:sz w:val="22"/>
              </w:rPr>
              <w:t xml:space="preserve"> band</w:t>
            </w:r>
          </w:p>
          <w:p w14:paraId="1C241C62" w14:textId="77777777" w:rsidR="002B5BFD" w:rsidRPr="002B5BFD" w:rsidRDefault="002B5BFD" w:rsidP="002B5BFD">
            <w:pPr>
              <w:spacing w:after="30"/>
              <w:ind w:left="45"/>
              <w:contextualSpacing/>
              <w:rPr>
                <w:rFonts w:ascii="Arial" w:hAnsi="Arial" w:cs="Arial"/>
                <w:color w:val="010302"/>
                <w:sz w:val="22"/>
                <w:szCs w:val="22"/>
              </w:rPr>
            </w:pPr>
          </w:p>
          <w:p w14:paraId="30618F9A" w14:textId="77777777" w:rsidR="002B5BFD" w:rsidRPr="002B5BFD" w:rsidRDefault="002B5BFD" w:rsidP="002B5BFD">
            <w:pPr>
              <w:spacing w:after="30"/>
              <w:ind w:left="45"/>
              <w:contextualSpacing/>
              <w:rPr>
                <w:rFonts w:ascii="Arial" w:hAnsi="Arial" w:cs="Arial"/>
                <w:b w:val="0"/>
                <w:bCs w:val="0"/>
                <w:color w:val="010302"/>
                <w:sz w:val="22"/>
                <w:szCs w:val="22"/>
              </w:rPr>
            </w:pPr>
          </w:p>
          <w:p w14:paraId="29CEE309" w14:textId="77777777" w:rsidR="002B5BFD" w:rsidRPr="002B5BFD" w:rsidRDefault="002B5BFD" w:rsidP="002B5BFD">
            <w:pPr>
              <w:spacing w:after="30"/>
              <w:ind w:left="45"/>
              <w:contextualSpacing/>
              <w:rPr>
                <w:rFonts w:ascii="Arial" w:hAnsi="Arial" w:cs="Arial"/>
                <w:b w:val="0"/>
                <w:bCs w:val="0"/>
                <w:color w:val="010302"/>
                <w:sz w:val="22"/>
                <w:szCs w:val="22"/>
              </w:rPr>
            </w:pPr>
            <w:r>
              <w:rPr>
                <w:rFonts w:ascii="Arial" w:hAnsi="Arial"/>
                <w:color w:val="010302"/>
                <w:sz w:val="22"/>
              </w:rPr>
              <w:t>3</w:t>
            </w:r>
            <w:r>
              <w:rPr>
                <w:rFonts w:ascii="Arial" w:hAnsi="Arial"/>
                <w:color w:val="010302"/>
                <w:sz w:val="22"/>
                <w:vertAlign w:val="superscript"/>
              </w:rPr>
              <w:t>rd</w:t>
            </w:r>
            <w:r>
              <w:rPr>
                <w:rFonts w:ascii="Arial" w:hAnsi="Arial"/>
                <w:color w:val="010302"/>
                <w:sz w:val="22"/>
              </w:rPr>
              <w:t xml:space="preserve"> band percentage</w:t>
            </w:r>
          </w:p>
          <w:p w14:paraId="00E88CD1" w14:textId="77777777" w:rsidR="002B5BFD" w:rsidRPr="002B5BFD" w:rsidRDefault="002B5BFD" w:rsidP="002B5BFD">
            <w:pPr>
              <w:spacing w:after="30"/>
              <w:ind w:left="45"/>
              <w:contextualSpacing/>
              <w:rPr>
                <w:rFonts w:ascii="Arial" w:hAnsi="Arial" w:cs="Arial"/>
                <w:b w:val="0"/>
                <w:bCs w:val="0"/>
                <w:color w:val="010302"/>
                <w:sz w:val="22"/>
                <w:szCs w:val="22"/>
              </w:rPr>
            </w:pPr>
            <w:r>
              <w:rPr>
                <w:rFonts w:ascii="Arial" w:hAnsi="Arial"/>
                <w:color w:val="010302"/>
                <w:sz w:val="22"/>
              </w:rPr>
              <w:t>maximum in 3</w:t>
            </w:r>
            <w:r>
              <w:rPr>
                <w:rFonts w:ascii="Arial" w:hAnsi="Arial"/>
                <w:color w:val="010302"/>
                <w:sz w:val="22"/>
                <w:vertAlign w:val="superscript"/>
              </w:rPr>
              <w:t>rd</w:t>
            </w:r>
            <w:r>
              <w:rPr>
                <w:rFonts w:ascii="Arial" w:hAnsi="Arial"/>
                <w:color w:val="010302"/>
                <w:sz w:val="22"/>
              </w:rPr>
              <w:t xml:space="preserve"> band</w:t>
            </w:r>
          </w:p>
          <w:p w14:paraId="1B23FA68" w14:textId="2845C8D5" w:rsidR="002B5BFD" w:rsidRPr="002B5BFD" w:rsidRDefault="002B5BFD" w:rsidP="0043389A">
            <w:pPr>
              <w:spacing w:after="30"/>
              <w:ind w:left="45"/>
              <w:contextualSpacing/>
              <w:rPr>
                <w:rFonts w:ascii="Arial" w:hAnsi="Arial" w:cs="Arial"/>
                <w:color w:val="010302"/>
                <w:sz w:val="22"/>
                <w:szCs w:val="22"/>
              </w:rPr>
            </w:pPr>
            <w:r>
              <w:rPr>
                <w:rFonts w:ascii="Arial" w:hAnsi="Arial"/>
                <w:color w:val="010302"/>
                <w:sz w:val="22"/>
              </w:rPr>
              <w:t>Total maximum employed person’s tax credit</w:t>
            </w:r>
          </w:p>
        </w:tc>
        <w:tc>
          <w:tcPr>
            <w:tcW w:w="1634" w:type="dxa"/>
          </w:tcPr>
          <w:p w14:paraId="0EE183AC" w14:textId="77777777" w:rsidR="002B5BFD" w:rsidRPr="002B5BFD" w:rsidRDefault="002B5BFD" w:rsidP="002B5BFD">
            <w:pPr>
              <w:spacing w:before="2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p>
          <w:p w14:paraId="7C8527CF" w14:textId="77777777" w:rsidR="002B5BFD" w:rsidRPr="002B5BFD" w:rsidRDefault="002B5BFD" w:rsidP="002B5BFD">
            <w:pPr>
              <w:spacing w:before="2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p>
          <w:p w14:paraId="124EA031" w14:textId="77777777" w:rsidR="00BD3C98" w:rsidRDefault="00BD3C98" w:rsidP="002B5BFD">
            <w:pPr>
              <w:spacing w:before="2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olor w:val="010302"/>
                <w:sz w:val="22"/>
              </w:rPr>
            </w:pPr>
          </w:p>
          <w:p w14:paraId="1B553799" w14:textId="44C9F1D0" w:rsidR="002B5BFD" w:rsidRPr="002B5BFD" w:rsidRDefault="002B5BFD" w:rsidP="002B5BFD">
            <w:pPr>
              <w:spacing w:before="2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Pr>
                <w:rFonts w:ascii="Arial" w:hAnsi="Arial"/>
                <w:color w:val="010302"/>
                <w:sz w:val="22"/>
              </w:rPr>
              <w:t>-</w:t>
            </w:r>
          </w:p>
          <w:p w14:paraId="2F42A4C0" w14:textId="3F92400B" w:rsidR="002B5BFD" w:rsidRPr="002B5BFD" w:rsidRDefault="002B5BFD" w:rsidP="002B5BFD">
            <w:pPr>
              <w:spacing w:before="2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Pr>
                <w:rFonts w:ascii="Arial" w:hAnsi="Arial"/>
                <w:color w:val="010302"/>
                <w:sz w:val="22"/>
              </w:rPr>
              <w:t>€ 498</w:t>
            </w:r>
          </w:p>
          <w:p w14:paraId="507122F8" w14:textId="77777777" w:rsidR="002B5BFD" w:rsidRPr="002B5BFD" w:rsidRDefault="002B5BFD" w:rsidP="002B5BFD">
            <w:pPr>
              <w:spacing w:before="2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p>
          <w:p w14:paraId="1F57576B" w14:textId="77777777" w:rsidR="002B5BFD" w:rsidRPr="002B5BFD" w:rsidRDefault="002B5BFD" w:rsidP="002B5BFD">
            <w:pPr>
              <w:spacing w:before="2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Pr>
                <w:rFonts w:ascii="Arial" w:hAnsi="Arial"/>
                <w:color w:val="010302"/>
                <w:sz w:val="22"/>
              </w:rPr>
              <w:t>-</w:t>
            </w:r>
          </w:p>
          <w:p w14:paraId="74C156BF" w14:textId="39456794" w:rsidR="002B5BFD" w:rsidRPr="002B5BFD" w:rsidRDefault="002B5BFD" w:rsidP="002B5BFD">
            <w:pPr>
              <w:spacing w:before="2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Pr>
                <w:rFonts w:ascii="Arial" w:hAnsi="Arial"/>
                <w:color w:val="010302"/>
                <w:sz w:val="22"/>
              </w:rPr>
              <w:t>€ 2,149</w:t>
            </w:r>
          </w:p>
          <w:p w14:paraId="3829C40A" w14:textId="77777777" w:rsidR="002B5BFD" w:rsidRPr="002B5BFD" w:rsidRDefault="002B5BFD" w:rsidP="002B5BFD">
            <w:pPr>
              <w:spacing w:before="2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p>
          <w:p w14:paraId="355287C7" w14:textId="77777777" w:rsidR="002B5BFD" w:rsidRPr="002B5BFD" w:rsidRDefault="002B5BFD" w:rsidP="002B5BFD">
            <w:pPr>
              <w:spacing w:before="2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p>
          <w:p w14:paraId="3A2FB675" w14:textId="77777777" w:rsidR="002B5BFD" w:rsidRPr="002B5BFD" w:rsidRDefault="002B5BFD" w:rsidP="002B5BFD">
            <w:pPr>
              <w:spacing w:before="2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Pr>
                <w:rFonts w:ascii="Arial" w:hAnsi="Arial"/>
                <w:color w:val="010302"/>
                <w:sz w:val="22"/>
              </w:rPr>
              <w:t>-</w:t>
            </w:r>
          </w:p>
          <w:p w14:paraId="53778630" w14:textId="36A370E2" w:rsidR="002B5BFD" w:rsidRPr="002B5BFD" w:rsidRDefault="002B5BFD" w:rsidP="002B5BFD">
            <w:pPr>
              <w:spacing w:before="2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Pr>
                <w:rFonts w:ascii="Arial" w:hAnsi="Arial"/>
                <w:color w:val="010302"/>
                <w:sz w:val="22"/>
              </w:rPr>
              <w:t>€ 193</w:t>
            </w:r>
          </w:p>
          <w:p w14:paraId="2B858D71" w14:textId="77777777" w:rsidR="002B5BFD" w:rsidRPr="002B5BFD" w:rsidRDefault="002B5BFD" w:rsidP="002B5BFD">
            <w:pPr>
              <w:spacing w:before="2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p>
          <w:p w14:paraId="1F453551" w14:textId="77777777" w:rsidR="00BD3C98" w:rsidRDefault="00BD3C98" w:rsidP="002B5BFD">
            <w:pPr>
              <w:spacing w:before="2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olor w:val="010302"/>
                <w:sz w:val="22"/>
              </w:rPr>
            </w:pPr>
          </w:p>
          <w:p w14:paraId="3D8FED23" w14:textId="26F1A49F" w:rsidR="002B5BFD" w:rsidRPr="002B5BFD" w:rsidRDefault="002B5BFD" w:rsidP="002B5BFD">
            <w:pPr>
              <w:spacing w:before="2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Pr>
                <w:rFonts w:ascii="Arial" w:hAnsi="Arial"/>
                <w:color w:val="010302"/>
                <w:sz w:val="22"/>
              </w:rPr>
              <w:t>€ 2,840</w:t>
            </w:r>
          </w:p>
        </w:tc>
        <w:tc>
          <w:tcPr>
            <w:tcW w:w="2293" w:type="dxa"/>
          </w:tcPr>
          <w:p w14:paraId="0836C92E" w14:textId="77777777" w:rsidR="002B5BFD" w:rsidRPr="002B5BFD" w:rsidRDefault="002B5BFD" w:rsidP="002B5BFD">
            <w:pPr>
              <w:spacing w:before="2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p>
          <w:p w14:paraId="38D09CE3" w14:textId="77777777" w:rsidR="002B5BFD" w:rsidRPr="002B5BFD" w:rsidRDefault="002B5BFD" w:rsidP="002B5BFD">
            <w:pPr>
              <w:spacing w:before="2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p>
          <w:p w14:paraId="3810A6A1" w14:textId="77777777" w:rsidR="00BD3C98" w:rsidRDefault="00BD3C98" w:rsidP="002B5BFD">
            <w:pPr>
              <w:spacing w:before="2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olor w:val="010302"/>
                <w:sz w:val="22"/>
              </w:rPr>
            </w:pPr>
          </w:p>
          <w:p w14:paraId="361F8CA1" w14:textId="6D64334B" w:rsidR="002B5BFD" w:rsidRPr="002B5BFD" w:rsidRDefault="002B5BFD" w:rsidP="002B5BFD">
            <w:pPr>
              <w:spacing w:before="2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Pr>
                <w:rFonts w:ascii="Arial" w:hAnsi="Arial"/>
                <w:color w:val="010302"/>
                <w:sz w:val="22"/>
              </w:rPr>
              <w:t>4.156%</w:t>
            </w:r>
          </w:p>
          <w:p w14:paraId="7362BFFF" w14:textId="77777777" w:rsidR="002B5BFD" w:rsidRPr="002B5BFD" w:rsidRDefault="002B5BFD" w:rsidP="002B5BFD">
            <w:pPr>
              <w:spacing w:before="2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Pr>
                <w:rFonts w:ascii="Arial" w:hAnsi="Arial"/>
                <w:color w:val="010302"/>
                <w:sz w:val="22"/>
              </w:rPr>
              <w:t>-</w:t>
            </w:r>
          </w:p>
          <w:p w14:paraId="155F956A" w14:textId="77777777" w:rsidR="002B5BFD" w:rsidRPr="002B5BFD" w:rsidRDefault="002B5BFD" w:rsidP="002B5BFD">
            <w:pPr>
              <w:spacing w:before="2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p>
          <w:p w14:paraId="0EF3AED2" w14:textId="06CD5BF8" w:rsidR="002B5BFD" w:rsidRPr="002B5BFD" w:rsidRDefault="002B5BFD" w:rsidP="002B5BFD">
            <w:pPr>
              <w:spacing w:before="2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Pr>
                <w:rFonts w:ascii="Arial" w:hAnsi="Arial"/>
                <w:color w:val="010302"/>
                <w:sz w:val="22"/>
              </w:rPr>
              <w:t>15.483%</w:t>
            </w:r>
          </w:p>
          <w:p w14:paraId="35866151" w14:textId="77777777" w:rsidR="002B5BFD" w:rsidRPr="002B5BFD" w:rsidRDefault="002B5BFD" w:rsidP="002B5BFD">
            <w:pPr>
              <w:spacing w:before="2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Pr>
                <w:rFonts w:ascii="Arial" w:hAnsi="Arial"/>
                <w:color w:val="010302"/>
                <w:sz w:val="22"/>
              </w:rPr>
              <w:t>-</w:t>
            </w:r>
          </w:p>
          <w:p w14:paraId="7F502EA6" w14:textId="77777777" w:rsidR="002B5BFD" w:rsidRPr="002B5BFD" w:rsidRDefault="002B5BFD" w:rsidP="002B5BFD">
            <w:pPr>
              <w:spacing w:before="2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p>
          <w:p w14:paraId="421A886C" w14:textId="77777777" w:rsidR="002B5BFD" w:rsidRPr="002B5BFD" w:rsidRDefault="002B5BFD" w:rsidP="002B5BFD">
            <w:pPr>
              <w:spacing w:before="2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p>
          <w:p w14:paraId="0EF0634A" w14:textId="3A00DFA7" w:rsidR="002B5BFD" w:rsidRPr="002B5BFD" w:rsidRDefault="0043389A" w:rsidP="002B5BFD">
            <w:pPr>
              <w:spacing w:before="2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Pr>
                <w:rFonts w:ascii="Arial" w:hAnsi="Arial"/>
                <w:color w:val="010302"/>
                <w:sz w:val="22"/>
              </w:rPr>
              <w:t>0.974%</w:t>
            </w:r>
          </w:p>
          <w:p w14:paraId="371DCF5F" w14:textId="77777777" w:rsidR="002B5BFD" w:rsidRPr="002B5BFD" w:rsidRDefault="002B5BFD" w:rsidP="002B5BFD">
            <w:pPr>
              <w:spacing w:before="2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Pr>
                <w:rFonts w:ascii="Arial" w:hAnsi="Arial"/>
                <w:color w:val="010302"/>
                <w:sz w:val="22"/>
              </w:rPr>
              <w:t>-</w:t>
            </w:r>
          </w:p>
          <w:p w14:paraId="3105A3AA" w14:textId="77777777" w:rsidR="002B5BFD" w:rsidRPr="002B5BFD" w:rsidRDefault="002B5BFD" w:rsidP="002B5BFD">
            <w:pPr>
              <w:spacing w:before="2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p>
          <w:p w14:paraId="536DEAB8" w14:textId="77777777" w:rsidR="00BD3C98" w:rsidRDefault="00BD3C98" w:rsidP="002B5BFD">
            <w:pPr>
              <w:spacing w:before="2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olor w:val="010302"/>
                <w:sz w:val="22"/>
              </w:rPr>
            </w:pPr>
          </w:p>
          <w:p w14:paraId="40647851" w14:textId="3D1B17D4" w:rsidR="002B5BFD" w:rsidRPr="002B5BFD" w:rsidRDefault="002B5BFD" w:rsidP="002B5BFD">
            <w:pPr>
              <w:spacing w:before="2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Pr>
                <w:rFonts w:ascii="Arial" w:hAnsi="Arial"/>
                <w:color w:val="010302"/>
                <w:sz w:val="22"/>
              </w:rPr>
              <w:t>-</w:t>
            </w:r>
          </w:p>
        </w:tc>
        <w:tc>
          <w:tcPr>
            <w:tcW w:w="4252" w:type="dxa"/>
          </w:tcPr>
          <w:p w14:paraId="696880CF" w14:textId="77777777" w:rsidR="002B5BFD" w:rsidRPr="002B5BFD" w:rsidRDefault="002B5BFD" w:rsidP="002B5BFD">
            <w:pPr>
              <w:ind w:left="60"/>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p>
          <w:p w14:paraId="692266AE" w14:textId="77777777" w:rsidR="002B5BFD" w:rsidRPr="002B5BFD" w:rsidRDefault="002B5BFD" w:rsidP="002B5BFD">
            <w:pPr>
              <w:ind w:left="60"/>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p>
          <w:p w14:paraId="655683E9" w14:textId="77777777" w:rsidR="00BD3C98" w:rsidRDefault="00BD3C98" w:rsidP="002B5BFD">
            <w:pPr>
              <w:ind w:left="60"/>
              <w:contextualSpacing/>
              <w:cnfStyle w:val="000000000000" w:firstRow="0" w:lastRow="0" w:firstColumn="0" w:lastColumn="0" w:oddVBand="0" w:evenVBand="0" w:oddHBand="0" w:evenHBand="0" w:firstRowFirstColumn="0" w:firstRowLastColumn="0" w:lastRowFirstColumn="0" w:lastRowLastColumn="0"/>
              <w:rPr>
                <w:rFonts w:ascii="Arial" w:hAnsi="Arial"/>
                <w:color w:val="010302"/>
                <w:sz w:val="22"/>
              </w:rPr>
            </w:pPr>
          </w:p>
          <w:p w14:paraId="67CA071C" w14:textId="06A43A20" w:rsidR="002B5BFD" w:rsidRPr="002B5BFD" w:rsidRDefault="002B5BFD" w:rsidP="002B5BFD">
            <w:pPr>
              <w:ind w:left="60"/>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Pr>
                <w:rFonts w:ascii="Arial" w:hAnsi="Arial"/>
                <w:color w:val="010302"/>
                <w:sz w:val="22"/>
              </w:rPr>
              <w:t xml:space="preserve">for salary from current </w:t>
            </w:r>
          </w:p>
          <w:p w14:paraId="4C7FBE93" w14:textId="420E29FB" w:rsidR="002B5BFD" w:rsidRPr="002B5BFD" w:rsidRDefault="002B5BFD" w:rsidP="002B5BFD">
            <w:pPr>
              <w:tabs>
                <w:tab w:val="left" w:pos="2732"/>
              </w:tabs>
              <w:ind w:left="60"/>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Pr>
                <w:rFonts w:ascii="Arial" w:hAnsi="Arial"/>
                <w:color w:val="010302"/>
                <w:sz w:val="22"/>
              </w:rPr>
              <w:t xml:space="preserve">employment up to             </w:t>
            </w:r>
            <w:r w:rsidR="00BD3C98">
              <w:rPr>
                <w:rFonts w:ascii="Arial" w:hAnsi="Arial"/>
                <w:color w:val="010302"/>
                <w:sz w:val="22"/>
              </w:rPr>
              <w:t xml:space="preserve">    </w:t>
            </w:r>
            <w:r>
              <w:rPr>
                <w:rFonts w:ascii="Arial" w:hAnsi="Arial"/>
                <w:color w:val="010302"/>
                <w:sz w:val="22"/>
              </w:rPr>
              <w:t xml:space="preserve">   € 11,965</w:t>
            </w:r>
          </w:p>
          <w:p w14:paraId="43F6BB80" w14:textId="77777777" w:rsidR="002B5BFD" w:rsidRPr="002B5BFD" w:rsidRDefault="002B5BFD" w:rsidP="002B5BFD">
            <w:pPr>
              <w:ind w:left="60"/>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p>
          <w:p w14:paraId="6B83F1B8" w14:textId="7AC5428A" w:rsidR="002B5BFD" w:rsidRPr="002B5BFD" w:rsidRDefault="002B5BFD" w:rsidP="002B5BFD">
            <w:pPr>
              <w:tabs>
                <w:tab w:val="left" w:pos="2590"/>
              </w:tabs>
              <w:ind w:left="60"/>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Pr>
                <w:rFonts w:ascii="Arial" w:hAnsi="Arial"/>
                <w:color w:val="010302"/>
                <w:sz w:val="22"/>
              </w:rPr>
              <w:t xml:space="preserve">for salary from current employment above       </w:t>
            </w:r>
            <w:r w:rsidR="00BD3C98">
              <w:rPr>
                <w:rFonts w:ascii="Arial" w:hAnsi="Arial"/>
                <w:color w:val="010302"/>
                <w:sz w:val="22"/>
              </w:rPr>
              <w:t xml:space="preserve">                           </w:t>
            </w:r>
            <w:r>
              <w:rPr>
                <w:rFonts w:ascii="Arial" w:hAnsi="Arial"/>
                <w:color w:val="010302"/>
                <w:sz w:val="22"/>
              </w:rPr>
              <w:t xml:space="preserve">     € 11,965</w:t>
            </w:r>
          </w:p>
          <w:p w14:paraId="3FDCFFFA" w14:textId="636D1878" w:rsidR="002B5BFD" w:rsidRPr="002B5BFD" w:rsidRDefault="002B5BFD" w:rsidP="002B5BFD">
            <w:pPr>
              <w:tabs>
                <w:tab w:val="left" w:pos="2732"/>
              </w:tabs>
              <w:ind w:left="60"/>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Pr>
                <w:rFonts w:ascii="Arial" w:hAnsi="Arial"/>
                <w:color w:val="010302"/>
                <w:sz w:val="22"/>
              </w:rPr>
              <w:t>up to                                         € 25,845</w:t>
            </w:r>
          </w:p>
          <w:p w14:paraId="025968F7" w14:textId="77777777" w:rsidR="002B5BFD" w:rsidRPr="002B5BFD" w:rsidRDefault="002B5BFD" w:rsidP="002B5BFD">
            <w:pPr>
              <w:tabs>
                <w:tab w:val="left" w:pos="2686"/>
              </w:tabs>
              <w:ind w:left="60"/>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p>
          <w:p w14:paraId="3B1C8EF1" w14:textId="68C9F610" w:rsidR="002B5BFD" w:rsidRPr="002B5BFD" w:rsidRDefault="002B5BFD" w:rsidP="002B5BFD">
            <w:pPr>
              <w:tabs>
                <w:tab w:val="left" w:pos="2686"/>
              </w:tabs>
              <w:ind w:left="60"/>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Pr>
                <w:rFonts w:ascii="Arial" w:hAnsi="Arial"/>
                <w:color w:val="010302"/>
                <w:sz w:val="22"/>
              </w:rPr>
              <w:t xml:space="preserve">for salary from current employment above </w:t>
            </w:r>
            <w:r w:rsidR="00BD3C98">
              <w:rPr>
                <w:rFonts w:ascii="Arial" w:hAnsi="Arial"/>
                <w:color w:val="010302"/>
                <w:sz w:val="22"/>
              </w:rPr>
              <w:t xml:space="preserve">                           </w:t>
            </w:r>
            <w:r>
              <w:rPr>
                <w:rFonts w:ascii="Arial" w:hAnsi="Arial"/>
                <w:color w:val="010302"/>
                <w:sz w:val="22"/>
              </w:rPr>
              <w:t xml:space="preserve">           € 25,845</w:t>
            </w:r>
          </w:p>
          <w:p w14:paraId="306C8288" w14:textId="77777777" w:rsidR="002B5BFD" w:rsidRPr="002B5BFD" w:rsidRDefault="002B5BFD" w:rsidP="002B5BFD">
            <w:pPr>
              <w:tabs>
                <w:tab w:val="left" w:pos="2732"/>
              </w:tabs>
              <w:ind w:left="60"/>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p>
          <w:p w14:paraId="3679DAE9" w14:textId="77777777" w:rsidR="00BD3C98" w:rsidRDefault="00BD3C98" w:rsidP="002B5BFD">
            <w:pPr>
              <w:tabs>
                <w:tab w:val="left" w:pos="2732"/>
              </w:tabs>
              <w:ind w:left="60"/>
              <w:contextualSpacing/>
              <w:cnfStyle w:val="000000000000" w:firstRow="0" w:lastRow="0" w:firstColumn="0" w:lastColumn="0" w:oddVBand="0" w:evenVBand="0" w:oddHBand="0" w:evenHBand="0" w:firstRowFirstColumn="0" w:firstRowLastColumn="0" w:lastRowFirstColumn="0" w:lastRowLastColumn="0"/>
              <w:rPr>
                <w:rFonts w:ascii="Arial" w:hAnsi="Arial"/>
                <w:color w:val="010302"/>
                <w:sz w:val="22"/>
              </w:rPr>
            </w:pPr>
          </w:p>
          <w:p w14:paraId="4DD86283" w14:textId="3AD2725B" w:rsidR="002B5BFD" w:rsidRPr="002B5BFD" w:rsidRDefault="002B5BFD" w:rsidP="002B5BFD">
            <w:pPr>
              <w:tabs>
                <w:tab w:val="left" w:pos="2732"/>
              </w:tabs>
              <w:ind w:left="60"/>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Pr>
                <w:rFonts w:ascii="Arial" w:hAnsi="Arial"/>
                <w:color w:val="010302"/>
                <w:sz w:val="22"/>
              </w:rPr>
              <w:t>applies from                              € 45,592</w:t>
            </w:r>
          </w:p>
        </w:tc>
      </w:tr>
      <w:tr w:rsidR="002B5BFD" w:rsidRPr="002B5BFD" w14:paraId="5A00A1D9" w14:textId="77777777" w:rsidTr="00BD3C98">
        <w:trPr>
          <w:cnfStyle w:val="000000100000" w:firstRow="0" w:lastRow="0" w:firstColumn="0" w:lastColumn="0" w:oddVBand="0" w:evenVBand="0" w:oddHBand="1" w:evenHBand="0" w:firstRowFirstColumn="0" w:firstRowLastColumn="0" w:lastRowFirstColumn="0" w:lastRowLastColumn="0"/>
          <w:trHeight w:hRule="exact" w:val="1691"/>
        </w:trPr>
        <w:tc>
          <w:tcPr>
            <w:cnfStyle w:val="001000000000" w:firstRow="0" w:lastRow="0" w:firstColumn="1" w:lastColumn="0" w:oddVBand="0" w:evenVBand="0" w:oddHBand="0" w:evenHBand="0" w:firstRowFirstColumn="0" w:firstRowLastColumn="0" w:lastRowFirstColumn="0" w:lastRowLastColumn="0"/>
            <w:tcW w:w="2938" w:type="dxa"/>
          </w:tcPr>
          <w:p w14:paraId="4795B5AC" w14:textId="77777777" w:rsidR="002B5BFD" w:rsidRPr="002B5BFD" w:rsidRDefault="002B5BFD" w:rsidP="002B5BFD">
            <w:pPr>
              <w:spacing w:before="469" w:after="30"/>
              <w:ind w:left="45" w:right="-18"/>
              <w:contextualSpacing/>
              <w:rPr>
                <w:rFonts w:ascii="Arial" w:hAnsi="Arial" w:cs="Arial"/>
                <w:b w:val="0"/>
                <w:bCs w:val="0"/>
                <w:color w:val="010302"/>
                <w:sz w:val="22"/>
                <w:szCs w:val="22"/>
              </w:rPr>
            </w:pPr>
            <w:r>
              <w:rPr>
                <w:rFonts w:ascii="Arial" w:hAnsi="Arial"/>
                <w:color w:val="010302"/>
                <w:sz w:val="22"/>
              </w:rPr>
              <w:t>Reduction in employed person’s tax credit for higher incomes</w:t>
            </w:r>
          </w:p>
          <w:p w14:paraId="7BFF2CB1" w14:textId="77777777" w:rsidR="0043389A" w:rsidRDefault="0043389A" w:rsidP="002B5BFD">
            <w:pPr>
              <w:spacing w:before="469" w:after="30"/>
              <w:ind w:right="-18"/>
              <w:contextualSpacing/>
              <w:rPr>
                <w:rFonts w:ascii="Arial" w:hAnsi="Arial" w:cs="Arial"/>
                <w:b w:val="0"/>
                <w:bCs w:val="0"/>
                <w:color w:val="010302"/>
                <w:sz w:val="22"/>
                <w:szCs w:val="22"/>
              </w:rPr>
            </w:pPr>
          </w:p>
          <w:p w14:paraId="4A5C74E7" w14:textId="77777777" w:rsidR="0043389A" w:rsidRDefault="0043389A" w:rsidP="002B5BFD">
            <w:pPr>
              <w:spacing w:before="469" w:after="30"/>
              <w:ind w:right="-18"/>
              <w:contextualSpacing/>
              <w:rPr>
                <w:rFonts w:ascii="Arial" w:hAnsi="Arial" w:cs="Arial"/>
                <w:b w:val="0"/>
                <w:bCs w:val="0"/>
                <w:color w:val="010302"/>
                <w:sz w:val="22"/>
                <w:szCs w:val="22"/>
              </w:rPr>
            </w:pPr>
          </w:p>
          <w:p w14:paraId="628739EE" w14:textId="236A917F" w:rsidR="002B5BFD" w:rsidRPr="002B5BFD" w:rsidRDefault="002B5BFD" w:rsidP="002B5BFD">
            <w:pPr>
              <w:spacing w:before="469" w:after="30"/>
              <w:ind w:right="-18"/>
              <w:contextualSpacing/>
              <w:rPr>
                <w:rFonts w:ascii="Arial" w:hAnsi="Arial" w:cs="Arial"/>
                <w:color w:val="010302"/>
                <w:sz w:val="22"/>
                <w:szCs w:val="22"/>
              </w:rPr>
            </w:pPr>
            <w:r>
              <w:rPr>
                <w:rFonts w:ascii="Arial" w:hAnsi="Arial"/>
                <w:color w:val="010302"/>
                <w:sz w:val="22"/>
              </w:rPr>
              <w:t>Maximum reduction</w:t>
            </w:r>
          </w:p>
        </w:tc>
        <w:tc>
          <w:tcPr>
            <w:tcW w:w="1634" w:type="dxa"/>
          </w:tcPr>
          <w:p w14:paraId="78C64E20" w14:textId="77777777" w:rsidR="002B5BFD" w:rsidRPr="002B5BFD" w:rsidRDefault="002B5BFD" w:rsidP="002B5BFD">
            <w:pPr>
              <w:spacing w:before="208" w:after="30"/>
              <w:ind w:left="60" w:right="-18"/>
              <w:contextualSpacing/>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p>
          <w:p w14:paraId="6AB02CB1" w14:textId="77777777" w:rsidR="002B5BFD" w:rsidRPr="002B5BFD" w:rsidRDefault="002B5BFD" w:rsidP="002B5BFD">
            <w:pPr>
              <w:spacing w:before="208" w:after="30"/>
              <w:ind w:left="60" w:right="-18"/>
              <w:contextualSpacing/>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p>
          <w:p w14:paraId="03AF60F0" w14:textId="77777777" w:rsidR="002B5BFD" w:rsidRPr="002B5BFD" w:rsidRDefault="002B5BFD" w:rsidP="002B5BFD">
            <w:pPr>
              <w:spacing w:before="208" w:after="30"/>
              <w:ind w:left="60" w:right="-18"/>
              <w:contextualSpacing/>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p>
          <w:p w14:paraId="0C9034FA" w14:textId="77777777" w:rsidR="00BD3C98" w:rsidRDefault="00BD3C98" w:rsidP="002B5BFD">
            <w:pPr>
              <w:spacing w:before="208" w:after="30"/>
              <w:ind w:left="60" w:right="-18"/>
              <w:contextualSpacing/>
              <w:jc w:val="right"/>
              <w:cnfStyle w:val="000000100000" w:firstRow="0" w:lastRow="0" w:firstColumn="0" w:lastColumn="0" w:oddVBand="0" w:evenVBand="0" w:oddHBand="1" w:evenHBand="0" w:firstRowFirstColumn="0" w:firstRowLastColumn="0" w:lastRowFirstColumn="0" w:lastRowLastColumn="0"/>
              <w:rPr>
                <w:rFonts w:ascii="Arial" w:hAnsi="Arial"/>
                <w:color w:val="010302"/>
                <w:sz w:val="22"/>
              </w:rPr>
            </w:pPr>
          </w:p>
          <w:p w14:paraId="0CC5DB52" w14:textId="77777777" w:rsidR="00BD3C98" w:rsidRDefault="00BD3C98" w:rsidP="002B5BFD">
            <w:pPr>
              <w:spacing w:before="208" w:after="30"/>
              <w:ind w:left="60" w:right="-18"/>
              <w:contextualSpacing/>
              <w:jc w:val="right"/>
              <w:cnfStyle w:val="000000100000" w:firstRow="0" w:lastRow="0" w:firstColumn="0" w:lastColumn="0" w:oddVBand="0" w:evenVBand="0" w:oddHBand="1" w:evenHBand="0" w:firstRowFirstColumn="0" w:firstRowLastColumn="0" w:lastRowFirstColumn="0" w:lastRowLastColumn="0"/>
              <w:rPr>
                <w:rFonts w:ascii="Arial" w:hAnsi="Arial"/>
                <w:color w:val="010302"/>
                <w:sz w:val="22"/>
              </w:rPr>
            </w:pPr>
          </w:p>
          <w:p w14:paraId="7A269A78" w14:textId="134D0502" w:rsidR="002B5BFD" w:rsidRPr="002B5BFD" w:rsidRDefault="002B5BFD" w:rsidP="002B5BFD">
            <w:pPr>
              <w:spacing w:before="208" w:after="30"/>
              <w:ind w:left="60" w:right="-18"/>
              <w:contextualSpacing/>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r>
              <w:rPr>
                <w:rFonts w:ascii="Arial" w:hAnsi="Arial"/>
                <w:color w:val="010302"/>
                <w:sz w:val="22"/>
              </w:rPr>
              <w:t>€ 2,840</w:t>
            </w:r>
          </w:p>
        </w:tc>
        <w:tc>
          <w:tcPr>
            <w:tcW w:w="2293" w:type="dxa"/>
          </w:tcPr>
          <w:p w14:paraId="3600F225" w14:textId="27CDDFE4" w:rsidR="002B5BFD" w:rsidRPr="002B5BFD" w:rsidRDefault="002B5BFD" w:rsidP="002B5BFD">
            <w:pPr>
              <w:spacing w:before="208" w:after="30"/>
              <w:ind w:left="60" w:right="-18"/>
              <w:contextualSpacing/>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r>
              <w:rPr>
                <w:rFonts w:ascii="Arial" w:hAnsi="Arial"/>
                <w:color w:val="010302"/>
                <w:sz w:val="22"/>
              </w:rPr>
              <w:t>3.250%</w:t>
            </w:r>
          </w:p>
        </w:tc>
        <w:tc>
          <w:tcPr>
            <w:tcW w:w="4252" w:type="dxa"/>
          </w:tcPr>
          <w:p w14:paraId="5D56355B" w14:textId="041E6F66" w:rsidR="002B5BFD" w:rsidRPr="002B5BFD" w:rsidRDefault="002B5BFD" w:rsidP="002B5BFD">
            <w:pPr>
              <w:tabs>
                <w:tab w:val="left" w:pos="2582"/>
              </w:tabs>
              <w:spacing w:before="8" w:after="30"/>
              <w:ind w:left="60" w:right="-18"/>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r>
              <w:rPr>
                <w:rFonts w:ascii="Arial" w:hAnsi="Arial"/>
                <w:color w:val="010302"/>
                <w:sz w:val="22"/>
              </w:rPr>
              <w:t xml:space="preserve">for salary from current employment above       </w:t>
            </w:r>
            <w:r w:rsidR="00BD3C98">
              <w:rPr>
                <w:rFonts w:ascii="Arial" w:hAnsi="Arial"/>
                <w:color w:val="010302"/>
                <w:sz w:val="22"/>
              </w:rPr>
              <w:t xml:space="preserve">                            </w:t>
            </w:r>
            <w:r>
              <w:rPr>
                <w:rFonts w:ascii="Arial" w:hAnsi="Arial"/>
                <w:color w:val="010302"/>
                <w:sz w:val="22"/>
              </w:rPr>
              <w:t xml:space="preserve">     € 45,592</w:t>
            </w:r>
          </w:p>
          <w:p w14:paraId="4F49BB93" w14:textId="77777777" w:rsidR="002B5BFD" w:rsidRPr="002B5BFD" w:rsidRDefault="002B5BFD" w:rsidP="002B5BFD">
            <w:pPr>
              <w:spacing w:before="8" w:after="30"/>
              <w:ind w:left="60" w:right="-18"/>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p>
          <w:p w14:paraId="298709F1" w14:textId="77777777" w:rsidR="00BD3C98" w:rsidRDefault="00BD3C98" w:rsidP="002B5BFD">
            <w:pPr>
              <w:spacing w:before="8" w:after="30"/>
              <w:ind w:left="60" w:right="-18"/>
              <w:contextualSpacing/>
              <w:cnfStyle w:val="000000100000" w:firstRow="0" w:lastRow="0" w:firstColumn="0" w:lastColumn="0" w:oddVBand="0" w:evenVBand="0" w:oddHBand="1" w:evenHBand="0" w:firstRowFirstColumn="0" w:firstRowLastColumn="0" w:lastRowFirstColumn="0" w:lastRowLastColumn="0"/>
              <w:rPr>
                <w:rFonts w:ascii="Arial" w:hAnsi="Arial"/>
                <w:color w:val="010302"/>
                <w:sz w:val="22"/>
              </w:rPr>
            </w:pPr>
          </w:p>
          <w:p w14:paraId="445198F7" w14:textId="77777777" w:rsidR="00BD3C98" w:rsidRDefault="00BD3C98" w:rsidP="002B5BFD">
            <w:pPr>
              <w:spacing w:before="8" w:after="30"/>
              <w:ind w:left="60" w:right="-18"/>
              <w:contextualSpacing/>
              <w:cnfStyle w:val="000000100000" w:firstRow="0" w:lastRow="0" w:firstColumn="0" w:lastColumn="0" w:oddVBand="0" w:evenVBand="0" w:oddHBand="1" w:evenHBand="0" w:firstRowFirstColumn="0" w:firstRowLastColumn="0" w:lastRowFirstColumn="0" w:lastRowLastColumn="0"/>
              <w:rPr>
                <w:rFonts w:ascii="Arial" w:hAnsi="Arial"/>
                <w:color w:val="010302"/>
                <w:sz w:val="22"/>
              </w:rPr>
            </w:pPr>
          </w:p>
          <w:p w14:paraId="5AADD63C" w14:textId="3C953CFD" w:rsidR="002B5BFD" w:rsidRPr="002B5BFD" w:rsidRDefault="002B5BFD" w:rsidP="002B5BFD">
            <w:pPr>
              <w:spacing w:before="8" w:after="30"/>
              <w:ind w:left="60" w:right="-18"/>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r>
              <w:rPr>
                <w:rFonts w:ascii="Arial" w:hAnsi="Arial"/>
                <w:color w:val="010302"/>
                <w:sz w:val="22"/>
              </w:rPr>
              <w:t>applies from                             € 132,920</w:t>
            </w:r>
          </w:p>
        </w:tc>
      </w:tr>
      <w:tr w:rsidR="002B5BFD" w:rsidRPr="002B5BFD" w14:paraId="4EB3AA87" w14:textId="77777777" w:rsidTr="002B5BFD">
        <w:trPr>
          <w:trHeight w:hRule="exact" w:val="545"/>
        </w:trPr>
        <w:tc>
          <w:tcPr>
            <w:cnfStyle w:val="001000000000" w:firstRow="0" w:lastRow="0" w:firstColumn="1" w:lastColumn="0" w:oddVBand="0" w:evenVBand="0" w:oddHBand="0" w:evenHBand="0" w:firstRowFirstColumn="0" w:firstRowLastColumn="0" w:lastRowFirstColumn="0" w:lastRowLastColumn="0"/>
            <w:tcW w:w="2938" w:type="dxa"/>
          </w:tcPr>
          <w:p w14:paraId="654DEACE" w14:textId="77777777" w:rsidR="002B5BFD" w:rsidRPr="002B5BFD" w:rsidRDefault="002B5BFD" w:rsidP="002B5BFD">
            <w:pPr>
              <w:spacing w:after="30"/>
              <w:ind w:left="45"/>
              <w:contextualSpacing/>
              <w:rPr>
                <w:rFonts w:ascii="Arial" w:hAnsi="Arial" w:cs="Arial"/>
                <w:color w:val="010302"/>
                <w:sz w:val="22"/>
                <w:szCs w:val="22"/>
              </w:rPr>
            </w:pPr>
            <w:r>
              <w:rPr>
                <w:rFonts w:ascii="Arial" w:hAnsi="Arial"/>
                <w:color w:val="010302"/>
                <w:sz w:val="22"/>
              </w:rPr>
              <w:t>Young disabled person’s tax credit</w:t>
            </w:r>
          </w:p>
        </w:tc>
        <w:tc>
          <w:tcPr>
            <w:tcW w:w="1634" w:type="dxa"/>
          </w:tcPr>
          <w:p w14:paraId="7935CD07" w14:textId="2012FA8F" w:rsidR="002B5BFD" w:rsidRPr="002B5BFD" w:rsidRDefault="002B5BFD" w:rsidP="002B5BFD">
            <w:pPr>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Pr>
                <w:rFonts w:ascii="Arial" w:hAnsi="Arial"/>
                <w:color w:val="000000" w:themeColor="text1"/>
                <w:sz w:val="22"/>
              </w:rPr>
              <w:t>€ 462</w:t>
            </w:r>
          </w:p>
        </w:tc>
        <w:tc>
          <w:tcPr>
            <w:tcW w:w="2293" w:type="dxa"/>
          </w:tcPr>
          <w:p w14:paraId="200790D6" w14:textId="77777777" w:rsidR="002B5BFD" w:rsidRPr="002B5BFD" w:rsidRDefault="002B5BFD" w:rsidP="002B5BFD">
            <w:pPr>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Pr>
                <w:rFonts w:ascii="Arial" w:hAnsi="Arial"/>
                <w:color w:val="000000" w:themeColor="text1"/>
                <w:sz w:val="22"/>
              </w:rPr>
              <w:t>-</w:t>
            </w:r>
          </w:p>
        </w:tc>
        <w:tc>
          <w:tcPr>
            <w:tcW w:w="4252" w:type="dxa"/>
          </w:tcPr>
          <w:p w14:paraId="5D4C2EFE" w14:textId="77777777" w:rsidR="002B5BFD" w:rsidRPr="002B5BFD" w:rsidRDefault="002B5BFD" w:rsidP="002B5BFD">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Pr>
                <w:rFonts w:ascii="Arial" w:hAnsi="Arial"/>
                <w:color w:val="000000" w:themeColor="text1"/>
                <w:sz w:val="22"/>
              </w:rPr>
              <w:t>-</w:t>
            </w:r>
          </w:p>
        </w:tc>
      </w:tr>
      <w:tr w:rsidR="002B5BFD" w:rsidRPr="002B5BFD" w14:paraId="2378CFDA" w14:textId="77777777" w:rsidTr="002B5BFD">
        <w:trPr>
          <w:cnfStyle w:val="000000100000" w:firstRow="0" w:lastRow="0" w:firstColumn="0" w:lastColumn="0" w:oddVBand="0" w:evenVBand="0" w:oddHBand="1" w:evenHBand="0" w:firstRowFirstColumn="0" w:firstRowLastColumn="0" w:lastRowFirstColumn="0" w:lastRowLastColumn="0"/>
          <w:trHeight w:hRule="exact" w:val="306"/>
        </w:trPr>
        <w:tc>
          <w:tcPr>
            <w:cnfStyle w:val="001000000000" w:firstRow="0" w:lastRow="0" w:firstColumn="1" w:lastColumn="0" w:oddVBand="0" w:evenVBand="0" w:oddHBand="0" w:evenHBand="0" w:firstRowFirstColumn="0" w:firstRowLastColumn="0" w:lastRowFirstColumn="0" w:lastRowLastColumn="0"/>
            <w:tcW w:w="2938" w:type="dxa"/>
          </w:tcPr>
          <w:p w14:paraId="5DA1D83B" w14:textId="77777777" w:rsidR="002B5BFD" w:rsidRPr="002B5BFD" w:rsidRDefault="002B5BFD" w:rsidP="002B5BFD">
            <w:pPr>
              <w:spacing w:before="28"/>
              <w:ind w:left="45" w:right="-18"/>
              <w:contextualSpacing/>
              <w:rPr>
                <w:rFonts w:ascii="Arial" w:hAnsi="Arial" w:cs="Arial"/>
                <w:color w:val="010302"/>
                <w:sz w:val="22"/>
                <w:szCs w:val="22"/>
              </w:rPr>
            </w:pPr>
            <w:r>
              <w:rPr>
                <w:rFonts w:ascii="Arial" w:hAnsi="Arial"/>
                <w:color w:val="010302"/>
                <w:sz w:val="22"/>
              </w:rPr>
              <w:t>Elderly person’s tax credit</w:t>
            </w:r>
          </w:p>
        </w:tc>
        <w:tc>
          <w:tcPr>
            <w:tcW w:w="1634" w:type="dxa"/>
          </w:tcPr>
          <w:p w14:paraId="24F12B73" w14:textId="1322F36E" w:rsidR="002B5BFD" w:rsidRPr="002B5BFD" w:rsidRDefault="002B5BFD" w:rsidP="002B5BFD">
            <w:pPr>
              <w:spacing w:before="28"/>
              <w:ind w:left="60" w:right="-18"/>
              <w:contextualSpacing/>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r>
              <w:rPr>
                <w:rFonts w:ascii="Arial" w:hAnsi="Arial"/>
                <w:color w:val="010302"/>
                <w:sz w:val="22"/>
              </w:rPr>
              <w:t>€ 2,067</w:t>
            </w:r>
          </w:p>
        </w:tc>
        <w:tc>
          <w:tcPr>
            <w:tcW w:w="2293" w:type="dxa"/>
          </w:tcPr>
          <w:p w14:paraId="531C905A" w14:textId="77777777" w:rsidR="002B5BFD" w:rsidRPr="002B5BFD" w:rsidRDefault="002B5BFD" w:rsidP="002B5BFD">
            <w:pPr>
              <w:spacing w:before="28"/>
              <w:ind w:left="60" w:right="-18"/>
              <w:contextualSpacing/>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r>
              <w:rPr>
                <w:rFonts w:ascii="Arial" w:hAnsi="Arial"/>
                <w:color w:val="010302"/>
                <w:sz w:val="22"/>
              </w:rPr>
              <w:t>-</w:t>
            </w:r>
          </w:p>
        </w:tc>
        <w:tc>
          <w:tcPr>
            <w:tcW w:w="4252" w:type="dxa"/>
          </w:tcPr>
          <w:p w14:paraId="09DAA1AB" w14:textId="346A4818" w:rsidR="002B5BFD" w:rsidRPr="002B5BFD" w:rsidRDefault="002B5BFD" w:rsidP="002B5BFD">
            <w:pPr>
              <w:tabs>
                <w:tab w:val="left" w:pos="2582"/>
              </w:tabs>
              <w:spacing w:before="28"/>
              <w:ind w:left="60" w:right="-18"/>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r>
              <w:rPr>
                <w:rFonts w:ascii="Arial" w:hAnsi="Arial"/>
                <w:color w:val="010302"/>
                <w:sz w:val="22"/>
              </w:rPr>
              <w:t>for salary up to                          € 46,002</w:t>
            </w:r>
          </w:p>
        </w:tc>
      </w:tr>
      <w:tr w:rsidR="002B5BFD" w:rsidRPr="002B5BFD" w14:paraId="2C036C1F" w14:textId="77777777" w:rsidTr="002B5BFD">
        <w:trPr>
          <w:trHeight w:hRule="exact" w:val="1602"/>
        </w:trPr>
        <w:tc>
          <w:tcPr>
            <w:cnfStyle w:val="001000000000" w:firstRow="0" w:lastRow="0" w:firstColumn="1" w:lastColumn="0" w:oddVBand="0" w:evenVBand="0" w:oddHBand="0" w:evenHBand="0" w:firstRowFirstColumn="0" w:firstRowLastColumn="0" w:lastRowFirstColumn="0" w:lastRowLastColumn="0"/>
            <w:tcW w:w="2938" w:type="dxa"/>
          </w:tcPr>
          <w:p w14:paraId="6CCA908B" w14:textId="77777777" w:rsidR="002B5BFD" w:rsidRPr="002B5BFD" w:rsidRDefault="002B5BFD" w:rsidP="002B5BFD">
            <w:pPr>
              <w:spacing w:after="30"/>
              <w:ind w:left="45" w:right="-18"/>
              <w:contextualSpacing/>
              <w:rPr>
                <w:rFonts w:ascii="Arial" w:hAnsi="Arial" w:cs="Arial"/>
                <w:b w:val="0"/>
                <w:bCs w:val="0"/>
                <w:color w:val="010302"/>
                <w:sz w:val="22"/>
                <w:szCs w:val="22"/>
              </w:rPr>
            </w:pPr>
            <w:r>
              <w:rPr>
                <w:rFonts w:ascii="Arial" w:hAnsi="Arial"/>
                <w:color w:val="010302"/>
                <w:sz w:val="22"/>
              </w:rPr>
              <w:t>Reduction in elderly person’s tax credit for higher incomes</w:t>
            </w:r>
          </w:p>
          <w:p w14:paraId="32182719" w14:textId="77777777" w:rsidR="002B5BFD" w:rsidRPr="002B5BFD" w:rsidRDefault="002B5BFD" w:rsidP="002B5BFD">
            <w:pPr>
              <w:spacing w:after="30"/>
              <w:ind w:left="45" w:right="-18"/>
              <w:contextualSpacing/>
              <w:rPr>
                <w:rFonts w:ascii="Arial" w:hAnsi="Arial" w:cs="Arial"/>
                <w:b w:val="0"/>
                <w:bCs w:val="0"/>
                <w:color w:val="010302"/>
                <w:sz w:val="22"/>
                <w:szCs w:val="22"/>
              </w:rPr>
            </w:pPr>
          </w:p>
          <w:p w14:paraId="63A0B4A2" w14:textId="77777777" w:rsidR="002B5BFD" w:rsidRPr="002B5BFD" w:rsidRDefault="002B5BFD" w:rsidP="002B5BFD">
            <w:pPr>
              <w:spacing w:after="30"/>
              <w:ind w:left="45" w:right="-18"/>
              <w:contextualSpacing/>
              <w:rPr>
                <w:rFonts w:ascii="Arial" w:hAnsi="Arial" w:cs="Arial"/>
                <w:color w:val="010302"/>
                <w:sz w:val="22"/>
                <w:szCs w:val="22"/>
              </w:rPr>
            </w:pPr>
            <w:r>
              <w:rPr>
                <w:rFonts w:ascii="Arial" w:hAnsi="Arial"/>
                <w:color w:val="010302"/>
                <w:sz w:val="22"/>
              </w:rPr>
              <w:t>Maximum reduction</w:t>
            </w:r>
          </w:p>
        </w:tc>
        <w:tc>
          <w:tcPr>
            <w:tcW w:w="1634" w:type="dxa"/>
          </w:tcPr>
          <w:p w14:paraId="273EA0CA" w14:textId="77777777" w:rsidR="002B5BFD" w:rsidRPr="002B5BFD" w:rsidRDefault="002B5BFD" w:rsidP="002B5BFD">
            <w:pPr>
              <w:spacing w:before="5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Pr>
                <w:rFonts w:ascii="Arial" w:hAnsi="Arial"/>
                <w:color w:val="010302"/>
                <w:sz w:val="22"/>
              </w:rPr>
              <w:t>-</w:t>
            </w:r>
          </w:p>
          <w:p w14:paraId="28AB3B7A" w14:textId="77777777" w:rsidR="002B5BFD" w:rsidRPr="002B5BFD" w:rsidRDefault="002B5BFD" w:rsidP="002B5BFD">
            <w:pPr>
              <w:spacing w:before="5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p>
          <w:p w14:paraId="40112F66" w14:textId="77777777" w:rsidR="00BD3C98" w:rsidRDefault="00BD3C98" w:rsidP="002B5BFD">
            <w:pPr>
              <w:spacing w:before="5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olor w:val="010302"/>
                <w:sz w:val="22"/>
              </w:rPr>
            </w:pPr>
          </w:p>
          <w:p w14:paraId="2D12217B" w14:textId="77777777" w:rsidR="00BD3C98" w:rsidRDefault="00BD3C98" w:rsidP="002B5BFD">
            <w:pPr>
              <w:spacing w:before="5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olor w:val="010302"/>
                <w:sz w:val="22"/>
              </w:rPr>
            </w:pPr>
          </w:p>
          <w:p w14:paraId="4C1585D8" w14:textId="6E5424BC" w:rsidR="002B5BFD" w:rsidRPr="002B5BFD" w:rsidRDefault="002B5BFD" w:rsidP="002B5BFD">
            <w:pPr>
              <w:spacing w:before="5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Pr>
                <w:rFonts w:ascii="Arial" w:hAnsi="Arial"/>
                <w:color w:val="010302"/>
                <w:sz w:val="22"/>
              </w:rPr>
              <w:t>€ 2,067</w:t>
            </w:r>
          </w:p>
        </w:tc>
        <w:tc>
          <w:tcPr>
            <w:tcW w:w="2293" w:type="dxa"/>
          </w:tcPr>
          <w:p w14:paraId="70BC9718" w14:textId="77777777" w:rsidR="002B5BFD" w:rsidRPr="002B5BFD" w:rsidRDefault="002B5BFD" w:rsidP="002B5BFD">
            <w:pPr>
              <w:spacing w:before="5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Pr>
                <w:rFonts w:ascii="Arial" w:hAnsi="Arial"/>
                <w:color w:val="010302"/>
                <w:sz w:val="22"/>
              </w:rPr>
              <w:t>15.00%</w:t>
            </w:r>
          </w:p>
          <w:p w14:paraId="0DFD5594" w14:textId="77777777" w:rsidR="002B5BFD" w:rsidRPr="002B5BFD" w:rsidRDefault="002B5BFD" w:rsidP="002B5BFD">
            <w:pPr>
              <w:spacing w:before="5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p>
          <w:p w14:paraId="7C6B5282" w14:textId="77777777" w:rsidR="00BD3C98" w:rsidRDefault="00BD3C98" w:rsidP="002B5BFD">
            <w:pPr>
              <w:spacing w:before="5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olor w:val="010302"/>
                <w:sz w:val="22"/>
              </w:rPr>
            </w:pPr>
          </w:p>
          <w:p w14:paraId="5F5E7CB6" w14:textId="77777777" w:rsidR="00BD3C98" w:rsidRDefault="00BD3C98" w:rsidP="002B5BFD">
            <w:pPr>
              <w:spacing w:before="5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olor w:val="010302"/>
                <w:sz w:val="22"/>
              </w:rPr>
            </w:pPr>
          </w:p>
          <w:p w14:paraId="4AC8CAEF" w14:textId="3C49340C" w:rsidR="002B5BFD" w:rsidRPr="002B5BFD" w:rsidRDefault="002B5BFD" w:rsidP="002B5BFD">
            <w:pPr>
              <w:spacing w:before="5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Pr>
                <w:rFonts w:ascii="Arial" w:hAnsi="Arial"/>
                <w:color w:val="010302"/>
                <w:sz w:val="22"/>
              </w:rPr>
              <w:t>-</w:t>
            </w:r>
          </w:p>
        </w:tc>
        <w:tc>
          <w:tcPr>
            <w:tcW w:w="4252" w:type="dxa"/>
          </w:tcPr>
          <w:p w14:paraId="141E0732" w14:textId="74FD934A" w:rsidR="002B5BFD" w:rsidRPr="002B5BFD" w:rsidRDefault="002B5BFD" w:rsidP="002B5BFD">
            <w:pPr>
              <w:spacing w:before="508"/>
              <w:ind w:left="60" w:right="-18"/>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Pr>
                <w:rFonts w:ascii="Arial" w:hAnsi="Arial"/>
                <w:color w:val="010302"/>
                <w:sz w:val="22"/>
              </w:rPr>
              <w:t xml:space="preserve">for salary above           </w:t>
            </w:r>
            <w:r w:rsidR="00BD3C98">
              <w:rPr>
                <w:rFonts w:ascii="Arial" w:hAnsi="Arial"/>
                <w:color w:val="010302"/>
                <w:sz w:val="22"/>
              </w:rPr>
              <w:t xml:space="preserve">   </w:t>
            </w:r>
            <w:r>
              <w:rPr>
                <w:rFonts w:ascii="Arial" w:hAnsi="Arial"/>
                <w:color w:val="010302"/>
                <w:sz w:val="22"/>
              </w:rPr>
              <w:t xml:space="preserve">          € 46,002</w:t>
            </w:r>
          </w:p>
          <w:p w14:paraId="5F06D0DE" w14:textId="77777777" w:rsidR="002B5BFD" w:rsidRPr="002B5BFD" w:rsidRDefault="002B5BFD" w:rsidP="002B5BFD">
            <w:pPr>
              <w:spacing w:before="508"/>
              <w:ind w:left="60" w:right="-18"/>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p>
          <w:p w14:paraId="14A1419A" w14:textId="77777777" w:rsidR="00BD3C98" w:rsidRDefault="00BD3C98" w:rsidP="002B5BFD">
            <w:pPr>
              <w:spacing w:before="508"/>
              <w:ind w:left="60" w:right="-18"/>
              <w:contextualSpacing/>
              <w:cnfStyle w:val="000000000000" w:firstRow="0" w:lastRow="0" w:firstColumn="0" w:lastColumn="0" w:oddVBand="0" w:evenVBand="0" w:oddHBand="0" w:evenHBand="0" w:firstRowFirstColumn="0" w:firstRowLastColumn="0" w:lastRowFirstColumn="0" w:lastRowLastColumn="0"/>
              <w:rPr>
                <w:rFonts w:ascii="Arial" w:hAnsi="Arial"/>
                <w:color w:val="010302"/>
                <w:sz w:val="22"/>
              </w:rPr>
            </w:pPr>
          </w:p>
          <w:p w14:paraId="04E638EB" w14:textId="77777777" w:rsidR="00BD3C98" w:rsidRDefault="00BD3C98" w:rsidP="002B5BFD">
            <w:pPr>
              <w:spacing w:before="508"/>
              <w:ind w:left="60" w:right="-18"/>
              <w:contextualSpacing/>
              <w:cnfStyle w:val="000000000000" w:firstRow="0" w:lastRow="0" w:firstColumn="0" w:lastColumn="0" w:oddVBand="0" w:evenVBand="0" w:oddHBand="0" w:evenHBand="0" w:firstRowFirstColumn="0" w:firstRowLastColumn="0" w:lastRowFirstColumn="0" w:lastRowLastColumn="0"/>
              <w:rPr>
                <w:rFonts w:ascii="Arial" w:hAnsi="Arial"/>
                <w:color w:val="010302"/>
                <w:sz w:val="22"/>
              </w:rPr>
            </w:pPr>
          </w:p>
          <w:p w14:paraId="2387CE56" w14:textId="095E621A" w:rsidR="002B5BFD" w:rsidRPr="002B5BFD" w:rsidRDefault="002B5BFD" w:rsidP="002B5BFD">
            <w:pPr>
              <w:spacing w:before="508"/>
              <w:ind w:left="60" w:right="-18"/>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Pr>
                <w:rFonts w:ascii="Arial" w:hAnsi="Arial"/>
                <w:color w:val="010302"/>
                <w:sz w:val="22"/>
              </w:rPr>
              <w:t>applies from                               € 59,782</w:t>
            </w:r>
          </w:p>
        </w:tc>
      </w:tr>
      <w:tr w:rsidR="002B5BFD" w:rsidRPr="002B5BFD" w14:paraId="7A3CA418" w14:textId="77777777" w:rsidTr="002B5BFD">
        <w:trPr>
          <w:cnfStyle w:val="000000100000" w:firstRow="0" w:lastRow="0" w:firstColumn="0" w:lastColumn="0" w:oddVBand="0" w:evenVBand="0" w:oddHBand="1" w:evenHBand="0" w:firstRowFirstColumn="0" w:firstRowLastColumn="0" w:lastRowFirstColumn="0" w:lastRowLastColumn="0"/>
          <w:trHeight w:hRule="exact" w:val="587"/>
        </w:trPr>
        <w:tc>
          <w:tcPr>
            <w:cnfStyle w:val="001000000000" w:firstRow="0" w:lastRow="0" w:firstColumn="1" w:lastColumn="0" w:oddVBand="0" w:evenVBand="0" w:oddHBand="0" w:evenHBand="0" w:firstRowFirstColumn="0" w:firstRowLastColumn="0" w:lastRowFirstColumn="0" w:lastRowLastColumn="0"/>
            <w:tcW w:w="2938" w:type="dxa"/>
          </w:tcPr>
          <w:p w14:paraId="1A57A18E" w14:textId="3A2754E4" w:rsidR="002B5BFD" w:rsidRPr="002B5BFD" w:rsidRDefault="002B5BFD" w:rsidP="002B5BFD">
            <w:pPr>
              <w:spacing w:after="30"/>
              <w:ind w:left="45"/>
              <w:contextualSpacing/>
              <w:rPr>
                <w:rFonts w:ascii="Arial" w:hAnsi="Arial" w:cs="Arial"/>
                <w:color w:val="010302"/>
                <w:sz w:val="22"/>
                <w:szCs w:val="22"/>
              </w:rPr>
            </w:pPr>
            <w:r>
              <w:rPr>
                <w:rFonts w:ascii="Arial" w:hAnsi="Arial"/>
                <w:color w:val="010302"/>
                <w:sz w:val="22"/>
              </w:rPr>
              <w:t>Single elderly person’s tax credit</w:t>
            </w:r>
          </w:p>
        </w:tc>
        <w:tc>
          <w:tcPr>
            <w:tcW w:w="1634" w:type="dxa"/>
          </w:tcPr>
          <w:p w14:paraId="2EDD7238" w14:textId="69502674" w:rsidR="002B5BFD" w:rsidRPr="002B5BFD" w:rsidRDefault="002B5BFD" w:rsidP="002B5BFD">
            <w:pPr>
              <w:contextualSpacing/>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Pr>
                <w:rFonts w:ascii="Arial" w:hAnsi="Arial"/>
                <w:color w:val="000000" w:themeColor="text1"/>
                <w:sz w:val="22"/>
              </w:rPr>
              <w:t>€ 540</w:t>
            </w:r>
          </w:p>
        </w:tc>
        <w:tc>
          <w:tcPr>
            <w:tcW w:w="2293" w:type="dxa"/>
          </w:tcPr>
          <w:p w14:paraId="00739993" w14:textId="77777777" w:rsidR="002B5BFD" w:rsidRPr="002B5BFD" w:rsidRDefault="002B5BFD" w:rsidP="002B5BFD">
            <w:pPr>
              <w:contextualSpacing/>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Pr>
                <w:rFonts w:ascii="Arial" w:hAnsi="Arial"/>
                <w:color w:val="000000" w:themeColor="text1"/>
                <w:sz w:val="22"/>
              </w:rPr>
              <w:t>-</w:t>
            </w:r>
          </w:p>
        </w:tc>
        <w:tc>
          <w:tcPr>
            <w:tcW w:w="4252" w:type="dxa"/>
          </w:tcPr>
          <w:p w14:paraId="6DD75DF6" w14:textId="77777777" w:rsidR="002B5BFD" w:rsidRPr="002B5BFD" w:rsidRDefault="002B5BFD" w:rsidP="002B5BFD">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Pr>
                <w:rFonts w:ascii="Arial" w:hAnsi="Arial"/>
                <w:color w:val="000000" w:themeColor="text1"/>
                <w:sz w:val="22"/>
              </w:rPr>
              <w:t>-</w:t>
            </w:r>
          </w:p>
        </w:tc>
      </w:tr>
    </w:tbl>
    <w:p w14:paraId="7B1B4AB1" w14:textId="77777777" w:rsidR="002B5BFD" w:rsidRDefault="002B5BFD" w:rsidP="00250681">
      <w:pPr>
        <w:rPr>
          <w:rFonts w:ascii="Arial" w:hAnsi="Arial" w:cs="Arial"/>
          <w:sz w:val="22"/>
          <w:szCs w:val="22"/>
        </w:rPr>
      </w:pPr>
    </w:p>
    <w:p w14:paraId="0B1E9621" w14:textId="2F7226EA" w:rsidR="002B5BFD" w:rsidRDefault="002B5BFD">
      <w:pPr>
        <w:rPr>
          <w:rFonts w:ascii="Arial" w:hAnsi="Arial" w:cs="Arial"/>
          <w:sz w:val="22"/>
          <w:szCs w:val="22"/>
        </w:rPr>
      </w:pPr>
      <w:r>
        <w:br w:type="page"/>
      </w:r>
    </w:p>
    <w:p w14:paraId="5F1DC658" w14:textId="2BA57152" w:rsidR="002B5BFD" w:rsidRPr="002B5BFD" w:rsidRDefault="002B5BFD" w:rsidP="002B5BFD">
      <w:pPr>
        <w:pStyle w:val="SRAKopje"/>
        <w:ind w:left="2124" w:hanging="2124"/>
        <w:rPr>
          <w:rFonts w:ascii="Arial" w:hAnsi="Arial" w:cs="Arial"/>
        </w:rPr>
      </w:pPr>
      <w:bookmarkStart w:id="131" w:name="_Toc155866666"/>
      <w:r>
        <w:rPr>
          <w:rFonts w:ascii="Arial" w:hAnsi="Arial"/>
        </w:rPr>
        <w:lastRenderedPageBreak/>
        <w:t>Table 3</w:t>
      </w:r>
      <w:r>
        <w:rPr>
          <w:rFonts w:ascii="Arial" w:hAnsi="Arial"/>
        </w:rPr>
        <w:tab/>
        <w:t>Minimum wage from 1 January 2026 (adjusted on 1 January and 1 July)</w:t>
      </w:r>
      <w:bookmarkEnd w:id="131"/>
    </w:p>
    <w:tbl>
      <w:tblPr>
        <w:tblStyle w:val="Rastertabel4-Accent3"/>
        <w:tblpPr w:vertAnchor="text" w:horzAnchor="margin" w:tblpY="375"/>
        <w:tblW w:w="9493" w:type="dxa"/>
        <w:tblLayout w:type="fixed"/>
        <w:tblLook w:val="04A0" w:firstRow="1" w:lastRow="0" w:firstColumn="1" w:lastColumn="0" w:noHBand="0" w:noVBand="1"/>
      </w:tblPr>
      <w:tblGrid>
        <w:gridCol w:w="2525"/>
        <w:gridCol w:w="1905"/>
        <w:gridCol w:w="5063"/>
      </w:tblGrid>
      <w:tr w:rsidR="002B5BFD" w:rsidRPr="00AC00D4" w14:paraId="4B19090A" w14:textId="77777777" w:rsidTr="00ED6EF9">
        <w:trPr>
          <w:cnfStyle w:val="100000000000" w:firstRow="1" w:lastRow="0" w:firstColumn="0" w:lastColumn="0" w:oddVBand="0" w:evenVBand="0" w:oddHBand="0" w:evenHBand="0" w:firstRowFirstColumn="0" w:firstRowLastColumn="0" w:lastRowFirstColumn="0" w:lastRowLastColumn="0"/>
          <w:trHeight w:hRule="exact" w:val="508"/>
        </w:trPr>
        <w:tc>
          <w:tcPr>
            <w:cnfStyle w:val="001000000000" w:firstRow="0" w:lastRow="0" w:firstColumn="1" w:lastColumn="0" w:oddVBand="0" w:evenVBand="0" w:oddHBand="0" w:evenHBand="0" w:firstRowFirstColumn="0" w:firstRowLastColumn="0" w:lastRowFirstColumn="0" w:lastRowLastColumn="0"/>
            <w:tcW w:w="2525" w:type="dxa"/>
          </w:tcPr>
          <w:p w14:paraId="144EFD21" w14:textId="77777777" w:rsidR="002B5BFD" w:rsidRPr="002B5BFD" w:rsidRDefault="002B5BFD" w:rsidP="00ED6EF9">
            <w:pPr>
              <w:rPr>
                <w:rFonts w:ascii="Arial" w:hAnsi="Arial" w:cs="Arial"/>
                <w:color w:val="000000" w:themeColor="text1"/>
                <w:sz w:val="22"/>
                <w:szCs w:val="22"/>
              </w:rPr>
            </w:pPr>
            <w:r>
              <w:rPr>
                <w:rFonts w:ascii="Arial" w:hAnsi="Arial"/>
                <w:color w:val="000000" w:themeColor="text1"/>
                <w:sz w:val="22"/>
              </w:rPr>
              <w:t>Age</w:t>
            </w:r>
          </w:p>
        </w:tc>
        <w:tc>
          <w:tcPr>
            <w:tcW w:w="1905" w:type="dxa"/>
          </w:tcPr>
          <w:p w14:paraId="3551A8B1" w14:textId="77777777" w:rsidR="002B5BFD" w:rsidRPr="002B5BFD" w:rsidRDefault="002B5BFD" w:rsidP="00ED6EF9">
            <w:pP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Pr>
                <w:rFonts w:ascii="Arial" w:hAnsi="Arial"/>
                <w:color w:val="000000" w:themeColor="text1"/>
                <w:sz w:val="22"/>
              </w:rPr>
              <w:t>Percentage</w:t>
            </w:r>
          </w:p>
        </w:tc>
        <w:tc>
          <w:tcPr>
            <w:tcW w:w="5063" w:type="dxa"/>
          </w:tcPr>
          <w:p w14:paraId="18C14FA4" w14:textId="049651DE" w:rsidR="002B5BFD" w:rsidRPr="002B5BFD" w:rsidRDefault="002B5BFD" w:rsidP="00ED6EF9">
            <w:pP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Pr>
                <w:rFonts w:ascii="Arial" w:hAnsi="Arial"/>
                <w:color w:val="000000" w:themeColor="text1"/>
                <w:sz w:val="22"/>
              </w:rPr>
              <w:t>Per hour (€)</w:t>
            </w:r>
          </w:p>
        </w:tc>
      </w:tr>
      <w:tr w:rsidR="002B5BFD" w:rsidRPr="00AC00D4" w14:paraId="42BC57ED" w14:textId="77777777" w:rsidTr="00306AA3">
        <w:trPr>
          <w:cnfStyle w:val="000000100000" w:firstRow="0" w:lastRow="0" w:firstColumn="0" w:lastColumn="0" w:oddVBand="0" w:evenVBand="0" w:oddHBand="1" w:evenHBand="0" w:firstRowFirstColumn="0" w:firstRowLastColumn="0" w:lastRowFirstColumn="0" w:lastRowLastColumn="0"/>
          <w:trHeight w:hRule="exact" w:val="358"/>
        </w:trPr>
        <w:tc>
          <w:tcPr>
            <w:cnfStyle w:val="001000000000" w:firstRow="0" w:lastRow="0" w:firstColumn="1" w:lastColumn="0" w:oddVBand="0" w:evenVBand="0" w:oddHBand="0" w:evenHBand="0" w:firstRowFirstColumn="0" w:firstRowLastColumn="0" w:lastRowFirstColumn="0" w:lastRowLastColumn="0"/>
            <w:tcW w:w="2525" w:type="dxa"/>
          </w:tcPr>
          <w:p w14:paraId="1A7CA2E5" w14:textId="77777777" w:rsidR="002B5BFD" w:rsidRPr="002B5BFD" w:rsidRDefault="002B5BFD" w:rsidP="00980FCA">
            <w:pPr>
              <w:spacing w:before="28"/>
              <w:ind w:left="45" w:right="-18"/>
              <w:rPr>
                <w:rFonts w:ascii="Arial" w:hAnsi="Arial" w:cs="Arial"/>
                <w:b w:val="0"/>
                <w:bCs w:val="0"/>
                <w:color w:val="010302"/>
                <w:sz w:val="22"/>
                <w:szCs w:val="22"/>
              </w:rPr>
            </w:pPr>
            <w:r>
              <w:rPr>
                <w:rFonts w:ascii="Arial" w:hAnsi="Arial"/>
                <w:b w:val="0"/>
                <w:color w:val="010302"/>
                <w:sz w:val="22"/>
              </w:rPr>
              <w:t>21 and above</w:t>
            </w:r>
          </w:p>
        </w:tc>
        <w:tc>
          <w:tcPr>
            <w:tcW w:w="1905" w:type="dxa"/>
          </w:tcPr>
          <w:p w14:paraId="3A81F200" w14:textId="77777777" w:rsidR="002B5BFD" w:rsidRPr="002B5BFD" w:rsidRDefault="002B5BFD" w:rsidP="00980FCA">
            <w:pPr>
              <w:spacing w:before="28"/>
              <w:ind w:left="60" w:right="-18"/>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r>
              <w:rPr>
                <w:rFonts w:ascii="Arial" w:hAnsi="Arial"/>
                <w:color w:val="010302"/>
                <w:sz w:val="22"/>
              </w:rPr>
              <w:t>100.00%</w:t>
            </w:r>
          </w:p>
        </w:tc>
        <w:tc>
          <w:tcPr>
            <w:tcW w:w="5063" w:type="dxa"/>
          </w:tcPr>
          <w:p w14:paraId="262DB66E" w14:textId="484ED3FA" w:rsidR="002B5BFD" w:rsidRPr="002B5BFD" w:rsidRDefault="002B5BFD" w:rsidP="00980FCA">
            <w:pPr>
              <w:spacing w:before="28"/>
              <w:ind w:left="60" w:right="-18"/>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r>
              <w:rPr>
                <w:rFonts w:ascii="Arial" w:hAnsi="Arial"/>
                <w:color w:val="010302"/>
                <w:sz w:val="22"/>
              </w:rPr>
              <w:t>€ 14.71</w:t>
            </w:r>
          </w:p>
        </w:tc>
      </w:tr>
      <w:tr w:rsidR="002B5BFD" w:rsidRPr="00AC00D4" w14:paraId="652D5ECB" w14:textId="77777777" w:rsidTr="002B5BFD">
        <w:trPr>
          <w:trHeight w:hRule="exact" w:val="420"/>
        </w:trPr>
        <w:tc>
          <w:tcPr>
            <w:cnfStyle w:val="001000000000" w:firstRow="0" w:lastRow="0" w:firstColumn="1" w:lastColumn="0" w:oddVBand="0" w:evenVBand="0" w:oddHBand="0" w:evenHBand="0" w:firstRowFirstColumn="0" w:firstRowLastColumn="0" w:lastRowFirstColumn="0" w:lastRowLastColumn="0"/>
            <w:tcW w:w="2525" w:type="dxa"/>
          </w:tcPr>
          <w:p w14:paraId="4E860141" w14:textId="77777777" w:rsidR="002B5BFD" w:rsidRPr="002B5BFD" w:rsidRDefault="002B5BFD" w:rsidP="00980FCA">
            <w:pPr>
              <w:spacing w:before="28"/>
              <w:ind w:left="45" w:right="-18"/>
              <w:rPr>
                <w:rFonts w:ascii="Arial" w:hAnsi="Arial" w:cs="Arial"/>
                <w:b w:val="0"/>
                <w:bCs w:val="0"/>
                <w:color w:val="010302"/>
                <w:sz w:val="22"/>
                <w:szCs w:val="22"/>
              </w:rPr>
            </w:pPr>
            <w:r>
              <w:rPr>
                <w:rFonts w:ascii="Arial" w:hAnsi="Arial"/>
                <w:b w:val="0"/>
                <w:color w:val="010302"/>
                <w:sz w:val="22"/>
              </w:rPr>
              <w:t>20</w:t>
            </w:r>
          </w:p>
        </w:tc>
        <w:tc>
          <w:tcPr>
            <w:tcW w:w="1905" w:type="dxa"/>
          </w:tcPr>
          <w:p w14:paraId="05EAF282" w14:textId="77777777" w:rsidR="002B5BFD" w:rsidRPr="002B5BFD" w:rsidRDefault="002B5BFD" w:rsidP="00980FCA">
            <w:pPr>
              <w:spacing w:before="28"/>
              <w:ind w:left="60" w:right="-18"/>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Pr>
                <w:rFonts w:ascii="Arial" w:hAnsi="Arial"/>
                <w:color w:val="010302"/>
                <w:sz w:val="22"/>
              </w:rPr>
              <w:t>80.00%</w:t>
            </w:r>
          </w:p>
        </w:tc>
        <w:tc>
          <w:tcPr>
            <w:tcW w:w="5063" w:type="dxa"/>
          </w:tcPr>
          <w:p w14:paraId="21661B2D" w14:textId="56C1998B" w:rsidR="002B5BFD" w:rsidRPr="002B5BFD" w:rsidRDefault="002B5BFD" w:rsidP="00980FCA">
            <w:pPr>
              <w:spacing w:before="28"/>
              <w:ind w:left="60" w:right="-18"/>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Pr>
                <w:rFonts w:ascii="Arial" w:hAnsi="Arial"/>
                <w:color w:val="010302"/>
                <w:sz w:val="22"/>
              </w:rPr>
              <w:t>€ 11.77</w:t>
            </w:r>
          </w:p>
        </w:tc>
      </w:tr>
      <w:tr w:rsidR="002B5BFD" w:rsidRPr="00AC00D4" w14:paraId="168BA390" w14:textId="77777777" w:rsidTr="002B5BFD">
        <w:trPr>
          <w:cnfStyle w:val="000000100000" w:firstRow="0" w:lastRow="0" w:firstColumn="0" w:lastColumn="0" w:oddVBand="0" w:evenVBand="0" w:oddHBand="1" w:evenHBand="0" w:firstRowFirstColumn="0" w:firstRowLastColumn="0" w:lastRowFirstColumn="0" w:lastRowLastColumn="0"/>
          <w:trHeight w:hRule="exact" w:val="427"/>
        </w:trPr>
        <w:tc>
          <w:tcPr>
            <w:cnfStyle w:val="001000000000" w:firstRow="0" w:lastRow="0" w:firstColumn="1" w:lastColumn="0" w:oddVBand="0" w:evenVBand="0" w:oddHBand="0" w:evenHBand="0" w:firstRowFirstColumn="0" w:firstRowLastColumn="0" w:lastRowFirstColumn="0" w:lastRowLastColumn="0"/>
            <w:tcW w:w="2525" w:type="dxa"/>
          </w:tcPr>
          <w:p w14:paraId="189A7C99" w14:textId="77777777" w:rsidR="002B5BFD" w:rsidRPr="002B5BFD" w:rsidRDefault="002B5BFD" w:rsidP="00980FCA">
            <w:pPr>
              <w:spacing w:before="28"/>
              <w:ind w:left="45" w:right="-18"/>
              <w:rPr>
                <w:rFonts w:ascii="Arial" w:hAnsi="Arial" w:cs="Arial"/>
                <w:b w:val="0"/>
                <w:bCs w:val="0"/>
                <w:color w:val="010302"/>
                <w:sz w:val="22"/>
                <w:szCs w:val="22"/>
              </w:rPr>
            </w:pPr>
            <w:r>
              <w:rPr>
                <w:rFonts w:ascii="Arial" w:hAnsi="Arial"/>
                <w:b w:val="0"/>
                <w:color w:val="010302"/>
                <w:sz w:val="22"/>
              </w:rPr>
              <w:t>19</w:t>
            </w:r>
          </w:p>
        </w:tc>
        <w:tc>
          <w:tcPr>
            <w:tcW w:w="1905" w:type="dxa"/>
          </w:tcPr>
          <w:p w14:paraId="79AAADCE" w14:textId="77777777" w:rsidR="002B5BFD" w:rsidRPr="002B5BFD" w:rsidRDefault="002B5BFD" w:rsidP="00980FCA">
            <w:pPr>
              <w:spacing w:before="28"/>
              <w:ind w:left="60" w:right="-18"/>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r>
              <w:rPr>
                <w:rFonts w:ascii="Arial" w:hAnsi="Arial"/>
                <w:color w:val="010302"/>
                <w:sz w:val="22"/>
              </w:rPr>
              <w:t>60.00%</w:t>
            </w:r>
          </w:p>
        </w:tc>
        <w:tc>
          <w:tcPr>
            <w:tcW w:w="5063" w:type="dxa"/>
          </w:tcPr>
          <w:p w14:paraId="23DAA8D4" w14:textId="5C2C491A" w:rsidR="002B5BFD" w:rsidRPr="002B5BFD" w:rsidRDefault="002B5BFD" w:rsidP="00980FCA">
            <w:pPr>
              <w:spacing w:before="28"/>
              <w:ind w:left="60" w:right="-18"/>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r>
              <w:rPr>
                <w:rFonts w:ascii="Arial" w:hAnsi="Arial"/>
                <w:color w:val="010302"/>
                <w:sz w:val="22"/>
              </w:rPr>
              <w:t>€ 8.83</w:t>
            </w:r>
          </w:p>
        </w:tc>
      </w:tr>
      <w:tr w:rsidR="002B5BFD" w:rsidRPr="00AC00D4" w14:paraId="65B4A041" w14:textId="77777777" w:rsidTr="002B5BFD">
        <w:trPr>
          <w:trHeight w:hRule="exact" w:val="432"/>
        </w:trPr>
        <w:tc>
          <w:tcPr>
            <w:cnfStyle w:val="001000000000" w:firstRow="0" w:lastRow="0" w:firstColumn="1" w:lastColumn="0" w:oddVBand="0" w:evenVBand="0" w:oddHBand="0" w:evenHBand="0" w:firstRowFirstColumn="0" w:firstRowLastColumn="0" w:lastRowFirstColumn="0" w:lastRowLastColumn="0"/>
            <w:tcW w:w="2525" w:type="dxa"/>
          </w:tcPr>
          <w:p w14:paraId="060E76ED" w14:textId="77777777" w:rsidR="002B5BFD" w:rsidRPr="002B5BFD" w:rsidRDefault="002B5BFD" w:rsidP="00980FCA">
            <w:pPr>
              <w:spacing w:before="28"/>
              <w:ind w:left="45" w:right="-18"/>
              <w:rPr>
                <w:rFonts w:ascii="Arial" w:hAnsi="Arial" w:cs="Arial"/>
                <w:b w:val="0"/>
                <w:bCs w:val="0"/>
                <w:color w:val="010302"/>
                <w:sz w:val="22"/>
                <w:szCs w:val="22"/>
              </w:rPr>
            </w:pPr>
            <w:r>
              <w:rPr>
                <w:rFonts w:ascii="Arial" w:hAnsi="Arial"/>
                <w:b w:val="0"/>
                <w:color w:val="010302"/>
                <w:sz w:val="22"/>
              </w:rPr>
              <w:t>18</w:t>
            </w:r>
          </w:p>
        </w:tc>
        <w:tc>
          <w:tcPr>
            <w:tcW w:w="1905" w:type="dxa"/>
          </w:tcPr>
          <w:p w14:paraId="73F50AA2" w14:textId="77777777" w:rsidR="002B5BFD" w:rsidRPr="002B5BFD" w:rsidRDefault="002B5BFD" w:rsidP="00980FCA">
            <w:pPr>
              <w:spacing w:before="28"/>
              <w:ind w:left="60" w:right="-18"/>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Pr>
                <w:rFonts w:ascii="Arial" w:hAnsi="Arial"/>
                <w:color w:val="010302"/>
                <w:sz w:val="22"/>
              </w:rPr>
              <w:t>50.00%</w:t>
            </w:r>
          </w:p>
        </w:tc>
        <w:tc>
          <w:tcPr>
            <w:tcW w:w="5063" w:type="dxa"/>
          </w:tcPr>
          <w:p w14:paraId="1AA5CCF5" w14:textId="29FD61F5" w:rsidR="002B5BFD" w:rsidRPr="002B5BFD" w:rsidRDefault="002B5BFD" w:rsidP="00980FCA">
            <w:pPr>
              <w:spacing w:before="28"/>
              <w:ind w:left="60" w:right="-18"/>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Pr>
                <w:rFonts w:ascii="Arial" w:hAnsi="Arial"/>
                <w:color w:val="010302"/>
                <w:sz w:val="22"/>
              </w:rPr>
              <w:t>€ 7.36</w:t>
            </w:r>
          </w:p>
        </w:tc>
      </w:tr>
      <w:tr w:rsidR="002B5BFD" w:rsidRPr="00AC00D4" w14:paraId="47D2FD0D" w14:textId="77777777" w:rsidTr="002B5BFD">
        <w:trPr>
          <w:cnfStyle w:val="000000100000" w:firstRow="0" w:lastRow="0" w:firstColumn="0" w:lastColumn="0" w:oddVBand="0" w:evenVBand="0" w:oddHBand="1" w:evenHBand="0" w:firstRowFirstColumn="0" w:firstRowLastColumn="0" w:lastRowFirstColumn="0" w:lastRowLastColumn="0"/>
          <w:trHeight w:hRule="exact" w:val="424"/>
        </w:trPr>
        <w:tc>
          <w:tcPr>
            <w:cnfStyle w:val="001000000000" w:firstRow="0" w:lastRow="0" w:firstColumn="1" w:lastColumn="0" w:oddVBand="0" w:evenVBand="0" w:oddHBand="0" w:evenHBand="0" w:firstRowFirstColumn="0" w:firstRowLastColumn="0" w:lastRowFirstColumn="0" w:lastRowLastColumn="0"/>
            <w:tcW w:w="2525" w:type="dxa"/>
          </w:tcPr>
          <w:p w14:paraId="5D74C1DE" w14:textId="77777777" w:rsidR="002B5BFD" w:rsidRPr="002B5BFD" w:rsidRDefault="002B5BFD" w:rsidP="00980FCA">
            <w:pPr>
              <w:spacing w:before="28"/>
              <w:ind w:left="45" w:right="-18"/>
              <w:rPr>
                <w:rFonts w:ascii="Arial" w:hAnsi="Arial" w:cs="Arial"/>
                <w:b w:val="0"/>
                <w:bCs w:val="0"/>
                <w:color w:val="010302"/>
                <w:sz w:val="22"/>
                <w:szCs w:val="22"/>
              </w:rPr>
            </w:pPr>
            <w:r>
              <w:rPr>
                <w:rFonts w:ascii="Arial" w:hAnsi="Arial"/>
                <w:b w:val="0"/>
                <w:color w:val="010302"/>
                <w:sz w:val="22"/>
              </w:rPr>
              <w:t>17</w:t>
            </w:r>
          </w:p>
        </w:tc>
        <w:tc>
          <w:tcPr>
            <w:tcW w:w="1905" w:type="dxa"/>
          </w:tcPr>
          <w:p w14:paraId="633E3CD6" w14:textId="77777777" w:rsidR="002B5BFD" w:rsidRPr="002B5BFD" w:rsidRDefault="002B5BFD" w:rsidP="00980FCA">
            <w:pPr>
              <w:spacing w:before="28"/>
              <w:ind w:left="60" w:right="-18"/>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r>
              <w:rPr>
                <w:rFonts w:ascii="Arial" w:hAnsi="Arial"/>
                <w:color w:val="010302"/>
                <w:sz w:val="22"/>
              </w:rPr>
              <w:t>39.50%</w:t>
            </w:r>
          </w:p>
        </w:tc>
        <w:tc>
          <w:tcPr>
            <w:tcW w:w="5063" w:type="dxa"/>
          </w:tcPr>
          <w:p w14:paraId="65B0B9C1" w14:textId="3D7BDBE5" w:rsidR="002B5BFD" w:rsidRPr="002B5BFD" w:rsidRDefault="002B5BFD" w:rsidP="00980FCA">
            <w:pPr>
              <w:spacing w:before="28"/>
              <w:ind w:left="60" w:right="-18"/>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r>
              <w:rPr>
                <w:rFonts w:ascii="Arial" w:hAnsi="Arial"/>
                <w:color w:val="010302"/>
                <w:sz w:val="22"/>
              </w:rPr>
              <w:t>€ 5.81</w:t>
            </w:r>
          </w:p>
        </w:tc>
      </w:tr>
      <w:tr w:rsidR="002B5BFD" w:rsidRPr="00AC00D4" w14:paraId="18A2EA3C" w14:textId="77777777" w:rsidTr="002B5BFD">
        <w:trPr>
          <w:trHeight w:hRule="exact" w:val="430"/>
        </w:trPr>
        <w:tc>
          <w:tcPr>
            <w:cnfStyle w:val="001000000000" w:firstRow="0" w:lastRow="0" w:firstColumn="1" w:lastColumn="0" w:oddVBand="0" w:evenVBand="0" w:oddHBand="0" w:evenHBand="0" w:firstRowFirstColumn="0" w:firstRowLastColumn="0" w:lastRowFirstColumn="0" w:lastRowLastColumn="0"/>
            <w:tcW w:w="2525" w:type="dxa"/>
          </w:tcPr>
          <w:p w14:paraId="0442B0B2" w14:textId="77777777" w:rsidR="002B5BFD" w:rsidRPr="002B5BFD" w:rsidRDefault="002B5BFD" w:rsidP="00980FCA">
            <w:pPr>
              <w:spacing w:before="28"/>
              <w:ind w:left="45" w:right="-18"/>
              <w:rPr>
                <w:rFonts w:ascii="Arial" w:hAnsi="Arial" w:cs="Arial"/>
                <w:b w:val="0"/>
                <w:bCs w:val="0"/>
                <w:color w:val="010302"/>
                <w:sz w:val="22"/>
                <w:szCs w:val="22"/>
              </w:rPr>
            </w:pPr>
            <w:r>
              <w:rPr>
                <w:rFonts w:ascii="Arial" w:hAnsi="Arial"/>
                <w:b w:val="0"/>
                <w:color w:val="010302"/>
                <w:sz w:val="22"/>
              </w:rPr>
              <w:t>16</w:t>
            </w:r>
          </w:p>
        </w:tc>
        <w:tc>
          <w:tcPr>
            <w:tcW w:w="1905" w:type="dxa"/>
          </w:tcPr>
          <w:p w14:paraId="0D814F65" w14:textId="77777777" w:rsidR="002B5BFD" w:rsidRPr="002B5BFD" w:rsidRDefault="002B5BFD" w:rsidP="00980FCA">
            <w:pPr>
              <w:spacing w:before="28"/>
              <w:ind w:left="60" w:right="-18"/>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Pr>
                <w:rFonts w:ascii="Arial" w:hAnsi="Arial"/>
                <w:color w:val="010302"/>
                <w:sz w:val="22"/>
              </w:rPr>
              <w:t>34.50%</w:t>
            </w:r>
          </w:p>
        </w:tc>
        <w:tc>
          <w:tcPr>
            <w:tcW w:w="5063" w:type="dxa"/>
          </w:tcPr>
          <w:p w14:paraId="34CF880B" w14:textId="1502734B" w:rsidR="002B5BFD" w:rsidRPr="002B5BFD" w:rsidRDefault="002B5BFD" w:rsidP="00980FCA">
            <w:pPr>
              <w:spacing w:before="28"/>
              <w:ind w:left="60" w:right="-18"/>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Pr>
                <w:rFonts w:ascii="Arial" w:hAnsi="Arial"/>
                <w:color w:val="010302"/>
                <w:sz w:val="22"/>
              </w:rPr>
              <w:t>€ 5.07</w:t>
            </w:r>
          </w:p>
        </w:tc>
      </w:tr>
      <w:tr w:rsidR="002B5BFD" w:rsidRPr="00AC00D4" w14:paraId="12759A38" w14:textId="77777777" w:rsidTr="002B5BFD">
        <w:trPr>
          <w:cnfStyle w:val="000000100000" w:firstRow="0" w:lastRow="0" w:firstColumn="0" w:lastColumn="0" w:oddVBand="0" w:evenVBand="0" w:oddHBand="1" w:evenHBand="0" w:firstRowFirstColumn="0" w:firstRowLastColumn="0" w:lastRowFirstColumn="0" w:lastRowLastColumn="0"/>
          <w:trHeight w:hRule="exact" w:val="423"/>
        </w:trPr>
        <w:tc>
          <w:tcPr>
            <w:cnfStyle w:val="001000000000" w:firstRow="0" w:lastRow="0" w:firstColumn="1" w:lastColumn="0" w:oddVBand="0" w:evenVBand="0" w:oddHBand="0" w:evenHBand="0" w:firstRowFirstColumn="0" w:firstRowLastColumn="0" w:lastRowFirstColumn="0" w:lastRowLastColumn="0"/>
            <w:tcW w:w="2525" w:type="dxa"/>
          </w:tcPr>
          <w:p w14:paraId="3D00CA47" w14:textId="77777777" w:rsidR="002B5BFD" w:rsidRPr="002B5BFD" w:rsidRDefault="002B5BFD" w:rsidP="00980FCA">
            <w:pPr>
              <w:spacing w:before="28"/>
              <w:ind w:left="45" w:right="-18"/>
              <w:rPr>
                <w:rFonts w:ascii="Arial" w:hAnsi="Arial" w:cs="Arial"/>
                <w:b w:val="0"/>
                <w:bCs w:val="0"/>
                <w:color w:val="010302"/>
                <w:sz w:val="22"/>
                <w:szCs w:val="22"/>
              </w:rPr>
            </w:pPr>
            <w:r>
              <w:rPr>
                <w:rFonts w:ascii="Arial" w:hAnsi="Arial"/>
                <w:b w:val="0"/>
                <w:color w:val="010302"/>
                <w:sz w:val="22"/>
              </w:rPr>
              <w:t>15</w:t>
            </w:r>
          </w:p>
        </w:tc>
        <w:tc>
          <w:tcPr>
            <w:tcW w:w="1905" w:type="dxa"/>
          </w:tcPr>
          <w:p w14:paraId="625CCE66" w14:textId="77777777" w:rsidR="002B5BFD" w:rsidRPr="002B5BFD" w:rsidRDefault="002B5BFD" w:rsidP="00980FCA">
            <w:pPr>
              <w:spacing w:before="28"/>
              <w:ind w:left="60" w:right="-18"/>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r>
              <w:rPr>
                <w:rFonts w:ascii="Arial" w:hAnsi="Arial"/>
                <w:color w:val="010302"/>
                <w:sz w:val="22"/>
              </w:rPr>
              <w:t>30.00%</w:t>
            </w:r>
          </w:p>
        </w:tc>
        <w:tc>
          <w:tcPr>
            <w:tcW w:w="5063" w:type="dxa"/>
          </w:tcPr>
          <w:p w14:paraId="1D66F945" w14:textId="1A0DB16E" w:rsidR="002B5BFD" w:rsidRPr="002B5BFD" w:rsidRDefault="002B5BFD" w:rsidP="00980FCA">
            <w:pPr>
              <w:spacing w:before="28"/>
              <w:ind w:left="60" w:right="-18"/>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r>
              <w:rPr>
                <w:rFonts w:ascii="Arial" w:hAnsi="Arial"/>
                <w:color w:val="010302"/>
                <w:sz w:val="22"/>
              </w:rPr>
              <w:t>€ 4.41</w:t>
            </w:r>
          </w:p>
        </w:tc>
      </w:tr>
    </w:tbl>
    <w:p w14:paraId="494BAEF2" w14:textId="77777777" w:rsidR="002B5BFD" w:rsidRDefault="002B5BFD" w:rsidP="00980FCA">
      <w:pPr>
        <w:rPr>
          <w:rFonts w:ascii="Arial" w:hAnsi="Arial" w:cs="Arial"/>
          <w:sz w:val="22"/>
          <w:szCs w:val="22"/>
        </w:rPr>
      </w:pPr>
    </w:p>
    <w:p w14:paraId="1BA0C48D" w14:textId="77777777" w:rsidR="00563825" w:rsidRDefault="00563825" w:rsidP="00250681">
      <w:pPr>
        <w:rPr>
          <w:rFonts w:ascii="Arial" w:hAnsi="Arial" w:cs="Arial"/>
          <w:sz w:val="22"/>
          <w:szCs w:val="22"/>
        </w:rPr>
      </w:pPr>
    </w:p>
    <w:p w14:paraId="5E2F5902" w14:textId="77777777" w:rsidR="006254DE" w:rsidRDefault="006254DE" w:rsidP="00250681">
      <w:pPr>
        <w:rPr>
          <w:rFonts w:ascii="Arial" w:hAnsi="Arial" w:cs="Arial"/>
          <w:sz w:val="22"/>
          <w:szCs w:val="22"/>
        </w:rPr>
      </w:pPr>
    </w:p>
    <w:p w14:paraId="7FCD7AE7" w14:textId="48E49C53" w:rsidR="00306AA3" w:rsidRPr="00306AA3" w:rsidRDefault="00306AA3" w:rsidP="00306AA3">
      <w:pPr>
        <w:pStyle w:val="SRAKopje"/>
        <w:ind w:left="2124" w:hanging="2124"/>
        <w:rPr>
          <w:rFonts w:ascii="Arial" w:hAnsi="Arial" w:cs="Arial"/>
        </w:rPr>
      </w:pPr>
      <w:bookmarkStart w:id="132" w:name="_Toc155866667"/>
      <w:r>
        <w:rPr>
          <w:rFonts w:ascii="Arial" w:hAnsi="Arial"/>
        </w:rPr>
        <w:t>Table 4</w:t>
      </w:r>
      <w:r>
        <w:rPr>
          <w:rFonts w:ascii="Arial" w:hAnsi="Arial"/>
        </w:rPr>
        <w:tab/>
        <w:t>Minimum wage for persons following work-based learning pathway (BBL) from 1 January 2026 (adjusted on 1 January and 1 July)</w:t>
      </w:r>
      <w:bookmarkEnd w:id="132"/>
    </w:p>
    <w:tbl>
      <w:tblPr>
        <w:tblStyle w:val="Rastertabel4-Accent3"/>
        <w:tblpPr w:vertAnchor="text" w:horzAnchor="margin" w:tblpY="284"/>
        <w:tblW w:w="9493" w:type="dxa"/>
        <w:tblLayout w:type="fixed"/>
        <w:tblLook w:val="04A0" w:firstRow="1" w:lastRow="0" w:firstColumn="1" w:lastColumn="0" w:noHBand="0" w:noVBand="1"/>
      </w:tblPr>
      <w:tblGrid>
        <w:gridCol w:w="2525"/>
        <w:gridCol w:w="1905"/>
        <w:gridCol w:w="5063"/>
      </w:tblGrid>
      <w:tr w:rsidR="00306AA3" w:rsidRPr="00306AA3" w14:paraId="47467D9C" w14:textId="77777777" w:rsidTr="00ED6EF9">
        <w:trPr>
          <w:cnfStyle w:val="100000000000" w:firstRow="1" w:lastRow="0" w:firstColumn="0" w:lastColumn="0" w:oddVBand="0" w:evenVBand="0" w:oddHBand="0" w:evenHBand="0" w:firstRowFirstColumn="0" w:firstRowLastColumn="0" w:lastRowFirstColumn="0" w:lastRowLastColumn="0"/>
          <w:trHeight w:hRule="exact" w:val="508"/>
        </w:trPr>
        <w:tc>
          <w:tcPr>
            <w:cnfStyle w:val="001000000000" w:firstRow="0" w:lastRow="0" w:firstColumn="1" w:lastColumn="0" w:oddVBand="0" w:evenVBand="0" w:oddHBand="0" w:evenHBand="0" w:firstRowFirstColumn="0" w:firstRowLastColumn="0" w:lastRowFirstColumn="0" w:lastRowLastColumn="0"/>
            <w:tcW w:w="2525" w:type="dxa"/>
          </w:tcPr>
          <w:p w14:paraId="08F0E077" w14:textId="77777777" w:rsidR="00306AA3" w:rsidRPr="00306AA3" w:rsidRDefault="00306AA3" w:rsidP="00ED6EF9">
            <w:pPr>
              <w:rPr>
                <w:rFonts w:ascii="Arial" w:hAnsi="Arial" w:cs="Arial"/>
                <w:color w:val="000000" w:themeColor="text1"/>
                <w:sz w:val="22"/>
                <w:szCs w:val="22"/>
              </w:rPr>
            </w:pPr>
            <w:r>
              <w:rPr>
                <w:rFonts w:ascii="Arial" w:hAnsi="Arial"/>
                <w:color w:val="000000" w:themeColor="text1"/>
                <w:sz w:val="22"/>
              </w:rPr>
              <w:t>Age</w:t>
            </w:r>
          </w:p>
        </w:tc>
        <w:tc>
          <w:tcPr>
            <w:tcW w:w="1905" w:type="dxa"/>
          </w:tcPr>
          <w:p w14:paraId="1BDFE21D" w14:textId="77777777" w:rsidR="00306AA3" w:rsidRPr="00306AA3" w:rsidRDefault="00306AA3" w:rsidP="00ED6EF9">
            <w:pP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Pr>
                <w:rFonts w:ascii="Arial" w:hAnsi="Arial"/>
                <w:color w:val="000000" w:themeColor="text1"/>
                <w:sz w:val="22"/>
              </w:rPr>
              <w:t>Percentage</w:t>
            </w:r>
          </w:p>
        </w:tc>
        <w:tc>
          <w:tcPr>
            <w:tcW w:w="5063" w:type="dxa"/>
          </w:tcPr>
          <w:p w14:paraId="76F244CE" w14:textId="177C1F3A" w:rsidR="00306AA3" w:rsidRPr="00306AA3" w:rsidRDefault="00306AA3" w:rsidP="00ED6EF9">
            <w:pP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Pr>
                <w:rFonts w:ascii="Arial" w:hAnsi="Arial"/>
                <w:color w:val="000000" w:themeColor="text1"/>
                <w:sz w:val="22"/>
              </w:rPr>
              <w:t>Per hour (€)</w:t>
            </w:r>
          </w:p>
        </w:tc>
      </w:tr>
      <w:tr w:rsidR="00306AA3" w:rsidRPr="00306AA3" w14:paraId="27F71489" w14:textId="77777777" w:rsidTr="00306AA3">
        <w:trPr>
          <w:cnfStyle w:val="000000100000" w:firstRow="0" w:lastRow="0" w:firstColumn="0" w:lastColumn="0" w:oddVBand="0" w:evenVBand="0" w:oddHBand="1" w:evenHBand="0" w:firstRowFirstColumn="0" w:firstRowLastColumn="0" w:lastRowFirstColumn="0" w:lastRowLastColumn="0"/>
          <w:trHeight w:hRule="exact" w:val="366"/>
        </w:trPr>
        <w:tc>
          <w:tcPr>
            <w:cnfStyle w:val="001000000000" w:firstRow="0" w:lastRow="0" w:firstColumn="1" w:lastColumn="0" w:oddVBand="0" w:evenVBand="0" w:oddHBand="0" w:evenHBand="0" w:firstRowFirstColumn="0" w:firstRowLastColumn="0" w:lastRowFirstColumn="0" w:lastRowLastColumn="0"/>
            <w:tcW w:w="2525" w:type="dxa"/>
          </w:tcPr>
          <w:p w14:paraId="764D9D5D" w14:textId="77777777" w:rsidR="00306AA3" w:rsidRPr="00306AA3" w:rsidRDefault="00306AA3" w:rsidP="00ED6EF9">
            <w:pPr>
              <w:spacing w:before="28"/>
              <w:ind w:left="45" w:right="-18"/>
              <w:rPr>
                <w:rFonts w:ascii="Arial" w:hAnsi="Arial" w:cs="Arial"/>
                <w:b w:val="0"/>
                <w:bCs w:val="0"/>
                <w:color w:val="010302"/>
                <w:sz w:val="22"/>
                <w:szCs w:val="22"/>
              </w:rPr>
            </w:pPr>
            <w:r>
              <w:rPr>
                <w:rFonts w:ascii="Arial" w:hAnsi="Arial"/>
                <w:b w:val="0"/>
                <w:color w:val="010302"/>
                <w:sz w:val="22"/>
              </w:rPr>
              <w:t>21 (BBL)</w:t>
            </w:r>
          </w:p>
        </w:tc>
        <w:tc>
          <w:tcPr>
            <w:tcW w:w="1905" w:type="dxa"/>
          </w:tcPr>
          <w:p w14:paraId="1A9AF4DE" w14:textId="77777777" w:rsidR="00306AA3" w:rsidRPr="00306AA3" w:rsidRDefault="00306AA3" w:rsidP="00ED6EF9">
            <w:pPr>
              <w:spacing w:before="28"/>
              <w:ind w:left="60" w:right="-18"/>
              <w:jc w:val="center"/>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r>
              <w:rPr>
                <w:rFonts w:ascii="Arial" w:hAnsi="Arial"/>
                <w:color w:val="010302"/>
                <w:sz w:val="22"/>
              </w:rPr>
              <w:t>100%</w:t>
            </w:r>
          </w:p>
        </w:tc>
        <w:tc>
          <w:tcPr>
            <w:tcW w:w="5063" w:type="dxa"/>
          </w:tcPr>
          <w:p w14:paraId="45B0BAB2" w14:textId="36EB9053" w:rsidR="00306AA3" w:rsidRPr="00306AA3" w:rsidRDefault="00306AA3" w:rsidP="00980FCA">
            <w:pPr>
              <w:spacing w:before="28"/>
              <w:ind w:left="60" w:right="-18"/>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r>
              <w:rPr>
                <w:rFonts w:ascii="Arial" w:hAnsi="Arial"/>
                <w:color w:val="010302"/>
                <w:sz w:val="22"/>
              </w:rPr>
              <w:t>€ 14.71</w:t>
            </w:r>
          </w:p>
        </w:tc>
      </w:tr>
      <w:tr w:rsidR="00306AA3" w:rsidRPr="00306AA3" w14:paraId="353EA075" w14:textId="77777777" w:rsidTr="00306AA3">
        <w:trPr>
          <w:trHeight w:hRule="exact" w:val="413"/>
        </w:trPr>
        <w:tc>
          <w:tcPr>
            <w:cnfStyle w:val="001000000000" w:firstRow="0" w:lastRow="0" w:firstColumn="1" w:lastColumn="0" w:oddVBand="0" w:evenVBand="0" w:oddHBand="0" w:evenHBand="0" w:firstRowFirstColumn="0" w:firstRowLastColumn="0" w:lastRowFirstColumn="0" w:lastRowLastColumn="0"/>
            <w:tcW w:w="2525" w:type="dxa"/>
          </w:tcPr>
          <w:p w14:paraId="4CDB8564" w14:textId="77777777" w:rsidR="00306AA3" w:rsidRPr="00306AA3" w:rsidRDefault="00306AA3" w:rsidP="00ED6EF9">
            <w:pPr>
              <w:spacing w:before="28"/>
              <w:ind w:left="45" w:right="-18"/>
              <w:rPr>
                <w:rFonts w:ascii="Arial" w:hAnsi="Arial" w:cs="Arial"/>
                <w:b w:val="0"/>
                <w:bCs w:val="0"/>
                <w:color w:val="010302"/>
                <w:sz w:val="22"/>
                <w:szCs w:val="22"/>
              </w:rPr>
            </w:pPr>
            <w:r>
              <w:rPr>
                <w:rFonts w:ascii="Arial" w:hAnsi="Arial"/>
                <w:b w:val="0"/>
                <w:color w:val="010302"/>
                <w:sz w:val="22"/>
              </w:rPr>
              <w:t>20 (BBL)</w:t>
            </w:r>
          </w:p>
        </w:tc>
        <w:tc>
          <w:tcPr>
            <w:tcW w:w="1905" w:type="dxa"/>
          </w:tcPr>
          <w:p w14:paraId="1C991AF5" w14:textId="77777777" w:rsidR="00306AA3" w:rsidRPr="00306AA3" w:rsidRDefault="00306AA3" w:rsidP="00ED6EF9">
            <w:pPr>
              <w:spacing w:before="28"/>
              <w:ind w:left="60" w:right="-18"/>
              <w:jc w:val="center"/>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Pr>
                <w:rFonts w:ascii="Arial" w:hAnsi="Arial"/>
                <w:color w:val="010302"/>
                <w:sz w:val="22"/>
              </w:rPr>
              <w:t>61.50%</w:t>
            </w:r>
          </w:p>
        </w:tc>
        <w:tc>
          <w:tcPr>
            <w:tcW w:w="5063" w:type="dxa"/>
          </w:tcPr>
          <w:p w14:paraId="38ABE360" w14:textId="2C62981C" w:rsidR="00306AA3" w:rsidRPr="00306AA3" w:rsidRDefault="00306AA3" w:rsidP="00980FCA">
            <w:pPr>
              <w:spacing w:before="28"/>
              <w:ind w:left="60" w:right="-18"/>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Pr>
                <w:rFonts w:ascii="Arial" w:hAnsi="Arial"/>
                <w:color w:val="010302"/>
                <w:sz w:val="22"/>
              </w:rPr>
              <w:t>€ 9.05</w:t>
            </w:r>
          </w:p>
        </w:tc>
      </w:tr>
      <w:tr w:rsidR="00306AA3" w:rsidRPr="00306AA3" w14:paraId="25BB7245" w14:textId="77777777" w:rsidTr="00306AA3">
        <w:trPr>
          <w:cnfStyle w:val="000000100000" w:firstRow="0" w:lastRow="0" w:firstColumn="0" w:lastColumn="0" w:oddVBand="0" w:evenVBand="0" w:oddHBand="1" w:evenHBand="0" w:firstRowFirstColumn="0" w:firstRowLastColumn="0" w:lastRowFirstColumn="0" w:lastRowLastColumn="0"/>
          <w:trHeight w:hRule="exact" w:val="420"/>
        </w:trPr>
        <w:tc>
          <w:tcPr>
            <w:cnfStyle w:val="001000000000" w:firstRow="0" w:lastRow="0" w:firstColumn="1" w:lastColumn="0" w:oddVBand="0" w:evenVBand="0" w:oddHBand="0" w:evenHBand="0" w:firstRowFirstColumn="0" w:firstRowLastColumn="0" w:lastRowFirstColumn="0" w:lastRowLastColumn="0"/>
            <w:tcW w:w="2525" w:type="dxa"/>
          </w:tcPr>
          <w:p w14:paraId="3E9E8664" w14:textId="77777777" w:rsidR="00306AA3" w:rsidRPr="00306AA3" w:rsidRDefault="00306AA3" w:rsidP="00ED6EF9">
            <w:pPr>
              <w:spacing w:before="28"/>
              <w:ind w:left="45" w:right="-18"/>
              <w:rPr>
                <w:rFonts w:ascii="Arial" w:hAnsi="Arial" w:cs="Arial"/>
                <w:b w:val="0"/>
                <w:bCs w:val="0"/>
                <w:color w:val="010302"/>
                <w:sz w:val="22"/>
                <w:szCs w:val="22"/>
              </w:rPr>
            </w:pPr>
            <w:r>
              <w:rPr>
                <w:rFonts w:ascii="Arial" w:hAnsi="Arial"/>
                <w:b w:val="0"/>
                <w:color w:val="010302"/>
                <w:sz w:val="22"/>
              </w:rPr>
              <w:t>19 (BBL)</w:t>
            </w:r>
          </w:p>
        </w:tc>
        <w:tc>
          <w:tcPr>
            <w:tcW w:w="1905" w:type="dxa"/>
          </w:tcPr>
          <w:p w14:paraId="629674A8" w14:textId="77777777" w:rsidR="00306AA3" w:rsidRPr="00306AA3" w:rsidRDefault="00306AA3" w:rsidP="00ED6EF9">
            <w:pPr>
              <w:spacing w:before="28"/>
              <w:ind w:left="60" w:right="-18"/>
              <w:jc w:val="center"/>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r>
              <w:rPr>
                <w:rFonts w:ascii="Arial" w:hAnsi="Arial"/>
                <w:color w:val="010302"/>
                <w:sz w:val="22"/>
              </w:rPr>
              <w:t>52.50%</w:t>
            </w:r>
          </w:p>
        </w:tc>
        <w:tc>
          <w:tcPr>
            <w:tcW w:w="5063" w:type="dxa"/>
          </w:tcPr>
          <w:p w14:paraId="41063210" w14:textId="5D724249" w:rsidR="00306AA3" w:rsidRPr="00306AA3" w:rsidRDefault="00306AA3" w:rsidP="00980FCA">
            <w:pPr>
              <w:spacing w:before="28"/>
              <w:ind w:left="60" w:right="-18"/>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r>
              <w:rPr>
                <w:rFonts w:ascii="Arial" w:hAnsi="Arial"/>
                <w:color w:val="010302"/>
                <w:sz w:val="22"/>
              </w:rPr>
              <w:t>€ 7.72</w:t>
            </w:r>
          </w:p>
        </w:tc>
      </w:tr>
      <w:tr w:rsidR="00306AA3" w:rsidRPr="00306AA3" w14:paraId="0078808D" w14:textId="77777777" w:rsidTr="00306AA3">
        <w:trPr>
          <w:trHeight w:hRule="exact" w:val="426"/>
        </w:trPr>
        <w:tc>
          <w:tcPr>
            <w:cnfStyle w:val="001000000000" w:firstRow="0" w:lastRow="0" w:firstColumn="1" w:lastColumn="0" w:oddVBand="0" w:evenVBand="0" w:oddHBand="0" w:evenHBand="0" w:firstRowFirstColumn="0" w:firstRowLastColumn="0" w:lastRowFirstColumn="0" w:lastRowLastColumn="0"/>
            <w:tcW w:w="2525" w:type="dxa"/>
          </w:tcPr>
          <w:p w14:paraId="231B8E78" w14:textId="77777777" w:rsidR="00306AA3" w:rsidRPr="00306AA3" w:rsidRDefault="00306AA3" w:rsidP="00ED6EF9">
            <w:pPr>
              <w:spacing w:before="28"/>
              <w:ind w:left="45" w:right="-18"/>
              <w:rPr>
                <w:rFonts w:ascii="Arial" w:hAnsi="Arial" w:cs="Arial"/>
                <w:b w:val="0"/>
                <w:bCs w:val="0"/>
                <w:color w:val="010302"/>
                <w:sz w:val="22"/>
                <w:szCs w:val="22"/>
              </w:rPr>
            </w:pPr>
            <w:r>
              <w:rPr>
                <w:rFonts w:ascii="Arial" w:hAnsi="Arial"/>
                <w:b w:val="0"/>
                <w:color w:val="010302"/>
                <w:sz w:val="22"/>
              </w:rPr>
              <w:t>18 (BBL)</w:t>
            </w:r>
          </w:p>
        </w:tc>
        <w:tc>
          <w:tcPr>
            <w:tcW w:w="1905" w:type="dxa"/>
          </w:tcPr>
          <w:p w14:paraId="73355D6B" w14:textId="77777777" w:rsidR="00306AA3" w:rsidRPr="00306AA3" w:rsidRDefault="00306AA3" w:rsidP="00ED6EF9">
            <w:pPr>
              <w:spacing w:before="28"/>
              <w:ind w:left="60" w:right="-18"/>
              <w:jc w:val="center"/>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Pr>
                <w:rFonts w:ascii="Arial" w:hAnsi="Arial"/>
                <w:color w:val="010302"/>
                <w:sz w:val="22"/>
              </w:rPr>
              <w:t>45.50%</w:t>
            </w:r>
          </w:p>
        </w:tc>
        <w:tc>
          <w:tcPr>
            <w:tcW w:w="5063" w:type="dxa"/>
          </w:tcPr>
          <w:p w14:paraId="614DCB2E" w14:textId="75ABA6BE" w:rsidR="00306AA3" w:rsidRPr="00306AA3" w:rsidRDefault="00306AA3" w:rsidP="00980FCA">
            <w:pPr>
              <w:spacing w:before="28"/>
              <w:ind w:left="60" w:right="-18"/>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Pr>
                <w:rFonts w:ascii="Arial" w:hAnsi="Arial"/>
                <w:color w:val="010302"/>
                <w:sz w:val="22"/>
              </w:rPr>
              <w:t>€ 6.69</w:t>
            </w:r>
          </w:p>
        </w:tc>
      </w:tr>
      <w:tr w:rsidR="00306AA3" w:rsidRPr="00306AA3" w14:paraId="38316CAF" w14:textId="77777777" w:rsidTr="00306AA3">
        <w:trPr>
          <w:cnfStyle w:val="000000100000" w:firstRow="0" w:lastRow="0" w:firstColumn="0" w:lastColumn="0" w:oddVBand="0" w:evenVBand="0" w:oddHBand="1" w:evenHBand="0" w:firstRowFirstColumn="0" w:firstRowLastColumn="0" w:lastRowFirstColumn="0" w:lastRowLastColumn="0"/>
          <w:trHeight w:hRule="exact" w:val="431"/>
        </w:trPr>
        <w:tc>
          <w:tcPr>
            <w:cnfStyle w:val="001000000000" w:firstRow="0" w:lastRow="0" w:firstColumn="1" w:lastColumn="0" w:oddVBand="0" w:evenVBand="0" w:oddHBand="0" w:evenHBand="0" w:firstRowFirstColumn="0" w:firstRowLastColumn="0" w:lastRowFirstColumn="0" w:lastRowLastColumn="0"/>
            <w:tcW w:w="2525" w:type="dxa"/>
          </w:tcPr>
          <w:p w14:paraId="29E856B9" w14:textId="77777777" w:rsidR="00306AA3" w:rsidRPr="00306AA3" w:rsidRDefault="00306AA3" w:rsidP="00ED6EF9">
            <w:pPr>
              <w:spacing w:before="28"/>
              <w:ind w:left="45" w:right="-18"/>
              <w:rPr>
                <w:rFonts w:ascii="Arial" w:hAnsi="Arial" w:cs="Arial"/>
                <w:color w:val="010302"/>
                <w:sz w:val="22"/>
                <w:szCs w:val="22"/>
              </w:rPr>
            </w:pPr>
            <w:r>
              <w:rPr>
                <w:rFonts w:ascii="Arial" w:hAnsi="Arial"/>
                <w:b w:val="0"/>
                <w:color w:val="010302"/>
                <w:sz w:val="22"/>
              </w:rPr>
              <w:t>17 (BBL)</w:t>
            </w:r>
          </w:p>
        </w:tc>
        <w:tc>
          <w:tcPr>
            <w:tcW w:w="1905" w:type="dxa"/>
          </w:tcPr>
          <w:p w14:paraId="5153C535" w14:textId="77777777" w:rsidR="00306AA3" w:rsidRPr="00306AA3" w:rsidRDefault="00306AA3" w:rsidP="00ED6EF9">
            <w:pPr>
              <w:spacing w:before="28"/>
              <w:ind w:left="60" w:right="-18"/>
              <w:jc w:val="center"/>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r>
              <w:rPr>
                <w:rFonts w:ascii="Arial" w:hAnsi="Arial"/>
                <w:color w:val="010302"/>
                <w:sz w:val="22"/>
              </w:rPr>
              <w:t>39.50%</w:t>
            </w:r>
          </w:p>
        </w:tc>
        <w:tc>
          <w:tcPr>
            <w:tcW w:w="5063" w:type="dxa"/>
          </w:tcPr>
          <w:p w14:paraId="15C16AF8" w14:textId="1567B0BD" w:rsidR="00306AA3" w:rsidRPr="00306AA3" w:rsidRDefault="00306AA3" w:rsidP="00980FCA">
            <w:pPr>
              <w:spacing w:before="28"/>
              <w:ind w:left="60" w:right="-18"/>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r>
              <w:rPr>
                <w:rFonts w:ascii="Arial" w:hAnsi="Arial"/>
                <w:color w:val="010302"/>
                <w:sz w:val="22"/>
              </w:rPr>
              <w:t>€ 5.81</w:t>
            </w:r>
          </w:p>
        </w:tc>
      </w:tr>
      <w:tr w:rsidR="00306AA3" w:rsidRPr="00306AA3" w14:paraId="514A4C8B" w14:textId="77777777" w:rsidTr="00306AA3">
        <w:trPr>
          <w:trHeight w:hRule="exact" w:val="423"/>
        </w:trPr>
        <w:tc>
          <w:tcPr>
            <w:cnfStyle w:val="001000000000" w:firstRow="0" w:lastRow="0" w:firstColumn="1" w:lastColumn="0" w:oddVBand="0" w:evenVBand="0" w:oddHBand="0" w:evenHBand="0" w:firstRowFirstColumn="0" w:firstRowLastColumn="0" w:lastRowFirstColumn="0" w:lastRowLastColumn="0"/>
            <w:tcW w:w="2525" w:type="dxa"/>
          </w:tcPr>
          <w:p w14:paraId="5B233F14" w14:textId="77777777" w:rsidR="00306AA3" w:rsidRPr="00306AA3" w:rsidRDefault="00306AA3" w:rsidP="00ED6EF9">
            <w:pPr>
              <w:spacing w:before="28"/>
              <w:ind w:left="45" w:right="-18"/>
              <w:rPr>
                <w:rFonts w:ascii="Arial" w:hAnsi="Arial" w:cs="Arial"/>
                <w:color w:val="010302"/>
                <w:sz w:val="22"/>
                <w:szCs w:val="22"/>
              </w:rPr>
            </w:pPr>
            <w:r>
              <w:rPr>
                <w:rFonts w:ascii="Arial" w:hAnsi="Arial"/>
                <w:b w:val="0"/>
                <w:color w:val="010302"/>
                <w:sz w:val="22"/>
              </w:rPr>
              <w:t>16 (BBL)</w:t>
            </w:r>
          </w:p>
        </w:tc>
        <w:tc>
          <w:tcPr>
            <w:tcW w:w="1905" w:type="dxa"/>
          </w:tcPr>
          <w:p w14:paraId="7237C35F" w14:textId="77777777" w:rsidR="00306AA3" w:rsidRPr="00306AA3" w:rsidRDefault="00306AA3" w:rsidP="00ED6EF9">
            <w:pPr>
              <w:spacing w:before="28"/>
              <w:ind w:left="60" w:right="-18"/>
              <w:jc w:val="center"/>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Pr>
                <w:rFonts w:ascii="Arial" w:hAnsi="Arial"/>
                <w:color w:val="010302"/>
                <w:sz w:val="22"/>
              </w:rPr>
              <w:t>34.50%</w:t>
            </w:r>
          </w:p>
        </w:tc>
        <w:tc>
          <w:tcPr>
            <w:tcW w:w="5063" w:type="dxa"/>
          </w:tcPr>
          <w:p w14:paraId="604EFCEF" w14:textId="3C3642E1" w:rsidR="00306AA3" w:rsidRPr="00306AA3" w:rsidRDefault="00306AA3" w:rsidP="00980FCA">
            <w:pPr>
              <w:spacing w:before="28"/>
              <w:ind w:left="60" w:right="-18"/>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Pr>
                <w:rFonts w:ascii="Arial" w:hAnsi="Arial"/>
                <w:color w:val="010302"/>
                <w:sz w:val="22"/>
              </w:rPr>
              <w:t>€ 5.07</w:t>
            </w:r>
          </w:p>
        </w:tc>
      </w:tr>
      <w:tr w:rsidR="00306AA3" w:rsidRPr="00306AA3" w14:paraId="039EFD3D" w14:textId="77777777" w:rsidTr="00306AA3">
        <w:trPr>
          <w:cnfStyle w:val="000000100000" w:firstRow="0" w:lastRow="0" w:firstColumn="0" w:lastColumn="0" w:oddVBand="0" w:evenVBand="0" w:oddHBand="1" w:evenHBand="0" w:firstRowFirstColumn="0" w:firstRowLastColumn="0" w:lastRowFirstColumn="0" w:lastRowLastColumn="0"/>
          <w:trHeight w:hRule="exact" w:val="430"/>
        </w:trPr>
        <w:tc>
          <w:tcPr>
            <w:cnfStyle w:val="001000000000" w:firstRow="0" w:lastRow="0" w:firstColumn="1" w:lastColumn="0" w:oddVBand="0" w:evenVBand="0" w:oddHBand="0" w:evenHBand="0" w:firstRowFirstColumn="0" w:firstRowLastColumn="0" w:lastRowFirstColumn="0" w:lastRowLastColumn="0"/>
            <w:tcW w:w="2525" w:type="dxa"/>
          </w:tcPr>
          <w:p w14:paraId="2A6743AB" w14:textId="77777777" w:rsidR="00306AA3" w:rsidRPr="00306AA3" w:rsidRDefault="00306AA3" w:rsidP="00ED6EF9">
            <w:pPr>
              <w:spacing w:before="28"/>
              <w:ind w:left="45" w:right="-18"/>
              <w:rPr>
                <w:rFonts w:ascii="Arial" w:hAnsi="Arial" w:cs="Arial"/>
                <w:color w:val="010302"/>
                <w:sz w:val="22"/>
                <w:szCs w:val="22"/>
              </w:rPr>
            </w:pPr>
            <w:r>
              <w:rPr>
                <w:rFonts w:ascii="Arial" w:hAnsi="Arial"/>
                <w:b w:val="0"/>
                <w:color w:val="010302"/>
                <w:sz w:val="22"/>
              </w:rPr>
              <w:t>15 (BBL)</w:t>
            </w:r>
          </w:p>
        </w:tc>
        <w:tc>
          <w:tcPr>
            <w:tcW w:w="1905" w:type="dxa"/>
          </w:tcPr>
          <w:p w14:paraId="569BC26C" w14:textId="77777777" w:rsidR="00306AA3" w:rsidRPr="00306AA3" w:rsidRDefault="00306AA3" w:rsidP="00ED6EF9">
            <w:pPr>
              <w:spacing w:before="28"/>
              <w:ind w:left="60" w:right="-18"/>
              <w:jc w:val="center"/>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r>
              <w:rPr>
                <w:rFonts w:ascii="Arial" w:hAnsi="Arial"/>
                <w:color w:val="010302"/>
                <w:sz w:val="22"/>
              </w:rPr>
              <w:t>30.00%</w:t>
            </w:r>
          </w:p>
        </w:tc>
        <w:tc>
          <w:tcPr>
            <w:tcW w:w="5063" w:type="dxa"/>
          </w:tcPr>
          <w:p w14:paraId="307E9821" w14:textId="08B075A1" w:rsidR="00306AA3" w:rsidRPr="00306AA3" w:rsidRDefault="00306AA3" w:rsidP="00980FCA">
            <w:pPr>
              <w:spacing w:before="28"/>
              <w:ind w:left="60" w:right="-18"/>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r>
              <w:rPr>
                <w:rFonts w:ascii="Arial" w:hAnsi="Arial"/>
                <w:color w:val="010302"/>
                <w:sz w:val="22"/>
              </w:rPr>
              <w:t>€ 4.41</w:t>
            </w:r>
          </w:p>
        </w:tc>
      </w:tr>
    </w:tbl>
    <w:p w14:paraId="15F95113" w14:textId="77777777" w:rsidR="00306AA3" w:rsidRDefault="00306AA3" w:rsidP="00250681">
      <w:pPr>
        <w:rPr>
          <w:rFonts w:ascii="Arial" w:hAnsi="Arial" w:cs="Arial"/>
          <w:sz w:val="22"/>
          <w:szCs w:val="22"/>
        </w:rPr>
      </w:pPr>
    </w:p>
    <w:p w14:paraId="1540AB2E" w14:textId="77777777" w:rsidR="00C75E63" w:rsidRDefault="00C75E63" w:rsidP="00250681">
      <w:pPr>
        <w:rPr>
          <w:rFonts w:ascii="Arial" w:hAnsi="Arial" w:cs="Arial"/>
          <w:sz w:val="22"/>
          <w:szCs w:val="22"/>
        </w:rPr>
      </w:pPr>
    </w:p>
    <w:p w14:paraId="5F9B25F1" w14:textId="3BDF030E" w:rsidR="00306AA3" w:rsidRDefault="00306AA3">
      <w:pPr>
        <w:rPr>
          <w:rFonts w:ascii="Arial" w:hAnsi="Arial" w:cs="Arial"/>
          <w:sz w:val="22"/>
          <w:szCs w:val="22"/>
        </w:rPr>
      </w:pPr>
      <w:r>
        <w:br w:type="page"/>
      </w:r>
    </w:p>
    <w:p w14:paraId="525B49EE" w14:textId="667F474B" w:rsidR="00306AA3" w:rsidRPr="00306AA3" w:rsidRDefault="00306AA3" w:rsidP="00306AA3">
      <w:pPr>
        <w:pStyle w:val="SRAKopje"/>
        <w:ind w:left="2124" w:hanging="2124"/>
        <w:rPr>
          <w:rFonts w:ascii="Arial" w:hAnsi="Arial" w:cs="Arial"/>
        </w:rPr>
      </w:pPr>
      <w:bookmarkStart w:id="133" w:name="_Toc155866668"/>
      <w:r>
        <w:rPr>
          <w:rFonts w:ascii="Arial" w:hAnsi="Arial"/>
        </w:rPr>
        <w:lastRenderedPageBreak/>
        <w:t>Table 5</w:t>
      </w:r>
      <w:r>
        <w:rPr>
          <w:rFonts w:ascii="Arial" w:hAnsi="Arial"/>
        </w:rPr>
        <w:tab/>
        <w:t>Contributions for employee insurance schemes</w:t>
      </w:r>
      <w:bookmarkEnd w:id="133"/>
    </w:p>
    <w:tbl>
      <w:tblPr>
        <w:tblStyle w:val="Rastertabel4-Accent3"/>
        <w:tblpPr w:vertAnchor="text" w:horzAnchor="margin" w:tblpY="432"/>
        <w:tblW w:w="9493" w:type="dxa"/>
        <w:tblLayout w:type="fixed"/>
        <w:tblLook w:val="04A0" w:firstRow="1" w:lastRow="0" w:firstColumn="1" w:lastColumn="0" w:noHBand="0" w:noVBand="1"/>
      </w:tblPr>
      <w:tblGrid>
        <w:gridCol w:w="3397"/>
        <w:gridCol w:w="2932"/>
        <w:gridCol w:w="3164"/>
      </w:tblGrid>
      <w:tr w:rsidR="00306AA3" w:rsidRPr="00335B06" w14:paraId="4135686B" w14:textId="77777777" w:rsidTr="00C249A3">
        <w:trPr>
          <w:cnfStyle w:val="100000000000" w:firstRow="1" w:lastRow="0" w:firstColumn="0" w:lastColumn="0" w:oddVBand="0" w:evenVBand="0" w:oddHBand="0" w:evenHBand="0" w:firstRowFirstColumn="0" w:firstRowLastColumn="0" w:lastRowFirstColumn="0" w:lastRowLastColumn="0"/>
          <w:trHeight w:hRule="exact" w:val="571"/>
        </w:trPr>
        <w:tc>
          <w:tcPr>
            <w:cnfStyle w:val="001000000000" w:firstRow="0" w:lastRow="0" w:firstColumn="1" w:lastColumn="0" w:oddVBand="0" w:evenVBand="0" w:oddHBand="0" w:evenHBand="0" w:firstRowFirstColumn="0" w:firstRowLastColumn="0" w:lastRowFirstColumn="0" w:lastRowLastColumn="0"/>
            <w:tcW w:w="3397" w:type="dxa"/>
          </w:tcPr>
          <w:p w14:paraId="27078369" w14:textId="77777777" w:rsidR="00306AA3" w:rsidRPr="00306AA3" w:rsidRDefault="00306AA3" w:rsidP="00306AA3">
            <w:pPr>
              <w:spacing w:before="66"/>
              <w:ind w:left="65" w:right="-18"/>
              <w:rPr>
                <w:rFonts w:ascii="Arial" w:hAnsi="Arial" w:cs="Arial"/>
                <w:color w:val="010302"/>
                <w:sz w:val="22"/>
                <w:szCs w:val="22"/>
              </w:rPr>
            </w:pPr>
            <w:r>
              <w:rPr>
                <w:rFonts w:ascii="Arial" w:hAnsi="Arial"/>
                <w:color w:val="010302"/>
                <w:sz w:val="22"/>
              </w:rPr>
              <w:t>Type of contribution</w:t>
            </w:r>
          </w:p>
        </w:tc>
        <w:tc>
          <w:tcPr>
            <w:tcW w:w="2932" w:type="dxa"/>
          </w:tcPr>
          <w:p w14:paraId="66492916" w14:textId="2B6A8E64" w:rsidR="00306AA3" w:rsidRPr="00306AA3" w:rsidRDefault="00306AA3" w:rsidP="00306AA3">
            <w:pPr>
              <w:spacing w:before="66"/>
              <w:ind w:left="60"/>
              <w:cnfStyle w:val="100000000000" w:firstRow="1" w:lastRow="0" w:firstColumn="0" w:lastColumn="0" w:oddVBand="0" w:evenVBand="0" w:oddHBand="0" w:evenHBand="0" w:firstRowFirstColumn="0" w:firstRowLastColumn="0" w:lastRowFirstColumn="0" w:lastRowLastColumn="0"/>
              <w:rPr>
                <w:rFonts w:ascii="Arial" w:hAnsi="Arial" w:cs="Arial"/>
                <w:color w:val="010302"/>
                <w:sz w:val="22"/>
                <w:szCs w:val="22"/>
              </w:rPr>
            </w:pPr>
            <w:r>
              <w:rPr>
                <w:rFonts w:ascii="Arial" w:hAnsi="Arial"/>
                <w:color w:val="010302"/>
                <w:sz w:val="22"/>
              </w:rPr>
              <w:t>Amount/percentage for 2025</w:t>
            </w:r>
          </w:p>
        </w:tc>
        <w:tc>
          <w:tcPr>
            <w:tcW w:w="3164" w:type="dxa"/>
          </w:tcPr>
          <w:p w14:paraId="1FBA17F2" w14:textId="1F8D4BAE" w:rsidR="00306AA3" w:rsidRPr="00306AA3" w:rsidRDefault="00306AA3" w:rsidP="00306AA3">
            <w:pPr>
              <w:spacing w:before="66"/>
              <w:ind w:left="60"/>
              <w:cnfStyle w:val="100000000000" w:firstRow="1" w:lastRow="0" w:firstColumn="0" w:lastColumn="0" w:oddVBand="0" w:evenVBand="0" w:oddHBand="0" w:evenHBand="0" w:firstRowFirstColumn="0" w:firstRowLastColumn="0" w:lastRowFirstColumn="0" w:lastRowLastColumn="0"/>
              <w:rPr>
                <w:rFonts w:ascii="Arial" w:hAnsi="Arial" w:cs="Arial"/>
                <w:color w:val="000000"/>
                <w:spacing w:val="-10"/>
                <w:sz w:val="22"/>
                <w:szCs w:val="22"/>
              </w:rPr>
            </w:pPr>
            <w:r>
              <w:rPr>
                <w:rFonts w:ascii="Arial" w:hAnsi="Arial"/>
                <w:color w:val="000000"/>
                <w:sz w:val="22"/>
              </w:rPr>
              <w:t>Amount/percentage for 2026</w:t>
            </w:r>
          </w:p>
        </w:tc>
      </w:tr>
      <w:tr w:rsidR="00306AA3" w:rsidRPr="00AC00D4" w14:paraId="4C3A24F9" w14:textId="77777777" w:rsidTr="00C848E4">
        <w:trPr>
          <w:cnfStyle w:val="000000100000" w:firstRow="0" w:lastRow="0" w:firstColumn="0" w:lastColumn="0" w:oddVBand="0" w:evenVBand="0" w:oddHBand="1" w:evenHBand="0" w:firstRowFirstColumn="0" w:firstRowLastColumn="0" w:lastRowFirstColumn="0" w:lastRowLastColumn="0"/>
          <w:trHeight w:hRule="exact" w:val="576"/>
        </w:trPr>
        <w:tc>
          <w:tcPr>
            <w:cnfStyle w:val="001000000000" w:firstRow="0" w:lastRow="0" w:firstColumn="1" w:lastColumn="0" w:oddVBand="0" w:evenVBand="0" w:oddHBand="0" w:evenHBand="0" w:firstRowFirstColumn="0" w:firstRowLastColumn="0" w:lastRowFirstColumn="0" w:lastRowLastColumn="0"/>
            <w:tcW w:w="3397" w:type="dxa"/>
          </w:tcPr>
          <w:p w14:paraId="38F3B1FB" w14:textId="77777777" w:rsidR="00306AA3" w:rsidRPr="00306AA3" w:rsidRDefault="00306AA3" w:rsidP="00306AA3">
            <w:pPr>
              <w:spacing w:before="28"/>
              <w:ind w:left="65" w:right="-18"/>
              <w:rPr>
                <w:rFonts w:ascii="Arial" w:hAnsi="Arial" w:cs="Arial"/>
                <w:b w:val="0"/>
                <w:bCs w:val="0"/>
                <w:color w:val="010302"/>
                <w:sz w:val="22"/>
                <w:szCs w:val="22"/>
              </w:rPr>
            </w:pPr>
            <w:r>
              <w:rPr>
                <w:rFonts w:ascii="Arial" w:hAnsi="Arial"/>
                <w:b w:val="0"/>
                <w:color w:val="000000"/>
                <w:sz w:val="22"/>
              </w:rPr>
              <w:t>Low General Unemployment Fund (AWf) contribution</w:t>
            </w:r>
            <w:r>
              <w:rPr>
                <w:rFonts w:ascii="Arial" w:hAnsi="Arial"/>
                <w:b w:val="0"/>
                <w:sz w:val="22"/>
              </w:rPr>
              <w:t xml:space="preserve"> </w:t>
            </w:r>
          </w:p>
        </w:tc>
        <w:tc>
          <w:tcPr>
            <w:tcW w:w="2932" w:type="dxa"/>
          </w:tcPr>
          <w:p w14:paraId="77FFAD3E" w14:textId="0A9D0697" w:rsidR="00306AA3" w:rsidRPr="00306AA3" w:rsidRDefault="00306AA3" w:rsidP="00306AA3">
            <w:pPr>
              <w:spacing w:before="28"/>
              <w:ind w:lef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r>
              <w:rPr>
                <w:rFonts w:ascii="Arial" w:hAnsi="Arial"/>
                <w:color w:val="000000"/>
                <w:sz w:val="22"/>
              </w:rPr>
              <w:t xml:space="preserve"> 2.74%</w:t>
            </w:r>
            <w:r>
              <w:rPr>
                <w:rFonts w:ascii="Arial" w:hAnsi="Arial"/>
                <w:sz w:val="22"/>
              </w:rPr>
              <w:t xml:space="preserve"> </w:t>
            </w:r>
          </w:p>
        </w:tc>
        <w:tc>
          <w:tcPr>
            <w:tcW w:w="3164" w:type="dxa"/>
          </w:tcPr>
          <w:p w14:paraId="26A6132B" w14:textId="372F5843" w:rsidR="00306AA3" w:rsidRPr="00306AA3" w:rsidRDefault="00306AA3" w:rsidP="00306AA3">
            <w:pPr>
              <w:spacing w:before="28"/>
              <w:ind w:lef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Pr>
                <w:rFonts w:ascii="Arial" w:hAnsi="Arial"/>
                <w:color w:val="000000"/>
                <w:sz w:val="22"/>
              </w:rPr>
              <w:t xml:space="preserve"> 2.74%</w:t>
            </w:r>
            <w:r>
              <w:rPr>
                <w:rFonts w:ascii="Arial" w:hAnsi="Arial"/>
                <w:sz w:val="22"/>
              </w:rPr>
              <w:t xml:space="preserve"> </w:t>
            </w:r>
          </w:p>
        </w:tc>
      </w:tr>
      <w:tr w:rsidR="00306AA3" w:rsidRPr="00AC00D4" w14:paraId="36D06C7C" w14:textId="77777777" w:rsidTr="00C848E4">
        <w:trPr>
          <w:trHeight w:hRule="exact" w:val="571"/>
        </w:trPr>
        <w:tc>
          <w:tcPr>
            <w:cnfStyle w:val="001000000000" w:firstRow="0" w:lastRow="0" w:firstColumn="1" w:lastColumn="0" w:oddVBand="0" w:evenVBand="0" w:oddHBand="0" w:evenHBand="0" w:firstRowFirstColumn="0" w:firstRowLastColumn="0" w:lastRowFirstColumn="0" w:lastRowLastColumn="0"/>
            <w:tcW w:w="3397" w:type="dxa"/>
          </w:tcPr>
          <w:p w14:paraId="6DA941D1" w14:textId="77777777" w:rsidR="00306AA3" w:rsidRPr="00306AA3" w:rsidRDefault="00306AA3" w:rsidP="00306AA3">
            <w:pPr>
              <w:spacing w:before="28"/>
              <w:ind w:left="65" w:right="-18"/>
              <w:rPr>
                <w:rFonts w:ascii="Arial" w:hAnsi="Arial" w:cs="Arial"/>
                <w:b w:val="0"/>
                <w:bCs w:val="0"/>
                <w:color w:val="010302"/>
                <w:sz w:val="22"/>
                <w:szCs w:val="22"/>
              </w:rPr>
            </w:pPr>
            <w:r>
              <w:rPr>
                <w:rFonts w:ascii="Arial" w:hAnsi="Arial"/>
                <w:b w:val="0"/>
                <w:color w:val="000000"/>
                <w:sz w:val="22"/>
              </w:rPr>
              <w:t>High General Unemployment Fund (AWf) contribution</w:t>
            </w:r>
            <w:r>
              <w:rPr>
                <w:rFonts w:ascii="Arial" w:hAnsi="Arial"/>
                <w:b w:val="0"/>
                <w:sz w:val="22"/>
              </w:rPr>
              <w:t xml:space="preserve"> </w:t>
            </w:r>
          </w:p>
        </w:tc>
        <w:tc>
          <w:tcPr>
            <w:tcW w:w="2932" w:type="dxa"/>
          </w:tcPr>
          <w:p w14:paraId="114ED535" w14:textId="4512810F" w:rsidR="00306AA3" w:rsidRPr="00306AA3" w:rsidRDefault="00306AA3" w:rsidP="00306AA3">
            <w:pPr>
              <w:spacing w:before="28"/>
              <w:ind w:left="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Pr>
                <w:rFonts w:ascii="Arial" w:hAnsi="Arial"/>
                <w:color w:val="000000"/>
                <w:sz w:val="22"/>
              </w:rPr>
              <w:t xml:space="preserve"> 7.74%</w:t>
            </w:r>
            <w:r>
              <w:rPr>
                <w:rFonts w:ascii="Arial" w:hAnsi="Arial"/>
                <w:sz w:val="22"/>
              </w:rPr>
              <w:t xml:space="preserve"> </w:t>
            </w:r>
          </w:p>
        </w:tc>
        <w:tc>
          <w:tcPr>
            <w:tcW w:w="3164" w:type="dxa"/>
          </w:tcPr>
          <w:p w14:paraId="1856037C" w14:textId="4480EF00" w:rsidR="00306AA3" w:rsidRPr="00306AA3" w:rsidRDefault="00306AA3" w:rsidP="00306AA3">
            <w:pPr>
              <w:spacing w:before="28"/>
              <w:ind w:left="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olor w:val="000000"/>
                <w:sz w:val="22"/>
              </w:rPr>
              <w:t xml:space="preserve"> 7.74%</w:t>
            </w:r>
            <w:r>
              <w:rPr>
                <w:rFonts w:ascii="Arial" w:hAnsi="Arial"/>
                <w:sz w:val="22"/>
              </w:rPr>
              <w:t xml:space="preserve"> </w:t>
            </w:r>
          </w:p>
        </w:tc>
      </w:tr>
      <w:tr w:rsidR="00306AA3" w:rsidRPr="00AC00D4" w14:paraId="75587FAC" w14:textId="77777777" w:rsidTr="00C249A3">
        <w:trPr>
          <w:cnfStyle w:val="000000100000" w:firstRow="0" w:lastRow="0" w:firstColumn="0" w:lastColumn="0" w:oddVBand="0" w:evenVBand="0" w:oddHBand="1" w:evenHBand="0" w:firstRowFirstColumn="0" w:firstRowLastColumn="0" w:lastRowFirstColumn="0" w:lastRowLastColumn="0"/>
          <w:trHeight w:hRule="exact" w:val="579"/>
        </w:trPr>
        <w:tc>
          <w:tcPr>
            <w:cnfStyle w:val="001000000000" w:firstRow="0" w:lastRow="0" w:firstColumn="1" w:lastColumn="0" w:oddVBand="0" w:evenVBand="0" w:oddHBand="0" w:evenHBand="0" w:firstRowFirstColumn="0" w:firstRowLastColumn="0" w:lastRowFirstColumn="0" w:lastRowLastColumn="0"/>
            <w:tcW w:w="3397" w:type="dxa"/>
          </w:tcPr>
          <w:p w14:paraId="74DEB2FA" w14:textId="77777777" w:rsidR="00306AA3" w:rsidRPr="00306AA3" w:rsidRDefault="00306AA3" w:rsidP="00306AA3">
            <w:pPr>
              <w:spacing w:before="28"/>
              <w:ind w:left="22" w:right="-18"/>
              <w:rPr>
                <w:rFonts w:ascii="Arial" w:hAnsi="Arial" w:cs="Arial"/>
                <w:b w:val="0"/>
                <w:bCs w:val="0"/>
                <w:color w:val="010302"/>
                <w:sz w:val="22"/>
                <w:szCs w:val="22"/>
              </w:rPr>
            </w:pPr>
            <w:r>
              <w:rPr>
                <w:rFonts w:ascii="Arial" w:hAnsi="Arial"/>
                <w:b w:val="0"/>
                <w:color w:val="000000"/>
                <w:sz w:val="22"/>
              </w:rPr>
              <w:t xml:space="preserve"> Differentiated Return to Work Fund (Whk) contribution</w:t>
            </w:r>
            <w:r>
              <w:rPr>
                <w:rFonts w:ascii="Arial" w:hAnsi="Arial"/>
                <w:b w:val="0"/>
                <w:sz w:val="22"/>
              </w:rPr>
              <w:t xml:space="preserve"> </w:t>
            </w:r>
          </w:p>
        </w:tc>
        <w:tc>
          <w:tcPr>
            <w:tcW w:w="2932" w:type="dxa"/>
          </w:tcPr>
          <w:p w14:paraId="1E850A2C" w14:textId="77777777" w:rsidR="00306AA3" w:rsidRPr="00306AA3" w:rsidRDefault="00306AA3" w:rsidP="00306AA3">
            <w:pPr>
              <w:spacing w:before="28"/>
              <w:ind w:left="-20"/>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r>
              <w:rPr>
                <w:rFonts w:ascii="Arial" w:hAnsi="Arial"/>
                <w:color w:val="000000"/>
                <w:sz w:val="22"/>
              </w:rPr>
              <w:t>See notification or decision</w:t>
            </w:r>
            <w:r>
              <w:rPr>
                <w:rFonts w:ascii="Arial" w:hAnsi="Arial"/>
                <w:sz w:val="22"/>
              </w:rPr>
              <w:t xml:space="preserve"> </w:t>
            </w:r>
          </w:p>
        </w:tc>
        <w:tc>
          <w:tcPr>
            <w:tcW w:w="3164" w:type="dxa"/>
          </w:tcPr>
          <w:p w14:paraId="70E3FC71" w14:textId="77777777" w:rsidR="00306AA3" w:rsidRPr="00306AA3" w:rsidRDefault="00306AA3" w:rsidP="00306AA3">
            <w:pPr>
              <w:spacing w:before="28"/>
              <w:ind w:left="-2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pacing w:val="-9"/>
                <w:sz w:val="22"/>
                <w:szCs w:val="22"/>
              </w:rPr>
            </w:pPr>
            <w:r>
              <w:rPr>
                <w:rFonts w:ascii="Arial" w:hAnsi="Arial"/>
                <w:color w:val="000000"/>
                <w:sz w:val="22"/>
              </w:rPr>
              <w:t>See notification or decision</w:t>
            </w:r>
            <w:r>
              <w:rPr>
                <w:rFonts w:ascii="Arial" w:hAnsi="Arial"/>
                <w:sz w:val="22"/>
              </w:rPr>
              <w:t xml:space="preserve"> </w:t>
            </w:r>
          </w:p>
        </w:tc>
      </w:tr>
      <w:tr w:rsidR="00306AA3" w:rsidRPr="00AC00D4" w14:paraId="23B8C2FC" w14:textId="77777777" w:rsidTr="00C848E4">
        <w:trPr>
          <w:trHeight w:hRule="exact" w:val="828"/>
        </w:trPr>
        <w:tc>
          <w:tcPr>
            <w:cnfStyle w:val="001000000000" w:firstRow="0" w:lastRow="0" w:firstColumn="1" w:lastColumn="0" w:oddVBand="0" w:evenVBand="0" w:oddHBand="0" w:evenHBand="0" w:firstRowFirstColumn="0" w:firstRowLastColumn="0" w:lastRowFirstColumn="0" w:lastRowLastColumn="0"/>
            <w:tcW w:w="3397" w:type="dxa"/>
          </w:tcPr>
          <w:p w14:paraId="5F26D6CE" w14:textId="77777777" w:rsidR="00306AA3" w:rsidRPr="00306AA3" w:rsidRDefault="00306AA3" w:rsidP="00306AA3">
            <w:pPr>
              <w:spacing w:before="28"/>
              <w:ind w:left="65" w:right="-18"/>
              <w:rPr>
                <w:rFonts w:ascii="Arial" w:hAnsi="Arial" w:cs="Arial"/>
                <w:b w:val="0"/>
                <w:bCs w:val="0"/>
                <w:color w:val="010302"/>
                <w:sz w:val="22"/>
                <w:szCs w:val="22"/>
              </w:rPr>
            </w:pPr>
            <w:r>
              <w:rPr>
                <w:rFonts w:ascii="Arial" w:hAnsi="Arial"/>
                <w:b w:val="0"/>
                <w:color w:val="000000"/>
                <w:sz w:val="22"/>
              </w:rPr>
              <w:t>Differentiated low Invalidity Insurance Fund (Aof) contribution</w:t>
            </w:r>
            <w:r>
              <w:rPr>
                <w:rFonts w:ascii="Arial" w:hAnsi="Arial"/>
                <w:b w:val="0"/>
                <w:sz w:val="22"/>
              </w:rPr>
              <w:t xml:space="preserve"> </w:t>
            </w:r>
          </w:p>
        </w:tc>
        <w:tc>
          <w:tcPr>
            <w:tcW w:w="2932" w:type="dxa"/>
          </w:tcPr>
          <w:p w14:paraId="700B7746" w14:textId="71EDEABF" w:rsidR="00306AA3" w:rsidRPr="00306AA3" w:rsidRDefault="00306AA3" w:rsidP="00306AA3">
            <w:pPr>
              <w:spacing w:before="28"/>
              <w:ind w:left="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Pr>
                <w:rFonts w:ascii="Arial" w:hAnsi="Arial"/>
                <w:color w:val="000000"/>
                <w:sz w:val="22"/>
              </w:rPr>
              <w:t xml:space="preserve"> 6.28%</w:t>
            </w:r>
            <w:r>
              <w:rPr>
                <w:rFonts w:ascii="Arial" w:hAnsi="Arial"/>
                <w:sz w:val="22"/>
              </w:rPr>
              <w:t xml:space="preserve"> </w:t>
            </w:r>
          </w:p>
        </w:tc>
        <w:tc>
          <w:tcPr>
            <w:tcW w:w="3164" w:type="dxa"/>
          </w:tcPr>
          <w:p w14:paraId="02EB9B7D" w14:textId="4F539A78" w:rsidR="00306AA3" w:rsidRPr="00306AA3" w:rsidRDefault="00306AA3" w:rsidP="00306AA3">
            <w:pPr>
              <w:spacing w:before="28"/>
              <w:ind w:left="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olor w:val="000000"/>
                <w:sz w:val="22"/>
              </w:rPr>
              <w:t xml:space="preserve"> 6.27%</w:t>
            </w:r>
            <w:r>
              <w:rPr>
                <w:rFonts w:ascii="Arial" w:hAnsi="Arial"/>
                <w:sz w:val="22"/>
              </w:rPr>
              <w:t xml:space="preserve"> </w:t>
            </w:r>
          </w:p>
        </w:tc>
      </w:tr>
      <w:tr w:rsidR="00306AA3" w:rsidRPr="00AC00D4" w14:paraId="1597F28E" w14:textId="77777777" w:rsidTr="00C848E4">
        <w:trPr>
          <w:cnfStyle w:val="000000100000" w:firstRow="0" w:lastRow="0" w:firstColumn="0" w:lastColumn="0" w:oddVBand="0" w:evenVBand="0" w:oddHBand="1" w:evenHBand="0" w:firstRowFirstColumn="0" w:firstRowLastColumn="0" w:lastRowFirstColumn="0" w:lastRowLastColumn="0"/>
          <w:trHeight w:hRule="exact" w:val="853"/>
        </w:trPr>
        <w:tc>
          <w:tcPr>
            <w:cnfStyle w:val="001000000000" w:firstRow="0" w:lastRow="0" w:firstColumn="1" w:lastColumn="0" w:oddVBand="0" w:evenVBand="0" w:oddHBand="0" w:evenHBand="0" w:firstRowFirstColumn="0" w:firstRowLastColumn="0" w:lastRowFirstColumn="0" w:lastRowLastColumn="0"/>
            <w:tcW w:w="3397" w:type="dxa"/>
          </w:tcPr>
          <w:p w14:paraId="021CF659" w14:textId="77777777" w:rsidR="00306AA3" w:rsidRPr="00306AA3" w:rsidRDefault="00306AA3" w:rsidP="00306AA3">
            <w:pPr>
              <w:spacing w:before="28"/>
              <w:ind w:left="65" w:right="-18"/>
              <w:rPr>
                <w:rFonts w:ascii="Arial" w:hAnsi="Arial" w:cs="Arial"/>
                <w:b w:val="0"/>
                <w:bCs w:val="0"/>
                <w:color w:val="010302"/>
                <w:sz w:val="22"/>
                <w:szCs w:val="22"/>
              </w:rPr>
            </w:pPr>
            <w:r>
              <w:rPr>
                <w:rFonts w:ascii="Arial" w:hAnsi="Arial"/>
                <w:b w:val="0"/>
                <w:color w:val="000000"/>
                <w:sz w:val="22"/>
              </w:rPr>
              <w:t>Differentiated high Invalidity Insurance Fund (Aof) contribution</w:t>
            </w:r>
            <w:r>
              <w:rPr>
                <w:rFonts w:ascii="Arial" w:hAnsi="Arial"/>
                <w:b w:val="0"/>
                <w:sz w:val="22"/>
              </w:rPr>
              <w:t xml:space="preserve"> </w:t>
            </w:r>
          </w:p>
        </w:tc>
        <w:tc>
          <w:tcPr>
            <w:tcW w:w="2932" w:type="dxa"/>
          </w:tcPr>
          <w:p w14:paraId="2C2372AD" w14:textId="5559DBD0" w:rsidR="00306AA3" w:rsidRPr="00306AA3" w:rsidRDefault="00306AA3" w:rsidP="00306AA3">
            <w:pPr>
              <w:spacing w:before="28"/>
              <w:ind w:lef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r>
              <w:rPr>
                <w:rFonts w:ascii="Arial" w:hAnsi="Arial"/>
                <w:color w:val="000000"/>
                <w:sz w:val="22"/>
              </w:rPr>
              <w:t xml:space="preserve"> 7.64%</w:t>
            </w:r>
            <w:r>
              <w:rPr>
                <w:rFonts w:ascii="Arial" w:hAnsi="Arial"/>
                <w:sz w:val="22"/>
              </w:rPr>
              <w:t xml:space="preserve"> </w:t>
            </w:r>
          </w:p>
        </w:tc>
        <w:tc>
          <w:tcPr>
            <w:tcW w:w="3164" w:type="dxa"/>
          </w:tcPr>
          <w:p w14:paraId="66F30F1E" w14:textId="73529BD1" w:rsidR="00306AA3" w:rsidRPr="00306AA3" w:rsidRDefault="00306AA3" w:rsidP="00306AA3">
            <w:pPr>
              <w:spacing w:before="28"/>
              <w:ind w:lef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Pr>
                <w:rFonts w:ascii="Arial" w:hAnsi="Arial"/>
                <w:color w:val="000000"/>
                <w:sz w:val="22"/>
              </w:rPr>
              <w:t xml:space="preserve"> 7.63%</w:t>
            </w:r>
            <w:r>
              <w:rPr>
                <w:rFonts w:ascii="Arial" w:hAnsi="Arial"/>
                <w:sz w:val="22"/>
              </w:rPr>
              <w:t xml:space="preserve"> </w:t>
            </w:r>
          </w:p>
        </w:tc>
      </w:tr>
      <w:tr w:rsidR="00306AA3" w:rsidRPr="00AC00D4" w14:paraId="4BCE83A4" w14:textId="77777777" w:rsidTr="00C848E4">
        <w:trPr>
          <w:trHeight w:hRule="exact" w:val="568"/>
        </w:trPr>
        <w:tc>
          <w:tcPr>
            <w:cnfStyle w:val="001000000000" w:firstRow="0" w:lastRow="0" w:firstColumn="1" w:lastColumn="0" w:oddVBand="0" w:evenVBand="0" w:oddHBand="0" w:evenHBand="0" w:firstRowFirstColumn="0" w:firstRowLastColumn="0" w:lastRowFirstColumn="0" w:lastRowLastColumn="0"/>
            <w:tcW w:w="3397" w:type="dxa"/>
          </w:tcPr>
          <w:p w14:paraId="0140E058" w14:textId="77777777" w:rsidR="00306AA3" w:rsidRPr="00306AA3" w:rsidRDefault="00306AA3" w:rsidP="00306AA3">
            <w:pPr>
              <w:spacing w:before="28"/>
              <w:ind w:left="65" w:right="-18"/>
              <w:rPr>
                <w:rFonts w:ascii="Arial" w:hAnsi="Arial" w:cs="Arial"/>
                <w:b w:val="0"/>
                <w:bCs w:val="0"/>
                <w:color w:val="010302"/>
                <w:sz w:val="22"/>
                <w:szCs w:val="22"/>
              </w:rPr>
            </w:pPr>
            <w:r>
              <w:rPr>
                <w:rFonts w:ascii="Arial" w:hAnsi="Arial"/>
                <w:b w:val="0"/>
                <w:color w:val="000000"/>
                <w:sz w:val="22"/>
              </w:rPr>
              <w:t>Childcare Provisions Act (Wko) surcharge</w:t>
            </w:r>
            <w:r>
              <w:rPr>
                <w:rFonts w:ascii="Arial" w:hAnsi="Arial"/>
                <w:b w:val="0"/>
                <w:sz w:val="22"/>
              </w:rPr>
              <w:t xml:space="preserve"> </w:t>
            </w:r>
          </w:p>
        </w:tc>
        <w:tc>
          <w:tcPr>
            <w:tcW w:w="2932" w:type="dxa"/>
          </w:tcPr>
          <w:p w14:paraId="30EB50A2" w14:textId="77777777" w:rsidR="00306AA3" w:rsidRPr="00306AA3" w:rsidRDefault="00306AA3" w:rsidP="00306AA3">
            <w:pPr>
              <w:spacing w:before="28"/>
              <w:ind w:left="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Pr>
                <w:rFonts w:ascii="Arial" w:hAnsi="Arial"/>
                <w:color w:val="000000"/>
                <w:sz w:val="22"/>
              </w:rPr>
              <w:t xml:space="preserve"> 0.50%</w:t>
            </w:r>
            <w:r>
              <w:rPr>
                <w:rFonts w:ascii="Arial" w:hAnsi="Arial"/>
                <w:sz w:val="22"/>
              </w:rPr>
              <w:t xml:space="preserve"> </w:t>
            </w:r>
          </w:p>
        </w:tc>
        <w:tc>
          <w:tcPr>
            <w:tcW w:w="3164" w:type="dxa"/>
          </w:tcPr>
          <w:p w14:paraId="4E812753" w14:textId="77777777" w:rsidR="00306AA3" w:rsidRPr="00306AA3" w:rsidRDefault="00306AA3" w:rsidP="00306AA3">
            <w:pPr>
              <w:spacing w:before="28"/>
              <w:ind w:left="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olor w:val="000000"/>
                <w:sz w:val="22"/>
              </w:rPr>
              <w:t xml:space="preserve"> 0.50%</w:t>
            </w:r>
            <w:r>
              <w:rPr>
                <w:rFonts w:ascii="Arial" w:hAnsi="Arial"/>
                <w:sz w:val="22"/>
              </w:rPr>
              <w:t xml:space="preserve"> </w:t>
            </w:r>
          </w:p>
        </w:tc>
      </w:tr>
      <w:tr w:rsidR="00306AA3" w:rsidRPr="00AC00D4" w14:paraId="552EA4CE" w14:textId="77777777" w:rsidTr="00C848E4">
        <w:trPr>
          <w:cnfStyle w:val="000000100000" w:firstRow="0" w:lastRow="0" w:firstColumn="0" w:lastColumn="0" w:oddVBand="0" w:evenVBand="0" w:oddHBand="1" w:evenHBand="0" w:firstRowFirstColumn="0" w:firstRowLastColumn="0" w:lastRowFirstColumn="0" w:lastRowLastColumn="0"/>
          <w:trHeight w:hRule="exact" w:val="703"/>
        </w:trPr>
        <w:tc>
          <w:tcPr>
            <w:cnfStyle w:val="001000000000" w:firstRow="0" w:lastRow="0" w:firstColumn="1" w:lastColumn="0" w:oddVBand="0" w:evenVBand="0" w:oddHBand="0" w:evenHBand="0" w:firstRowFirstColumn="0" w:firstRowLastColumn="0" w:lastRowFirstColumn="0" w:lastRowLastColumn="0"/>
            <w:tcW w:w="3397" w:type="dxa"/>
          </w:tcPr>
          <w:p w14:paraId="4C9CFCB3" w14:textId="00B7C13A" w:rsidR="00306AA3" w:rsidRPr="00306AA3" w:rsidRDefault="00306AA3" w:rsidP="00306AA3">
            <w:pPr>
              <w:spacing w:before="28"/>
              <w:ind w:left="65" w:right="-18"/>
              <w:rPr>
                <w:rFonts w:ascii="Arial" w:hAnsi="Arial" w:cs="Arial"/>
                <w:b w:val="0"/>
                <w:bCs w:val="0"/>
                <w:color w:val="010302"/>
                <w:sz w:val="22"/>
                <w:szCs w:val="22"/>
              </w:rPr>
            </w:pPr>
            <w:r>
              <w:rPr>
                <w:rFonts w:ascii="Arial" w:hAnsi="Arial"/>
                <w:b w:val="0"/>
                <w:color w:val="000000"/>
                <w:sz w:val="22"/>
              </w:rPr>
              <w:t>Implementing Fund for the Government (Ufo) contribution</w:t>
            </w:r>
            <w:r>
              <w:rPr>
                <w:rFonts w:ascii="Arial" w:hAnsi="Arial"/>
                <w:b w:val="0"/>
                <w:sz w:val="22"/>
              </w:rPr>
              <w:t xml:space="preserve"> </w:t>
            </w:r>
          </w:p>
        </w:tc>
        <w:tc>
          <w:tcPr>
            <w:tcW w:w="2932" w:type="dxa"/>
          </w:tcPr>
          <w:p w14:paraId="3D973BDD" w14:textId="77777777" w:rsidR="00306AA3" w:rsidRPr="00306AA3" w:rsidRDefault="00306AA3" w:rsidP="00306AA3">
            <w:pPr>
              <w:spacing w:before="28"/>
              <w:ind w:lef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r>
              <w:rPr>
                <w:rFonts w:ascii="Arial" w:hAnsi="Arial"/>
                <w:color w:val="000000"/>
                <w:sz w:val="22"/>
              </w:rPr>
              <w:t xml:space="preserve"> 0.68%</w:t>
            </w:r>
            <w:r>
              <w:rPr>
                <w:rFonts w:ascii="Arial" w:hAnsi="Arial"/>
                <w:sz w:val="22"/>
              </w:rPr>
              <w:t xml:space="preserve"> </w:t>
            </w:r>
          </w:p>
        </w:tc>
        <w:tc>
          <w:tcPr>
            <w:tcW w:w="3164" w:type="dxa"/>
          </w:tcPr>
          <w:p w14:paraId="6DE06925" w14:textId="77777777" w:rsidR="00306AA3" w:rsidRPr="00306AA3" w:rsidRDefault="00306AA3" w:rsidP="00306AA3">
            <w:pPr>
              <w:spacing w:before="28"/>
              <w:ind w:lef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Pr>
                <w:rFonts w:ascii="Arial" w:hAnsi="Arial"/>
                <w:color w:val="000000"/>
                <w:sz w:val="22"/>
              </w:rPr>
              <w:t xml:space="preserve"> 0.68%</w:t>
            </w:r>
            <w:r>
              <w:rPr>
                <w:rFonts w:ascii="Arial" w:hAnsi="Arial"/>
                <w:sz w:val="22"/>
              </w:rPr>
              <w:t xml:space="preserve"> </w:t>
            </w:r>
          </w:p>
        </w:tc>
      </w:tr>
      <w:tr w:rsidR="00306AA3" w:rsidRPr="00AC00D4" w14:paraId="334380AD" w14:textId="77777777" w:rsidTr="00224FDC">
        <w:trPr>
          <w:trHeight w:hRule="exact" w:val="555"/>
        </w:trPr>
        <w:tc>
          <w:tcPr>
            <w:cnfStyle w:val="001000000000" w:firstRow="0" w:lastRow="0" w:firstColumn="1" w:lastColumn="0" w:oddVBand="0" w:evenVBand="0" w:oddHBand="0" w:evenHBand="0" w:firstRowFirstColumn="0" w:firstRowLastColumn="0" w:lastRowFirstColumn="0" w:lastRowLastColumn="0"/>
            <w:tcW w:w="6329" w:type="dxa"/>
            <w:gridSpan w:val="2"/>
          </w:tcPr>
          <w:p w14:paraId="7975501E" w14:textId="5617D8CC" w:rsidR="00306AA3" w:rsidRPr="00306AA3" w:rsidRDefault="00306AA3" w:rsidP="00306AA3">
            <w:pPr>
              <w:spacing w:before="28"/>
              <w:ind w:left="65"/>
              <w:rPr>
                <w:rFonts w:ascii="Arial" w:hAnsi="Arial" w:cs="Arial"/>
                <w:b w:val="0"/>
                <w:bCs w:val="0"/>
                <w:i/>
                <w:iCs/>
                <w:color w:val="010302"/>
                <w:sz w:val="22"/>
                <w:szCs w:val="22"/>
              </w:rPr>
            </w:pPr>
            <w:r>
              <w:rPr>
                <w:rFonts w:ascii="Arial" w:hAnsi="Arial"/>
                <w:b w:val="0"/>
                <w:i/>
                <w:color w:val="000000"/>
                <w:sz w:val="22"/>
              </w:rPr>
              <w:t>Size of the employer: for 2026 depends on your assessable wage bill in 2024</w:t>
            </w:r>
            <w:r>
              <w:rPr>
                <w:rFonts w:ascii="Arial" w:hAnsi="Arial"/>
                <w:b w:val="0"/>
                <w:i/>
                <w:sz w:val="22"/>
              </w:rPr>
              <w:t xml:space="preserve"> </w:t>
            </w:r>
          </w:p>
        </w:tc>
        <w:tc>
          <w:tcPr>
            <w:tcW w:w="3164" w:type="dxa"/>
          </w:tcPr>
          <w:p w14:paraId="248F9493" w14:textId="77777777" w:rsidR="00306AA3" w:rsidRPr="00306AA3" w:rsidRDefault="00306AA3" w:rsidP="00306AA3">
            <w:pPr>
              <w:spacing w:before="28"/>
              <w:ind w:left="65"/>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pacing w:val="-9"/>
                <w:sz w:val="22"/>
                <w:szCs w:val="22"/>
              </w:rPr>
            </w:pPr>
          </w:p>
        </w:tc>
      </w:tr>
      <w:tr w:rsidR="00306AA3" w:rsidRPr="00AC00D4" w14:paraId="262F9C3F" w14:textId="77777777" w:rsidTr="00C249A3">
        <w:trPr>
          <w:cnfStyle w:val="000000100000" w:firstRow="0" w:lastRow="0" w:firstColumn="0" w:lastColumn="0" w:oddVBand="0" w:evenVBand="0" w:oddHBand="1" w:evenHBand="0" w:firstRowFirstColumn="0" w:firstRowLastColumn="0" w:lastRowFirstColumn="0" w:lastRowLastColumn="0"/>
          <w:trHeight w:hRule="exact" w:val="555"/>
        </w:trPr>
        <w:tc>
          <w:tcPr>
            <w:cnfStyle w:val="001000000000" w:firstRow="0" w:lastRow="0" w:firstColumn="1" w:lastColumn="0" w:oddVBand="0" w:evenVBand="0" w:oddHBand="0" w:evenHBand="0" w:firstRowFirstColumn="0" w:firstRowLastColumn="0" w:lastRowFirstColumn="0" w:lastRowLastColumn="0"/>
            <w:tcW w:w="3397" w:type="dxa"/>
          </w:tcPr>
          <w:p w14:paraId="3FAC4C4F" w14:textId="77777777" w:rsidR="00306AA3" w:rsidRPr="00306AA3" w:rsidRDefault="00306AA3" w:rsidP="00306AA3">
            <w:pPr>
              <w:spacing w:before="28"/>
              <w:ind w:left="65" w:right="-18"/>
              <w:rPr>
                <w:rFonts w:ascii="Arial" w:hAnsi="Arial" w:cs="Arial"/>
                <w:b w:val="0"/>
                <w:bCs w:val="0"/>
                <w:color w:val="010302"/>
                <w:sz w:val="22"/>
                <w:szCs w:val="22"/>
              </w:rPr>
            </w:pPr>
            <w:r>
              <w:rPr>
                <w:rFonts w:ascii="Arial" w:hAnsi="Arial"/>
                <w:b w:val="0"/>
                <w:color w:val="000000"/>
                <w:sz w:val="22"/>
              </w:rPr>
              <w:t>Average assessable employee salary</w:t>
            </w:r>
            <w:r>
              <w:rPr>
                <w:rFonts w:ascii="Arial" w:hAnsi="Arial"/>
                <w:b w:val="0"/>
                <w:sz w:val="22"/>
              </w:rPr>
              <w:t xml:space="preserve"> </w:t>
            </w:r>
          </w:p>
        </w:tc>
        <w:tc>
          <w:tcPr>
            <w:tcW w:w="2932" w:type="dxa"/>
          </w:tcPr>
          <w:p w14:paraId="4FF835E9" w14:textId="43309849" w:rsidR="00306AA3" w:rsidRPr="00306AA3" w:rsidRDefault="00306AA3" w:rsidP="00306AA3">
            <w:pPr>
              <w:spacing w:before="28"/>
              <w:ind w:lef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r>
              <w:rPr>
                <w:rFonts w:ascii="Arial" w:hAnsi="Arial"/>
                <w:color w:val="000000"/>
                <w:sz w:val="22"/>
              </w:rPr>
              <w:t>€ 39,600</w:t>
            </w:r>
          </w:p>
        </w:tc>
        <w:tc>
          <w:tcPr>
            <w:tcW w:w="3164" w:type="dxa"/>
          </w:tcPr>
          <w:p w14:paraId="003902DE" w14:textId="06257D8F" w:rsidR="00306AA3" w:rsidRPr="00306AA3" w:rsidRDefault="00306AA3" w:rsidP="00306AA3">
            <w:pPr>
              <w:spacing w:before="28"/>
              <w:ind w:lef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Pr>
                <w:rFonts w:ascii="Arial" w:hAnsi="Arial"/>
                <w:color w:val="000000"/>
                <w:sz w:val="22"/>
              </w:rPr>
              <w:t>€ 43,300</w:t>
            </w:r>
          </w:p>
        </w:tc>
      </w:tr>
      <w:tr w:rsidR="00306AA3" w:rsidRPr="00AC00D4" w14:paraId="77495E15" w14:textId="77777777" w:rsidTr="00C249A3">
        <w:trPr>
          <w:trHeight w:hRule="exact" w:val="585"/>
        </w:trPr>
        <w:tc>
          <w:tcPr>
            <w:cnfStyle w:val="001000000000" w:firstRow="0" w:lastRow="0" w:firstColumn="1" w:lastColumn="0" w:oddVBand="0" w:evenVBand="0" w:oddHBand="0" w:evenHBand="0" w:firstRowFirstColumn="0" w:firstRowLastColumn="0" w:lastRowFirstColumn="0" w:lastRowLastColumn="0"/>
            <w:tcW w:w="3397" w:type="dxa"/>
          </w:tcPr>
          <w:p w14:paraId="0B89ED11" w14:textId="77777777" w:rsidR="00306AA3" w:rsidRPr="00306AA3" w:rsidRDefault="00306AA3" w:rsidP="00306AA3">
            <w:pPr>
              <w:tabs>
                <w:tab w:val="left" w:pos="5247"/>
              </w:tabs>
              <w:spacing w:before="28"/>
              <w:ind w:left="65" w:right="-18"/>
              <w:rPr>
                <w:rFonts w:ascii="Arial" w:hAnsi="Arial" w:cs="Arial"/>
                <w:b w:val="0"/>
                <w:bCs w:val="0"/>
                <w:color w:val="010302"/>
                <w:sz w:val="22"/>
                <w:szCs w:val="22"/>
              </w:rPr>
            </w:pPr>
            <w:r>
              <w:rPr>
                <w:rFonts w:ascii="Arial" w:hAnsi="Arial"/>
                <w:b w:val="0"/>
                <w:color w:val="000000"/>
                <w:sz w:val="22"/>
              </w:rPr>
              <w:t xml:space="preserve">Small employer: up to 25x average assessable salary </w:t>
            </w:r>
            <w:r>
              <w:rPr>
                <w:rFonts w:ascii="Arial" w:hAnsi="Arial"/>
                <w:b w:val="0"/>
                <w:color w:val="000000"/>
                <w:sz w:val="22"/>
              </w:rPr>
              <w:tab/>
              <w:t>≤</w:t>
            </w:r>
            <w:r>
              <w:rPr>
                <w:rFonts w:ascii="Arial" w:hAnsi="Arial"/>
                <w:b w:val="0"/>
                <w:sz w:val="22"/>
              </w:rPr>
              <w:t xml:space="preserve"> </w:t>
            </w:r>
          </w:p>
        </w:tc>
        <w:tc>
          <w:tcPr>
            <w:tcW w:w="2932" w:type="dxa"/>
          </w:tcPr>
          <w:p w14:paraId="45584E50" w14:textId="674E9B35" w:rsidR="00306AA3" w:rsidRPr="00306AA3" w:rsidRDefault="00306AA3" w:rsidP="00306AA3">
            <w:pPr>
              <w:spacing w:before="28"/>
              <w:ind w:left="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Pr>
                <w:rFonts w:ascii="Arial" w:hAnsi="Arial"/>
                <w:color w:val="000000"/>
                <w:sz w:val="22"/>
              </w:rPr>
              <w:t>€ 990,000</w:t>
            </w:r>
          </w:p>
        </w:tc>
        <w:tc>
          <w:tcPr>
            <w:tcW w:w="3164" w:type="dxa"/>
          </w:tcPr>
          <w:p w14:paraId="67C1222F" w14:textId="54A15CF7" w:rsidR="00306AA3" w:rsidRPr="00306AA3" w:rsidRDefault="00306AA3" w:rsidP="00306AA3">
            <w:pPr>
              <w:spacing w:before="28"/>
              <w:ind w:left="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olor w:val="000000"/>
                <w:sz w:val="22"/>
              </w:rPr>
              <w:t>€ 1,082,500</w:t>
            </w:r>
          </w:p>
        </w:tc>
      </w:tr>
      <w:tr w:rsidR="00306AA3" w:rsidRPr="00AC00D4" w14:paraId="5F9B9F05" w14:textId="77777777" w:rsidTr="00C848E4">
        <w:trPr>
          <w:cnfStyle w:val="000000100000" w:firstRow="0" w:lastRow="0" w:firstColumn="0" w:lastColumn="0" w:oddVBand="0" w:evenVBand="0" w:oddHBand="1" w:evenHBand="0" w:firstRowFirstColumn="0" w:firstRowLastColumn="0" w:lastRowFirstColumn="0" w:lastRowLastColumn="0"/>
          <w:trHeight w:hRule="exact" w:val="865"/>
        </w:trPr>
        <w:tc>
          <w:tcPr>
            <w:cnfStyle w:val="001000000000" w:firstRow="0" w:lastRow="0" w:firstColumn="1" w:lastColumn="0" w:oddVBand="0" w:evenVBand="0" w:oddHBand="0" w:evenHBand="0" w:firstRowFirstColumn="0" w:firstRowLastColumn="0" w:lastRowFirstColumn="0" w:lastRowLastColumn="0"/>
            <w:tcW w:w="3397" w:type="dxa"/>
          </w:tcPr>
          <w:p w14:paraId="54AB32E1" w14:textId="77777777" w:rsidR="00306AA3" w:rsidRPr="00306AA3" w:rsidRDefault="00306AA3" w:rsidP="00306AA3">
            <w:pPr>
              <w:tabs>
                <w:tab w:val="left" w:pos="5247"/>
              </w:tabs>
              <w:spacing w:before="28"/>
              <w:ind w:left="65" w:right="-18"/>
              <w:rPr>
                <w:rFonts w:ascii="Arial" w:hAnsi="Arial" w:cs="Arial"/>
                <w:b w:val="0"/>
                <w:bCs w:val="0"/>
                <w:color w:val="010302"/>
                <w:sz w:val="22"/>
                <w:szCs w:val="22"/>
              </w:rPr>
            </w:pPr>
            <w:r>
              <w:rPr>
                <w:rFonts w:ascii="Arial" w:hAnsi="Arial"/>
                <w:b w:val="0"/>
                <w:color w:val="000000"/>
                <w:sz w:val="22"/>
              </w:rPr>
              <w:t xml:space="preserve">Medium-sized employer: up to 100x average assessable salary </w:t>
            </w:r>
            <w:r>
              <w:rPr>
                <w:rFonts w:ascii="Arial" w:hAnsi="Arial"/>
                <w:b w:val="0"/>
                <w:color w:val="000000"/>
                <w:sz w:val="22"/>
              </w:rPr>
              <w:tab/>
              <w:t>≤</w:t>
            </w:r>
            <w:r>
              <w:rPr>
                <w:rFonts w:ascii="Arial" w:hAnsi="Arial"/>
                <w:b w:val="0"/>
                <w:sz w:val="22"/>
              </w:rPr>
              <w:t xml:space="preserve"> </w:t>
            </w:r>
          </w:p>
        </w:tc>
        <w:tc>
          <w:tcPr>
            <w:tcW w:w="2932" w:type="dxa"/>
          </w:tcPr>
          <w:p w14:paraId="46CBC744" w14:textId="4D784526" w:rsidR="00306AA3" w:rsidRPr="00306AA3" w:rsidRDefault="00306AA3" w:rsidP="00306AA3">
            <w:pPr>
              <w:spacing w:before="28"/>
              <w:ind w:lef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r>
              <w:rPr>
                <w:rFonts w:ascii="Arial" w:hAnsi="Arial"/>
                <w:color w:val="000000"/>
                <w:sz w:val="22"/>
              </w:rPr>
              <w:t>€ 3,960,000</w:t>
            </w:r>
            <w:r>
              <w:rPr>
                <w:rFonts w:ascii="Arial" w:hAnsi="Arial"/>
                <w:sz w:val="22"/>
              </w:rPr>
              <w:t xml:space="preserve"> </w:t>
            </w:r>
          </w:p>
        </w:tc>
        <w:tc>
          <w:tcPr>
            <w:tcW w:w="3164" w:type="dxa"/>
          </w:tcPr>
          <w:p w14:paraId="12A85A44" w14:textId="4B4AB2F5" w:rsidR="00306AA3" w:rsidRPr="00306AA3" w:rsidRDefault="00306AA3" w:rsidP="00306AA3">
            <w:pPr>
              <w:spacing w:before="28"/>
              <w:ind w:lef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pacing w:val="-6"/>
                <w:sz w:val="22"/>
                <w:szCs w:val="22"/>
              </w:rPr>
            </w:pPr>
            <w:r>
              <w:rPr>
                <w:rFonts w:ascii="Arial" w:hAnsi="Arial"/>
                <w:color w:val="000000"/>
                <w:sz w:val="22"/>
              </w:rPr>
              <w:t>€ 4,330,000</w:t>
            </w:r>
            <w:r>
              <w:rPr>
                <w:rFonts w:ascii="Arial" w:hAnsi="Arial"/>
                <w:sz w:val="22"/>
              </w:rPr>
              <w:t xml:space="preserve"> </w:t>
            </w:r>
          </w:p>
        </w:tc>
      </w:tr>
      <w:tr w:rsidR="00306AA3" w:rsidRPr="00AC00D4" w14:paraId="02AC91AB" w14:textId="77777777" w:rsidTr="00C249A3">
        <w:trPr>
          <w:trHeight w:hRule="exact" w:val="565"/>
        </w:trPr>
        <w:tc>
          <w:tcPr>
            <w:cnfStyle w:val="001000000000" w:firstRow="0" w:lastRow="0" w:firstColumn="1" w:lastColumn="0" w:oddVBand="0" w:evenVBand="0" w:oddHBand="0" w:evenHBand="0" w:firstRowFirstColumn="0" w:firstRowLastColumn="0" w:lastRowFirstColumn="0" w:lastRowLastColumn="0"/>
            <w:tcW w:w="3397" w:type="dxa"/>
          </w:tcPr>
          <w:p w14:paraId="7030651F" w14:textId="77777777" w:rsidR="00306AA3" w:rsidRPr="00306AA3" w:rsidRDefault="00306AA3" w:rsidP="00306AA3">
            <w:pPr>
              <w:tabs>
                <w:tab w:val="left" w:pos="5247"/>
              </w:tabs>
              <w:spacing w:before="28"/>
              <w:ind w:left="65" w:right="-18"/>
              <w:rPr>
                <w:rFonts w:ascii="Arial" w:hAnsi="Arial" w:cs="Arial"/>
                <w:b w:val="0"/>
                <w:bCs w:val="0"/>
                <w:color w:val="010302"/>
                <w:sz w:val="22"/>
                <w:szCs w:val="22"/>
              </w:rPr>
            </w:pPr>
            <w:r>
              <w:rPr>
                <w:rFonts w:ascii="Arial" w:hAnsi="Arial"/>
                <w:b w:val="0"/>
                <w:color w:val="000000"/>
                <w:sz w:val="22"/>
              </w:rPr>
              <w:t xml:space="preserve">Large employer: 100x average assessable salary or higher </w:t>
            </w:r>
            <w:r>
              <w:rPr>
                <w:rFonts w:ascii="Arial" w:hAnsi="Arial"/>
                <w:b w:val="0"/>
                <w:color w:val="000000"/>
                <w:sz w:val="22"/>
              </w:rPr>
              <w:tab/>
              <w:t>&gt;</w:t>
            </w:r>
            <w:r>
              <w:rPr>
                <w:rFonts w:ascii="Arial" w:hAnsi="Arial"/>
                <w:b w:val="0"/>
                <w:sz w:val="22"/>
              </w:rPr>
              <w:t xml:space="preserve"> </w:t>
            </w:r>
          </w:p>
        </w:tc>
        <w:tc>
          <w:tcPr>
            <w:tcW w:w="2932" w:type="dxa"/>
          </w:tcPr>
          <w:p w14:paraId="0BA43C18" w14:textId="0BC03F7E" w:rsidR="00306AA3" w:rsidRPr="00306AA3" w:rsidRDefault="00306AA3" w:rsidP="00306AA3">
            <w:pPr>
              <w:spacing w:before="28"/>
              <w:ind w:left="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Pr>
                <w:rFonts w:ascii="Arial" w:hAnsi="Arial"/>
                <w:color w:val="000000"/>
                <w:sz w:val="22"/>
              </w:rPr>
              <w:t>€ 3,960,000</w:t>
            </w:r>
            <w:r>
              <w:rPr>
                <w:rFonts w:ascii="Arial" w:hAnsi="Arial"/>
                <w:sz w:val="22"/>
              </w:rPr>
              <w:t xml:space="preserve"> </w:t>
            </w:r>
          </w:p>
        </w:tc>
        <w:tc>
          <w:tcPr>
            <w:tcW w:w="3164" w:type="dxa"/>
          </w:tcPr>
          <w:p w14:paraId="36A21280" w14:textId="4F69DDB0" w:rsidR="00306AA3" w:rsidRPr="00306AA3" w:rsidRDefault="00306AA3" w:rsidP="00306AA3">
            <w:pPr>
              <w:spacing w:before="28"/>
              <w:ind w:left="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pacing w:val="-6"/>
                <w:sz w:val="22"/>
                <w:szCs w:val="22"/>
              </w:rPr>
            </w:pPr>
            <w:r>
              <w:rPr>
                <w:rFonts w:ascii="Arial" w:hAnsi="Arial"/>
                <w:color w:val="000000"/>
                <w:sz w:val="22"/>
              </w:rPr>
              <w:t>€ 4,330,000</w:t>
            </w:r>
          </w:p>
        </w:tc>
      </w:tr>
    </w:tbl>
    <w:p w14:paraId="79CCD22C" w14:textId="77777777" w:rsidR="00306AA3" w:rsidRDefault="00306AA3" w:rsidP="00306AA3">
      <w:pPr>
        <w:rPr>
          <w:rFonts w:ascii="Arial" w:hAnsi="Arial" w:cs="Arial"/>
          <w:sz w:val="22"/>
          <w:szCs w:val="22"/>
        </w:rPr>
      </w:pPr>
    </w:p>
    <w:p w14:paraId="760E6328" w14:textId="77777777" w:rsidR="00306AA3" w:rsidRDefault="00306AA3" w:rsidP="00306AA3">
      <w:pPr>
        <w:rPr>
          <w:rFonts w:ascii="Arial" w:hAnsi="Arial" w:cs="Arial"/>
          <w:sz w:val="22"/>
          <w:szCs w:val="22"/>
        </w:rPr>
      </w:pPr>
    </w:p>
    <w:p w14:paraId="33489D22" w14:textId="77777777" w:rsidR="00306AA3" w:rsidRDefault="00306AA3" w:rsidP="00306AA3">
      <w:pPr>
        <w:rPr>
          <w:rFonts w:ascii="Arial" w:hAnsi="Arial" w:cs="Arial"/>
          <w:sz w:val="22"/>
          <w:szCs w:val="22"/>
        </w:rPr>
      </w:pPr>
    </w:p>
    <w:p w14:paraId="6F76E664" w14:textId="64514372" w:rsidR="007559B5" w:rsidRDefault="00306AA3" w:rsidP="007559B5">
      <w:pPr>
        <w:pStyle w:val="SRAKopje"/>
        <w:ind w:left="2124" w:hanging="2124"/>
        <w:rPr>
          <w:rFonts w:ascii="Arial" w:hAnsi="Arial" w:cs="Arial"/>
        </w:rPr>
      </w:pPr>
      <w:bookmarkStart w:id="134" w:name="_Toc155866669"/>
      <w:r>
        <w:rPr>
          <w:rFonts w:ascii="Arial" w:hAnsi="Arial"/>
        </w:rPr>
        <w:t>Table 6</w:t>
      </w:r>
      <w:r>
        <w:rPr>
          <w:rFonts w:ascii="Arial" w:hAnsi="Arial"/>
        </w:rPr>
        <w:tab/>
        <w:t>Amounts of maximum assessable salary per pay period for contributions to employee insurance schemes and income-dependent contributions under Healthcare Insurance Act (Zvw)</w:t>
      </w:r>
      <w:bookmarkEnd w:id="134"/>
    </w:p>
    <w:p w14:paraId="3531D5D1" w14:textId="77777777" w:rsidR="00AB3487" w:rsidRPr="00AA7EF5" w:rsidRDefault="00AB3487" w:rsidP="00AA7EF5">
      <w:pPr>
        <w:rPr>
          <w:rFonts w:ascii="Arial" w:hAnsi="Arial" w:cs="Arial"/>
          <w:sz w:val="22"/>
          <w:szCs w:val="22"/>
        </w:rPr>
      </w:pPr>
    </w:p>
    <w:tbl>
      <w:tblPr>
        <w:tblStyle w:val="Rastertabel4-Accent3"/>
        <w:tblW w:w="9493" w:type="dxa"/>
        <w:tblLook w:val="04A0" w:firstRow="1" w:lastRow="0" w:firstColumn="1" w:lastColumn="0" w:noHBand="0" w:noVBand="1"/>
      </w:tblPr>
      <w:tblGrid>
        <w:gridCol w:w="780"/>
        <w:gridCol w:w="1327"/>
        <w:gridCol w:w="1411"/>
        <w:gridCol w:w="1543"/>
        <w:gridCol w:w="1544"/>
        <w:gridCol w:w="1444"/>
        <w:gridCol w:w="1444"/>
      </w:tblGrid>
      <w:tr w:rsidR="00C249A3" w:rsidRPr="00AB3487" w14:paraId="4075C1B6" w14:textId="77777777" w:rsidTr="00ED6EF9">
        <w:trPr>
          <w:cnfStyle w:val="100000000000" w:firstRow="1" w:lastRow="0" w:firstColumn="0" w:lastColumn="0" w:oddVBand="0" w:evenVBand="0" w:oddHBand="0"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781" w:type="dxa"/>
          </w:tcPr>
          <w:p w14:paraId="7ECF0A40" w14:textId="77777777" w:rsidR="00AB3487" w:rsidRPr="00AB3487" w:rsidRDefault="00AB3487" w:rsidP="00AB3487">
            <w:pPr>
              <w:spacing w:before="66"/>
              <w:ind w:left="65" w:right="-18"/>
              <w:rPr>
                <w:rFonts w:ascii="Arial" w:hAnsi="Arial" w:cs="Arial"/>
                <w:color w:val="010302"/>
                <w:sz w:val="22"/>
                <w:szCs w:val="22"/>
              </w:rPr>
            </w:pPr>
            <w:bookmarkStart w:id="135" w:name="_Hlk155865191"/>
            <w:r>
              <w:rPr>
                <w:rFonts w:ascii="Arial" w:hAnsi="Arial"/>
                <w:color w:val="010302"/>
                <w:sz w:val="22"/>
              </w:rPr>
              <w:t>Year</w:t>
            </w:r>
          </w:p>
        </w:tc>
        <w:tc>
          <w:tcPr>
            <w:tcW w:w="1341" w:type="dxa"/>
          </w:tcPr>
          <w:p w14:paraId="67C944C4" w14:textId="77777777" w:rsidR="00AB3487" w:rsidRPr="00AB3487" w:rsidRDefault="00AB3487" w:rsidP="00AB3487">
            <w:pPr>
              <w:spacing w:before="66"/>
              <w:ind w:left="65" w:right="-18"/>
              <w:cnfStyle w:val="100000000000" w:firstRow="1" w:lastRow="0" w:firstColumn="0" w:lastColumn="0" w:oddVBand="0" w:evenVBand="0" w:oddHBand="0" w:evenHBand="0" w:firstRowFirstColumn="0" w:firstRowLastColumn="0" w:lastRowFirstColumn="0" w:lastRowLastColumn="0"/>
              <w:rPr>
                <w:rFonts w:ascii="Arial" w:hAnsi="Arial" w:cs="Arial"/>
                <w:color w:val="010302"/>
                <w:sz w:val="22"/>
                <w:szCs w:val="22"/>
              </w:rPr>
            </w:pPr>
            <w:r>
              <w:rPr>
                <w:rFonts w:ascii="Arial" w:hAnsi="Arial"/>
                <w:color w:val="010302"/>
                <w:sz w:val="22"/>
              </w:rPr>
              <w:t>Day</w:t>
            </w:r>
          </w:p>
        </w:tc>
        <w:tc>
          <w:tcPr>
            <w:tcW w:w="1417" w:type="dxa"/>
          </w:tcPr>
          <w:p w14:paraId="2F5FF56F" w14:textId="77777777" w:rsidR="00AB3487" w:rsidRPr="00AB3487" w:rsidRDefault="00AB3487" w:rsidP="00AB3487">
            <w:pPr>
              <w:spacing w:before="66"/>
              <w:ind w:left="65" w:right="-18"/>
              <w:cnfStyle w:val="100000000000" w:firstRow="1" w:lastRow="0" w:firstColumn="0" w:lastColumn="0" w:oddVBand="0" w:evenVBand="0" w:oddHBand="0" w:evenHBand="0" w:firstRowFirstColumn="0" w:firstRowLastColumn="0" w:lastRowFirstColumn="0" w:lastRowLastColumn="0"/>
              <w:rPr>
                <w:rFonts w:ascii="Arial" w:hAnsi="Arial" w:cs="Arial"/>
                <w:color w:val="010302"/>
                <w:sz w:val="22"/>
                <w:szCs w:val="22"/>
              </w:rPr>
            </w:pPr>
            <w:r>
              <w:rPr>
                <w:rFonts w:ascii="Arial" w:hAnsi="Arial"/>
                <w:color w:val="010302"/>
                <w:sz w:val="22"/>
              </w:rPr>
              <w:t>Week</w:t>
            </w:r>
          </w:p>
        </w:tc>
        <w:tc>
          <w:tcPr>
            <w:tcW w:w="1559" w:type="dxa"/>
          </w:tcPr>
          <w:p w14:paraId="0F578230" w14:textId="72337923" w:rsidR="00AB3487" w:rsidRPr="00AB3487" w:rsidRDefault="00AB3487" w:rsidP="00AB3487">
            <w:pPr>
              <w:spacing w:before="66"/>
              <w:ind w:left="65" w:right="-18"/>
              <w:cnfStyle w:val="100000000000" w:firstRow="1" w:lastRow="0" w:firstColumn="0" w:lastColumn="0" w:oddVBand="0" w:evenVBand="0" w:oddHBand="0" w:evenHBand="0" w:firstRowFirstColumn="0" w:firstRowLastColumn="0" w:lastRowFirstColumn="0" w:lastRowLastColumn="0"/>
              <w:rPr>
                <w:rFonts w:ascii="Arial" w:hAnsi="Arial" w:cs="Arial"/>
                <w:color w:val="010302"/>
                <w:sz w:val="22"/>
                <w:szCs w:val="22"/>
              </w:rPr>
            </w:pPr>
            <w:r>
              <w:rPr>
                <w:rFonts w:ascii="Arial" w:hAnsi="Arial"/>
                <w:color w:val="010302"/>
                <w:sz w:val="22"/>
              </w:rPr>
              <w:t>4 weeks</w:t>
            </w:r>
          </w:p>
        </w:tc>
        <w:tc>
          <w:tcPr>
            <w:tcW w:w="1560" w:type="dxa"/>
          </w:tcPr>
          <w:p w14:paraId="2B2A1D44" w14:textId="77777777" w:rsidR="00AB3487" w:rsidRPr="00AB3487" w:rsidRDefault="00AB3487" w:rsidP="00AB3487">
            <w:pPr>
              <w:spacing w:before="66"/>
              <w:ind w:left="65" w:right="-18"/>
              <w:cnfStyle w:val="100000000000" w:firstRow="1" w:lastRow="0" w:firstColumn="0" w:lastColumn="0" w:oddVBand="0" w:evenVBand="0" w:oddHBand="0" w:evenHBand="0" w:firstRowFirstColumn="0" w:firstRowLastColumn="0" w:lastRowFirstColumn="0" w:lastRowLastColumn="0"/>
              <w:rPr>
                <w:rFonts w:ascii="Arial" w:hAnsi="Arial" w:cs="Arial"/>
                <w:color w:val="010302"/>
                <w:sz w:val="22"/>
                <w:szCs w:val="22"/>
              </w:rPr>
            </w:pPr>
            <w:r>
              <w:rPr>
                <w:rFonts w:ascii="Arial" w:hAnsi="Arial"/>
                <w:color w:val="010302"/>
                <w:sz w:val="22"/>
              </w:rPr>
              <w:t>Month</w:t>
            </w:r>
          </w:p>
        </w:tc>
        <w:tc>
          <w:tcPr>
            <w:tcW w:w="1417" w:type="dxa"/>
          </w:tcPr>
          <w:p w14:paraId="09B18B87" w14:textId="77777777" w:rsidR="00AB3487" w:rsidRPr="00AB3487" w:rsidRDefault="00AB3487" w:rsidP="00AB3487">
            <w:pPr>
              <w:spacing w:before="66"/>
              <w:ind w:left="65" w:right="-18"/>
              <w:cnfStyle w:val="100000000000" w:firstRow="1" w:lastRow="0" w:firstColumn="0" w:lastColumn="0" w:oddVBand="0" w:evenVBand="0" w:oddHBand="0" w:evenHBand="0" w:firstRowFirstColumn="0" w:firstRowLastColumn="0" w:lastRowFirstColumn="0" w:lastRowLastColumn="0"/>
              <w:rPr>
                <w:rFonts w:ascii="Arial" w:hAnsi="Arial" w:cs="Arial"/>
                <w:color w:val="010302"/>
                <w:sz w:val="22"/>
                <w:szCs w:val="22"/>
              </w:rPr>
            </w:pPr>
            <w:r>
              <w:rPr>
                <w:rFonts w:ascii="Arial" w:hAnsi="Arial"/>
                <w:color w:val="010302"/>
                <w:sz w:val="22"/>
              </w:rPr>
              <w:t>Quarter</w:t>
            </w:r>
          </w:p>
        </w:tc>
        <w:tc>
          <w:tcPr>
            <w:tcW w:w="1418" w:type="dxa"/>
          </w:tcPr>
          <w:p w14:paraId="7B427B01" w14:textId="77777777" w:rsidR="00AB3487" w:rsidRPr="00AB3487" w:rsidRDefault="00AB3487" w:rsidP="00AB3487">
            <w:pPr>
              <w:spacing w:before="66"/>
              <w:ind w:left="65" w:right="-18"/>
              <w:cnfStyle w:val="100000000000" w:firstRow="1" w:lastRow="0" w:firstColumn="0" w:lastColumn="0" w:oddVBand="0" w:evenVBand="0" w:oddHBand="0" w:evenHBand="0" w:firstRowFirstColumn="0" w:firstRowLastColumn="0" w:lastRowFirstColumn="0" w:lastRowLastColumn="0"/>
              <w:rPr>
                <w:rFonts w:ascii="Arial" w:hAnsi="Arial" w:cs="Arial"/>
                <w:color w:val="010302"/>
                <w:sz w:val="22"/>
                <w:szCs w:val="22"/>
              </w:rPr>
            </w:pPr>
            <w:r>
              <w:rPr>
                <w:rFonts w:ascii="Arial" w:hAnsi="Arial"/>
                <w:color w:val="010302"/>
                <w:sz w:val="22"/>
              </w:rPr>
              <w:t>Year</w:t>
            </w:r>
          </w:p>
        </w:tc>
      </w:tr>
      <w:tr w:rsidR="00C249A3" w:rsidRPr="00AB3487" w14:paraId="17659C70" w14:textId="77777777" w:rsidTr="00ED6EF9">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781" w:type="dxa"/>
          </w:tcPr>
          <w:p w14:paraId="00952FC6" w14:textId="31E569EC" w:rsidR="00AB3487" w:rsidRPr="00AB3487" w:rsidRDefault="00AB3487" w:rsidP="00AB3487">
            <w:pPr>
              <w:spacing w:before="28"/>
              <w:ind w:left="65" w:right="-18"/>
              <w:rPr>
                <w:rFonts w:ascii="Arial" w:hAnsi="Arial" w:cs="Arial"/>
                <w:b w:val="0"/>
                <w:bCs w:val="0"/>
                <w:color w:val="000000"/>
                <w:spacing w:val="-8"/>
                <w:sz w:val="22"/>
                <w:szCs w:val="22"/>
              </w:rPr>
            </w:pPr>
            <w:r>
              <w:rPr>
                <w:rFonts w:ascii="Arial" w:hAnsi="Arial"/>
                <w:b w:val="0"/>
                <w:color w:val="000000"/>
                <w:sz w:val="22"/>
              </w:rPr>
              <w:t>2025</w:t>
            </w:r>
          </w:p>
        </w:tc>
        <w:tc>
          <w:tcPr>
            <w:tcW w:w="1341" w:type="dxa"/>
          </w:tcPr>
          <w:p w14:paraId="76566B6F" w14:textId="660299C2" w:rsidR="00AB3487" w:rsidRPr="00AB3487" w:rsidRDefault="00AB3487" w:rsidP="00AB3487">
            <w:pPr>
              <w:spacing w:before="28"/>
              <w:ind w:left="65" w:right="-18"/>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pacing w:val="-8"/>
                <w:sz w:val="22"/>
                <w:szCs w:val="22"/>
              </w:rPr>
            </w:pPr>
            <w:r>
              <w:rPr>
                <w:rFonts w:ascii="Arial" w:hAnsi="Arial"/>
                <w:color w:val="000000"/>
                <w:sz w:val="22"/>
              </w:rPr>
              <w:t>€ 291.78</w:t>
            </w:r>
          </w:p>
        </w:tc>
        <w:tc>
          <w:tcPr>
            <w:tcW w:w="1417" w:type="dxa"/>
          </w:tcPr>
          <w:p w14:paraId="6C647D7B" w14:textId="5F20B779" w:rsidR="00AB3487" w:rsidRPr="00AB3487" w:rsidRDefault="00AB3487" w:rsidP="00AB3487">
            <w:pPr>
              <w:spacing w:before="28"/>
              <w:ind w:left="65" w:right="-18"/>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pacing w:val="-8"/>
                <w:sz w:val="22"/>
                <w:szCs w:val="22"/>
              </w:rPr>
            </w:pPr>
            <w:r>
              <w:rPr>
                <w:rFonts w:ascii="Arial" w:hAnsi="Arial"/>
                <w:color w:val="000000"/>
                <w:sz w:val="22"/>
              </w:rPr>
              <w:t>€ 1,458.92</w:t>
            </w:r>
          </w:p>
        </w:tc>
        <w:tc>
          <w:tcPr>
            <w:tcW w:w="1559" w:type="dxa"/>
          </w:tcPr>
          <w:p w14:paraId="662EBC4F" w14:textId="2B62E029" w:rsidR="00AB3487" w:rsidRPr="00AB3487" w:rsidRDefault="00AB3487" w:rsidP="00AB3487">
            <w:pPr>
              <w:spacing w:before="28"/>
              <w:ind w:left="65" w:right="-18"/>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pacing w:val="-8"/>
                <w:sz w:val="22"/>
                <w:szCs w:val="22"/>
              </w:rPr>
            </w:pPr>
            <w:r>
              <w:rPr>
                <w:rFonts w:ascii="Arial" w:hAnsi="Arial"/>
                <w:color w:val="000000"/>
                <w:sz w:val="22"/>
              </w:rPr>
              <w:t>€ 5,835.69</w:t>
            </w:r>
          </w:p>
        </w:tc>
        <w:tc>
          <w:tcPr>
            <w:tcW w:w="1560" w:type="dxa"/>
          </w:tcPr>
          <w:p w14:paraId="29FB20CE" w14:textId="06ED921C" w:rsidR="00AB3487" w:rsidRPr="00AB3487" w:rsidRDefault="00AB3487" w:rsidP="00AB3487">
            <w:pPr>
              <w:spacing w:before="28"/>
              <w:ind w:left="65" w:right="-18"/>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pacing w:val="-8"/>
                <w:sz w:val="22"/>
                <w:szCs w:val="22"/>
              </w:rPr>
            </w:pPr>
            <w:r>
              <w:rPr>
                <w:rFonts w:ascii="Arial" w:hAnsi="Arial"/>
                <w:color w:val="000000"/>
                <w:sz w:val="22"/>
              </w:rPr>
              <w:t>€ 6,322.00</w:t>
            </w:r>
          </w:p>
        </w:tc>
        <w:tc>
          <w:tcPr>
            <w:tcW w:w="1417" w:type="dxa"/>
          </w:tcPr>
          <w:p w14:paraId="22264D37" w14:textId="0261C6C2" w:rsidR="00AB3487" w:rsidRPr="00AB3487" w:rsidRDefault="00AB3487" w:rsidP="00AB3487">
            <w:pPr>
              <w:spacing w:before="28"/>
              <w:ind w:left="65" w:right="-18"/>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pacing w:val="-8"/>
                <w:sz w:val="22"/>
                <w:szCs w:val="22"/>
              </w:rPr>
            </w:pPr>
            <w:r>
              <w:rPr>
                <w:rFonts w:ascii="Arial" w:hAnsi="Arial"/>
                <w:color w:val="000000"/>
                <w:sz w:val="22"/>
              </w:rPr>
              <w:t>€ 18,966.00</w:t>
            </w:r>
          </w:p>
        </w:tc>
        <w:tc>
          <w:tcPr>
            <w:tcW w:w="1418" w:type="dxa"/>
          </w:tcPr>
          <w:p w14:paraId="326CEA4F" w14:textId="3FA4FF8B" w:rsidR="00AB3487" w:rsidRPr="00AB3487" w:rsidRDefault="00AB3487" w:rsidP="00AB3487">
            <w:pPr>
              <w:spacing w:before="28"/>
              <w:ind w:left="65" w:right="-18"/>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pacing w:val="-8"/>
                <w:sz w:val="22"/>
                <w:szCs w:val="22"/>
              </w:rPr>
            </w:pPr>
            <w:r>
              <w:rPr>
                <w:rFonts w:ascii="Arial" w:hAnsi="Arial"/>
                <w:color w:val="000000"/>
                <w:sz w:val="22"/>
              </w:rPr>
              <w:t>€ 75,864.00</w:t>
            </w:r>
          </w:p>
        </w:tc>
      </w:tr>
      <w:tr w:rsidR="00C249A3" w:rsidRPr="00AB3487" w14:paraId="2891AEEE" w14:textId="77777777" w:rsidTr="00ED6EF9">
        <w:trPr>
          <w:trHeight w:val="304"/>
        </w:trPr>
        <w:tc>
          <w:tcPr>
            <w:cnfStyle w:val="001000000000" w:firstRow="0" w:lastRow="0" w:firstColumn="1" w:lastColumn="0" w:oddVBand="0" w:evenVBand="0" w:oddHBand="0" w:evenHBand="0" w:firstRowFirstColumn="0" w:firstRowLastColumn="0" w:lastRowFirstColumn="0" w:lastRowLastColumn="0"/>
            <w:tcW w:w="781" w:type="dxa"/>
          </w:tcPr>
          <w:p w14:paraId="302F2FF5" w14:textId="491D432C" w:rsidR="00AB3487" w:rsidRPr="00AB3487" w:rsidRDefault="00AB3487" w:rsidP="00AB3487">
            <w:pPr>
              <w:spacing w:before="28"/>
              <w:ind w:left="65" w:right="-18"/>
              <w:rPr>
                <w:rFonts w:ascii="Arial" w:hAnsi="Arial" w:cs="Arial"/>
                <w:b w:val="0"/>
                <w:bCs w:val="0"/>
                <w:color w:val="000000"/>
                <w:spacing w:val="-8"/>
                <w:sz w:val="22"/>
                <w:szCs w:val="22"/>
              </w:rPr>
            </w:pPr>
            <w:r>
              <w:rPr>
                <w:rFonts w:ascii="Arial" w:hAnsi="Arial"/>
                <w:b w:val="0"/>
                <w:color w:val="000000"/>
                <w:sz w:val="22"/>
              </w:rPr>
              <w:t>2026</w:t>
            </w:r>
          </w:p>
        </w:tc>
        <w:tc>
          <w:tcPr>
            <w:tcW w:w="1341" w:type="dxa"/>
          </w:tcPr>
          <w:p w14:paraId="1D4F977B" w14:textId="3ECBEA22" w:rsidR="00AB3487" w:rsidRPr="00AB3487" w:rsidRDefault="00AB3487" w:rsidP="00AB3487">
            <w:pPr>
              <w:spacing w:before="28"/>
              <w:ind w:left="65" w:right="-18"/>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pacing w:val="-8"/>
                <w:sz w:val="22"/>
                <w:szCs w:val="22"/>
              </w:rPr>
            </w:pPr>
            <w:r>
              <w:rPr>
                <w:rFonts w:ascii="Arial" w:hAnsi="Arial"/>
                <w:color w:val="000000"/>
                <w:sz w:val="22"/>
              </w:rPr>
              <w:t>€ 305.41</w:t>
            </w:r>
          </w:p>
        </w:tc>
        <w:tc>
          <w:tcPr>
            <w:tcW w:w="1417" w:type="dxa"/>
          </w:tcPr>
          <w:p w14:paraId="11731C7C" w14:textId="02FB0AAA" w:rsidR="00AB3487" w:rsidRPr="00AB3487" w:rsidRDefault="00AB3487" w:rsidP="00AB3487">
            <w:pPr>
              <w:spacing w:before="28"/>
              <w:ind w:left="65" w:right="-18"/>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pacing w:val="-8"/>
                <w:sz w:val="22"/>
                <w:szCs w:val="22"/>
              </w:rPr>
            </w:pPr>
            <w:r>
              <w:rPr>
                <w:rFonts w:ascii="Arial" w:hAnsi="Arial"/>
                <w:color w:val="000000"/>
                <w:sz w:val="22"/>
              </w:rPr>
              <w:t>€ 1,527.09</w:t>
            </w:r>
          </w:p>
        </w:tc>
        <w:tc>
          <w:tcPr>
            <w:tcW w:w="1559" w:type="dxa"/>
          </w:tcPr>
          <w:p w14:paraId="08186983" w14:textId="4748D941" w:rsidR="00AB3487" w:rsidRPr="00AB3487" w:rsidRDefault="00AB3487" w:rsidP="00AB3487">
            <w:pPr>
              <w:spacing w:before="28"/>
              <w:ind w:left="65" w:right="-18"/>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pacing w:val="-8"/>
                <w:sz w:val="22"/>
                <w:szCs w:val="22"/>
              </w:rPr>
            </w:pPr>
            <w:r>
              <w:rPr>
                <w:rFonts w:ascii="Arial" w:hAnsi="Arial"/>
                <w:color w:val="000000"/>
                <w:sz w:val="22"/>
              </w:rPr>
              <w:t>€ 6,108.38</w:t>
            </w:r>
          </w:p>
        </w:tc>
        <w:tc>
          <w:tcPr>
            <w:tcW w:w="1560" w:type="dxa"/>
          </w:tcPr>
          <w:p w14:paraId="2B947D5D" w14:textId="65B8AAA9" w:rsidR="00AB3487" w:rsidRPr="00AB3487" w:rsidRDefault="00AB3487" w:rsidP="00AB3487">
            <w:pPr>
              <w:spacing w:before="28"/>
              <w:ind w:left="65" w:right="-18"/>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pacing w:val="-8"/>
                <w:sz w:val="22"/>
                <w:szCs w:val="22"/>
              </w:rPr>
            </w:pPr>
            <w:r>
              <w:rPr>
                <w:rFonts w:ascii="Arial" w:hAnsi="Arial"/>
                <w:color w:val="000000"/>
                <w:sz w:val="22"/>
              </w:rPr>
              <w:t>€ </w:t>
            </w:r>
            <w:bookmarkStart w:id="136" w:name="_Hlk184977871"/>
            <w:r>
              <w:rPr>
                <w:rFonts w:ascii="Arial" w:hAnsi="Arial"/>
                <w:color w:val="000000"/>
                <w:sz w:val="22"/>
              </w:rPr>
              <w:t>6,617.41</w:t>
            </w:r>
            <w:bookmarkEnd w:id="136"/>
          </w:p>
        </w:tc>
        <w:tc>
          <w:tcPr>
            <w:tcW w:w="1417" w:type="dxa"/>
          </w:tcPr>
          <w:p w14:paraId="7A9A2A27" w14:textId="05240A52" w:rsidR="00AB3487" w:rsidRPr="00AB3487" w:rsidRDefault="00AB3487" w:rsidP="00AB3487">
            <w:pPr>
              <w:spacing w:before="28"/>
              <w:ind w:left="65" w:right="-18"/>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pacing w:val="-8"/>
                <w:sz w:val="22"/>
                <w:szCs w:val="22"/>
              </w:rPr>
            </w:pPr>
            <w:r>
              <w:rPr>
                <w:rFonts w:ascii="Arial" w:hAnsi="Arial"/>
                <w:color w:val="000000"/>
                <w:sz w:val="22"/>
              </w:rPr>
              <w:t>€ 19,852.25</w:t>
            </w:r>
          </w:p>
        </w:tc>
        <w:tc>
          <w:tcPr>
            <w:tcW w:w="1418" w:type="dxa"/>
          </w:tcPr>
          <w:p w14:paraId="0750246A" w14:textId="70374C9A" w:rsidR="00AB3487" w:rsidRPr="00AB3487" w:rsidRDefault="00AB3487" w:rsidP="00AB3487">
            <w:pPr>
              <w:spacing w:before="28"/>
              <w:ind w:left="65" w:right="-18"/>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pacing w:val="-8"/>
                <w:sz w:val="22"/>
                <w:szCs w:val="22"/>
              </w:rPr>
            </w:pPr>
            <w:r>
              <w:rPr>
                <w:rFonts w:ascii="Arial" w:hAnsi="Arial"/>
                <w:color w:val="000000"/>
                <w:sz w:val="22"/>
              </w:rPr>
              <w:t>€ 79,409.00</w:t>
            </w:r>
          </w:p>
        </w:tc>
      </w:tr>
      <w:bookmarkEnd w:id="135"/>
    </w:tbl>
    <w:p w14:paraId="5DE64ECE" w14:textId="77777777" w:rsidR="007559B5" w:rsidRDefault="007559B5" w:rsidP="00306AA3">
      <w:pPr>
        <w:rPr>
          <w:rFonts w:ascii="Arial" w:hAnsi="Arial" w:cs="Arial"/>
          <w:sz w:val="22"/>
          <w:szCs w:val="22"/>
        </w:rPr>
      </w:pPr>
    </w:p>
    <w:p w14:paraId="163BE094" w14:textId="77777777" w:rsidR="00AB3487" w:rsidRDefault="00AB3487" w:rsidP="00306AA3">
      <w:pPr>
        <w:rPr>
          <w:rFonts w:ascii="Arial" w:hAnsi="Arial" w:cs="Arial"/>
          <w:sz w:val="22"/>
          <w:szCs w:val="22"/>
        </w:rPr>
      </w:pPr>
    </w:p>
    <w:p w14:paraId="19C59FA5" w14:textId="77777777" w:rsidR="00306AA3" w:rsidRPr="00306AA3" w:rsidRDefault="00306AA3" w:rsidP="008401D8">
      <w:pPr>
        <w:pStyle w:val="SRAKopje"/>
        <w:ind w:left="2124" w:right="-426" w:hanging="2124"/>
        <w:rPr>
          <w:rFonts w:ascii="Arial" w:hAnsi="Arial" w:cs="Arial"/>
        </w:rPr>
      </w:pPr>
      <w:bookmarkStart w:id="137" w:name="_Toc155866670"/>
      <w:r>
        <w:rPr>
          <w:rFonts w:ascii="Arial" w:hAnsi="Arial"/>
        </w:rPr>
        <w:lastRenderedPageBreak/>
        <w:t>Table 7</w:t>
      </w:r>
      <w:r>
        <w:rPr>
          <w:rFonts w:ascii="Arial" w:hAnsi="Arial"/>
        </w:rPr>
        <w:tab/>
      </w:r>
      <w:r w:rsidRPr="008401D8">
        <w:rPr>
          <w:rFonts w:ascii="Arial" w:hAnsi="Arial"/>
          <w:spacing w:val="-8"/>
        </w:rPr>
        <w:t>Percentages for contributions under Healthcare Insurance Act (Zvw)</w:t>
      </w:r>
      <w:bookmarkEnd w:id="137"/>
    </w:p>
    <w:p w14:paraId="16A9EBA5" w14:textId="77777777" w:rsidR="00306AA3" w:rsidRPr="00AA7EF5" w:rsidRDefault="00306AA3" w:rsidP="00AA7EF5">
      <w:pPr>
        <w:rPr>
          <w:rFonts w:ascii="Arial" w:hAnsi="Arial" w:cs="Arial"/>
          <w:sz w:val="22"/>
          <w:szCs w:val="22"/>
        </w:rPr>
      </w:pPr>
    </w:p>
    <w:tbl>
      <w:tblPr>
        <w:tblStyle w:val="Rastertabel4-Accent3"/>
        <w:tblW w:w="9498" w:type="dxa"/>
        <w:tblLayout w:type="fixed"/>
        <w:tblLook w:val="04A0" w:firstRow="1" w:lastRow="0" w:firstColumn="1" w:lastColumn="0" w:noHBand="0" w:noVBand="1"/>
      </w:tblPr>
      <w:tblGrid>
        <w:gridCol w:w="5103"/>
        <w:gridCol w:w="2127"/>
        <w:gridCol w:w="2268"/>
      </w:tblGrid>
      <w:tr w:rsidR="00306AA3" w:rsidRPr="00AC00D4" w14:paraId="65CE2F17" w14:textId="77777777" w:rsidTr="00ED6EF9">
        <w:trPr>
          <w:cnfStyle w:val="100000000000" w:firstRow="1" w:lastRow="0" w:firstColumn="0" w:lastColumn="0" w:oddVBand="0" w:evenVBand="0" w:oddHBand="0"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5103" w:type="dxa"/>
          </w:tcPr>
          <w:p w14:paraId="4D8A4B8A" w14:textId="77777777" w:rsidR="00306AA3" w:rsidRPr="00AB3487" w:rsidRDefault="00306AA3" w:rsidP="00AB3487">
            <w:pPr>
              <w:spacing w:before="66"/>
              <w:ind w:left="65" w:right="-18"/>
              <w:rPr>
                <w:rFonts w:ascii="Arial" w:hAnsi="Arial" w:cs="Arial"/>
                <w:color w:val="010302"/>
                <w:sz w:val="22"/>
                <w:szCs w:val="22"/>
              </w:rPr>
            </w:pPr>
            <w:r>
              <w:rPr>
                <w:rFonts w:ascii="Arial" w:hAnsi="Arial"/>
                <w:color w:val="010302"/>
                <w:sz w:val="22"/>
              </w:rPr>
              <w:t>Healthcare Insurance Act</w:t>
            </w:r>
          </w:p>
        </w:tc>
        <w:tc>
          <w:tcPr>
            <w:tcW w:w="2127" w:type="dxa"/>
          </w:tcPr>
          <w:p w14:paraId="4D80DBBA" w14:textId="33CBBA03" w:rsidR="00306AA3" w:rsidRPr="00AB3487" w:rsidRDefault="00306AA3" w:rsidP="00AB3487">
            <w:pPr>
              <w:spacing w:before="66"/>
              <w:ind w:left="65" w:right="-18"/>
              <w:cnfStyle w:val="100000000000" w:firstRow="1" w:lastRow="0" w:firstColumn="0" w:lastColumn="0" w:oddVBand="0" w:evenVBand="0" w:oddHBand="0" w:evenHBand="0" w:firstRowFirstColumn="0" w:firstRowLastColumn="0" w:lastRowFirstColumn="0" w:lastRowLastColumn="0"/>
              <w:rPr>
                <w:rFonts w:ascii="Arial" w:hAnsi="Arial" w:cs="Arial"/>
                <w:color w:val="010302"/>
                <w:sz w:val="22"/>
                <w:szCs w:val="22"/>
              </w:rPr>
            </w:pPr>
            <w:r>
              <w:rPr>
                <w:rFonts w:ascii="Arial" w:hAnsi="Arial"/>
                <w:color w:val="010302"/>
                <w:sz w:val="22"/>
              </w:rPr>
              <w:t>2025</w:t>
            </w:r>
          </w:p>
        </w:tc>
        <w:tc>
          <w:tcPr>
            <w:tcW w:w="2268" w:type="dxa"/>
          </w:tcPr>
          <w:p w14:paraId="637A4C4E" w14:textId="29ABC30F" w:rsidR="00306AA3" w:rsidRPr="00AB3487" w:rsidRDefault="00306AA3" w:rsidP="00AB3487">
            <w:pPr>
              <w:spacing w:before="66"/>
              <w:ind w:left="65" w:right="-18"/>
              <w:cnfStyle w:val="100000000000" w:firstRow="1" w:lastRow="0" w:firstColumn="0" w:lastColumn="0" w:oddVBand="0" w:evenVBand="0" w:oddHBand="0" w:evenHBand="0" w:firstRowFirstColumn="0" w:firstRowLastColumn="0" w:lastRowFirstColumn="0" w:lastRowLastColumn="0"/>
              <w:rPr>
                <w:rFonts w:ascii="Arial" w:hAnsi="Arial" w:cs="Arial"/>
                <w:color w:val="010302"/>
                <w:sz w:val="22"/>
                <w:szCs w:val="22"/>
              </w:rPr>
            </w:pPr>
            <w:r>
              <w:rPr>
                <w:rFonts w:ascii="Arial" w:hAnsi="Arial"/>
                <w:color w:val="010302"/>
                <w:sz w:val="22"/>
              </w:rPr>
              <w:t>2026</w:t>
            </w:r>
          </w:p>
        </w:tc>
      </w:tr>
      <w:tr w:rsidR="00306AA3" w:rsidRPr="00AC00D4" w14:paraId="57E1B158" w14:textId="77777777" w:rsidTr="00ED6EF9">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5103" w:type="dxa"/>
          </w:tcPr>
          <w:p w14:paraId="31F16EA2" w14:textId="77777777" w:rsidR="00306AA3" w:rsidRPr="00AB3487" w:rsidRDefault="00306AA3" w:rsidP="00AB3487">
            <w:pPr>
              <w:spacing w:before="28"/>
              <w:ind w:left="65" w:right="-18"/>
              <w:rPr>
                <w:rFonts w:ascii="Arial" w:hAnsi="Arial" w:cs="Arial"/>
                <w:b w:val="0"/>
                <w:color w:val="000000"/>
                <w:spacing w:val="-8"/>
                <w:sz w:val="22"/>
                <w:szCs w:val="22"/>
              </w:rPr>
            </w:pPr>
            <w:r>
              <w:rPr>
                <w:rFonts w:ascii="Arial" w:hAnsi="Arial"/>
                <w:b w:val="0"/>
                <w:color w:val="000000"/>
                <w:sz w:val="22"/>
              </w:rPr>
              <w:t>Employer levy under Zvw</w:t>
            </w:r>
          </w:p>
        </w:tc>
        <w:tc>
          <w:tcPr>
            <w:tcW w:w="2127" w:type="dxa"/>
          </w:tcPr>
          <w:p w14:paraId="162DF833" w14:textId="3D66D23E" w:rsidR="00306AA3" w:rsidRPr="00AB3487" w:rsidRDefault="00306AA3" w:rsidP="00AB3487">
            <w:pPr>
              <w:spacing w:before="28"/>
              <w:ind w:left="65" w:right="-18"/>
              <w:cnfStyle w:val="000000100000" w:firstRow="0" w:lastRow="0" w:firstColumn="0" w:lastColumn="0" w:oddVBand="0" w:evenVBand="0" w:oddHBand="1" w:evenHBand="0" w:firstRowFirstColumn="0" w:firstRowLastColumn="0" w:lastRowFirstColumn="0" w:lastRowLastColumn="0"/>
              <w:rPr>
                <w:rFonts w:ascii="Arial" w:hAnsi="Arial" w:cs="Arial"/>
                <w:bCs/>
                <w:color w:val="000000"/>
                <w:spacing w:val="-8"/>
                <w:sz w:val="22"/>
                <w:szCs w:val="22"/>
              </w:rPr>
            </w:pPr>
            <w:r>
              <w:rPr>
                <w:rFonts w:ascii="Arial" w:hAnsi="Arial"/>
                <w:color w:val="000000"/>
                <w:sz w:val="22"/>
              </w:rPr>
              <w:t>6.51%</w:t>
            </w:r>
          </w:p>
        </w:tc>
        <w:tc>
          <w:tcPr>
            <w:tcW w:w="2268" w:type="dxa"/>
          </w:tcPr>
          <w:p w14:paraId="7C976A9B" w14:textId="07F7FAD3" w:rsidR="00306AA3" w:rsidRPr="00AB3487" w:rsidRDefault="00306AA3" w:rsidP="00AB3487">
            <w:pPr>
              <w:spacing w:before="28"/>
              <w:ind w:left="65" w:right="-18"/>
              <w:cnfStyle w:val="000000100000" w:firstRow="0" w:lastRow="0" w:firstColumn="0" w:lastColumn="0" w:oddVBand="0" w:evenVBand="0" w:oddHBand="1" w:evenHBand="0" w:firstRowFirstColumn="0" w:firstRowLastColumn="0" w:lastRowFirstColumn="0" w:lastRowLastColumn="0"/>
              <w:rPr>
                <w:rFonts w:ascii="Arial" w:hAnsi="Arial" w:cs="Arial"/>
                <w:bCs/>
                <w:color w:val="000000"/>
                <w:spacing w:val="-8"/>
                <w:sz w:val="22"/>
                <w:szCs w:val="22"/>
              </w:rPr>
            </w:pPr>
            <w:r>
              <w:rPr>
                <w:rFonts w:ascii="Arial" w:hAnsi="Arial"/>
                <w:color w:val="000000"/>
                <w:sz w:val="22"/>
              </w:rPr>
              <w:t>6.10%</w:t>
            </w:r>
          </w:p>
        </w:tc>
      </w:tr>
      <w:tr w:rsidR="00306AA3" w:rsidRPr="00AC00D4" w14:paraId="77533112" w14:textId="77777777" w:rsidTr="00ED6EF9">
        <w:trPr>
          <w:trHeight w:val="252"/>
        </w:trPr>
        <w:tc>
          <w:tcPr>
            <w:cnfStyle w:val="001000000000" w:firstRow="0" w:lastRow="0" w:firstColumn="1" w:lastColumn="0" w:oddVBand="0" w:evenVBand="0" w:oddHBand="0" w:evenHBand="0" w:firstRowFirstColumn="0" w:firstRowLastColumn="0" w:lastRowFirstColumn="0" w:lastRowLastColumn="0"/>
            <w:tcW w:w="5103" w:type="dxa"/>
          </w:tcPr>
          <w:p w14:paraId="085D72AF" w14:textId="77777777" w:rsidR="00306AA3" w:rsidRPr="00AB3487" w:rsidRDefault="00306AA3" w:rsidP="00AB3487">
            <w:pPr>
              <w:spacing w:before="28"/>
              <w:ind w:left="65" w:right="-18"/>
              <w:rPr>
                <w:rFonts w:ascii="Arial" w:hAnsi="Arial" w:cs="Arial"/>
                <w:b w:val="0"/>
                <w:color w:val="000000"/>
                <w:spacing w:val="-8"/>
                <w:sz w:val="22"/>
                <w:szCs w:val="22"/>
              </w:rPr>
            </w:pPr>
            <w:r>
              <w:rPr>
                <w:rFonts w:ascii="Arial" w:hAnsi="Arial"/>
                <w:b w:val="0"/>
                <w:color w:val="000000"/>
                <w:sz w:val="22"/>
              </w:rPr>
              <w:t>Zvw contribution deducted by employer</w:t>
            </w:r>
          </w:p>
        </w:tc>
        <w:tc>
          <w:tcPr>
            <w:tcW w:w="2127" w:type="dxa"/>
          </w:tcPr>
          <w:p w14:paraId="040564C4" w14:textId="4F5E1BBC" w:rsidR="00306AA3" w:rsidRPr="00AB3487" w:rsidRDefault="00306AA3" w:rsidP="00AB3487">
            <w:pPr>
              <w:spacing w:before="28"/>
              <w:ind w:left="65" w:right="-18"/>
              <w:cnfStyle w:val="000000000000" w:firstRow="0" w:lastRow="0" w:firstColumn="0" w:lastColumn="0" w:oddVBand="0" w:evenVBand="0" w:oddHBand="0" w:evenHBand="0" w:firstRowFirstColumn="0" w:firstRowLastColumn="0" w:lastRowFirstColumn="0" w:lastRowLastColumn="0"/>
              <w:rPr>
                <w:rFonts w:ascii="Arial" w:hAnsi="Arial" w:cs="Arial"/>
                <w:bCs/>
                <w:color w:val="000000"/>
                <w:spacing w:val="-8"/>
                <w:sz w:val="22"/>
                <w:szCs w:val="22"/>
              </w:rPr>
            </w:pPr>
            <w:r>
              <w:rPr>
                <w:rFonts w:ascii="Arial" w:hAnsi="Arial"/>
                <w:color w:val="000000"/>
                <w:sz w:val="22"/>
              </w:rPr>
              <w:t>5.26%</w:t>
            </w:r>
          </w:p>
        </w:tc>
        <w:tc>
          <w:tcPr>
            <w:tcW w:w="2268" w:type="dxa"/>
          </w:tcPr>
          <w:p w14:paraId="5DF767BA" w14:textId="023BF409" w:rsidR="00306AA3" w:rsidRPr="00AB3487" w:rsidRDefault="00C249A3" w:rsidP="00AB3487">
            <w:pPr>
              <w:spacing w:before="28"/>
              <w:ind w:left="65" w:right="-18"/>
              <w:cnfStyle w:val="000000000000" w:firstRow="0" w:lastRow="0" w:firstColumn="0" w:lastColumn="0" w:oddVBand="0" w:evenVBand="0" w:oddHBand="0" w:evenHBand="0" w:firstRowFirstColumn="0" w:firstRowLastColumn="0" w:lastRowFirstColumn="0" w:lastRowLastColumn="0"/>
              <w:rPr>
                <w:rFonts w:ascii="Arial" w:hAnsi="Arial" w:cs="Arial"/>
                <w:bCs/>
                <w:color w:val="000000"/>
                <w:spacing w:val="-8"/>
                <w:sz w:val="22"/>
                <w:szCs w:val="22"/>
              </w:rPr>
            </w:pPr>
            <w:r>
              <w:rPr>
                <w:rFonts w:ascii="Arial" w:hAnsi="Arial"/>
                <w:color w:val="000000"/>
                <w:sz w:val="22"/>
              </w:rPr>
              <w:t>4.85%</w:t>
            </w:r>
          </w:p>
        </w:tc>
      </w:tr>
      <w:tr w:rsidR="00306AA3" w:rsidRPr="00AC00D4" w14:paraId="66EFDED2" w14:textId="77777777" w:rsidTr="00ED6EF9">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103" w:type="dxa"/>
          </w:tcPr>
          <w:p w14:paraId="4D8E6BF6" w14:textId="77777777" w:rsidR="00306AA3" w:rsidRPr="00AB3487" w:rsidRDefault="00306AA3" w:rsidP="00AB3487">
            <w:pPr>
              <w:spacing w:before="28"/>
              <w:ind w:left="65" w:right="-18"/>
              <w:rPr>
                <w:rFonts w:ascii="Arial" w:hAnsi="Arial" w:cs="Arial"/>
                <w:b w:val="0"/>
                <w:color w:val="000000"/>
                <w:spacing w:val="-8"/>
                <w:sz w:val="22"/>
                <w:szCs w:val="22"/>
              </w:rPr>
            </w:pPr>
            <w:r>
              <w:rPr>
                <w:rFonts w:ascii="Arial" w:hAnsi="Arial"/>
                <w:b w:val="0"/>
                <w:color w:val="000000"/>
                <w:sz w:val="22"/>
              </w:rPr>
              <w:t>Seafarers (including share fishermen)</w:t>
            </w:r>
          </w:p>
        </w:tc>
        <w:tc>
          <w:tcPr>
            <w:tcW w:w="2127" w:type="dxa"/>
          </w:tcPr>
          <w:p w14:paraId="6BD08FE9" w14:textId="77777777" w:rsidR="00306AA3" w:rsidRPr="00AB3487" w:rsidRDefault="00306AA3" w:rsidP="00AB3487">
            <w:pPr>
              <w:spacing w:before="28"/>
              <w:ind w:left="65" w:right="-18"/>
              <w:cnfStyle w:val="000000100000" w:firstRow="0" w:lastRow="0" w:firstColumn="0" w:lastColumn="0" w:oddVBand="0" w:evenVBand="0" w:oddHBand="1" w:evenHBand="0" w:firstRowFirstColumn="0" w:firstRowLastColumn="0" w:lastRowFirstColumn="0" w:lastRowLastColumn="0"/>
              <w:rPr>
                <w:rFonts w:ascii="Arial" w:hAnsi="Arial" w:cs="Arial"/>
                <w:bCs/>
                <w:color w:val="000000"/>
                <w:spacing w:val="-8"/>
                <w:sz w:val="22"/>
                <w:szCs w:val="22"/>
              </w:rPr>
            </w:pPr>
            <w:r>
              <w:rPr>
                <w:rFonts w:ascii="Arial" w:hAnsi="Arial"/>
                <w:color w:val="000000"/>
                <w:sz w:val="22"/>
              </w:rPr>
              <w:t>0.00%</w:t>
            </w:r>
          </w:p>
        </w:tc>
        <w:tc>
          <w:tcPr>
            <w:tcW w:w="2268" w:type="dxa"/>
          </w:tcPr>
          <w:p w14:paraId="3B2DCBCA" w14:textId="77777777" w:rsidR="00306AA3" w:rsidRPr="00AB3487" w:rsidRDefault="00306AA3" w:rsidP="00AB3487">
            <w:pPr>
              <w:spacing w:before="28"/>
              <w:ind w:left="65" w:right="-18"/>
              <w:cnfStyle w:val="000000100000" w:firstRow="0" w:lastRow="0" w:firstColumn="0" w:lastColumn="0" w:oddVBand="0" w:evenVBand="0" w:oddHBand="1" w:evenHBand="0" w:firstRowFirstColumn="0" w:firstRowLastColumn="0" w:lastRowFirstColumn="0" w:lastRowLastColumn="0"/>
              <w:rPr>
                <w:rFonts w:ascii="Arial" w:hAnsi="Arial" w:cs="Arial"/>
                <w:bCs/>
                <w:color w:val="000000"/>
                <w:spacing w:val="-8"/>
                <w:sz w:val="22"/>
                <w:szCs w:val="22"/>
              </w:rPr>
            </w:pPr>
            <w:r>
              <w:rPr>
                <w:rFonts w:ascii="Arial" w:hAnsi="Arial"/>
                <w:color w:val="000000"/>
                <w:sz w:val="22"/>
              </w:rPr>
              <w:t>0.00%</w:t>
            </w:r>
          </w:p>
        </w:tc>
      </w:tr>
      <w:tr w:rsidR="00306AA3" w:rsidRPr="00AC00D4" w14:paraId="1D386530" w14:textId="77777777" w:rsidTr="00ED6EF9">
        <w:trPr>
          <w:trHeight w:val="285"/>
        </w:trPr>
        <w:tc>
          <w:tcPr>
            <w:cnfStyle w:val="001000000000" w:firstRow="0" w:lastRow="0" w:firstColumn="1" w:lastColumn="0" w:oddVBand="0" w:evenVBand="0" w:oddHBand="0" w:evenHBand="0" w:firstRowFirstColumn="0" w:firstRowLastColumn="0" w:lastRowFirstColumn="0" w:lastRowLastColumn="0"/>
            <w:tcW w:w="5103" w:type="dxa"/>
          </w:tcPr>
          <w:p w14:paraId="1B440159" w14:textId="77777777" w:rsidR="00306AA3" w:rsidRPr="00AB3487" w:rsidRDefault="00306AA3" w:rsidP="00AB3487">
            <w:pPr>
              <w:spacing w:before="28"/>
              <w:ind w:left="65" w:right="-18"/>
              <w:rPr>
                <w:rFonts w:ascii="Arial" w:hAnsi="Arial" w:cs="Arial"/>
                <w:b w:val="0"/>
                <w:color w:val="000000"/>
                <w:spacing w:val="-8"/>
                <w:sz w:val="22"/>
                <w:szCs w:val="22"/>
              </w:rPr>
            </w:pPr>
            <w:r>
              <w:rPr>
                <w:rFonts w:ascii="Arial" w:hAnsi="Arial"/>
                <w:b w:val="0"/>
                <w:color w:val="000000"/>
                <w:sz w:val="22"/>
              </w:rPr>
              <w:t>Maximum assessable salary for Healthcare Insurance Act</w:t>
            </w:r>
          </w:p>
        </w:tc>
        <w:tc>
          <w:tcPr>
            <w:tcW w:w="2127" w:type="dxa"/>
          </w:tcPr>
          <w:p w14:paraId="1AF46BC1" w14:textId="510DA189" w:rsidR="00306AA3" w:rsidRPr="00AB3487" w:rsidRDefault="00306AA3" w:rsidP="00AB3487">
            <w:pPr>
              <w:spacing w:before="28"/>
              <w:ind w:left="65" w:right="-18"/>
              <w:cnfStyle w:val="000000000000" w:firstRow="0" w:lastRow="0" w:firstColumn="0" w:lastColumn="0" w:oddVBand="0" w:evenVBand="0" w:oddHBand="0" w:evenHBand="0" w:firstRowFirstColumn="0" w:firstRowLastColumn="0" w:lastRowFirstColumn="0" w:lastRowLastColumn="0"/>
              <w:rPr>
                <w:rFonts w:ascii="Arial" w:hAnsi="Arial" w:cs="Arial"/>
                <w:bCs/>
                <w:color w:val="000000"/>
                <w:spacing w:val="-8"/>
                <w:sz w:val="22"/>
                <w:szCs w:val="22"/>
              </w:rPr>
            </w:pPr>
            <w:r>
              <w:rPr>
                <w:rFonts w:ascii="Arial" w:hAnsi="Arial"/>
                <w:color w:val="000000"/>
                <w:sz w:val="22"/>
              </w:rPr>
              <w:t>€ 75,864</w:t>
            </w:r>
          </w:p>
        </w:tc>
        <w:tc>
          <w:tcPr>
            <w:tcW w:w="2268" w:type="dxa"/>
          </w:tcPr>
          <w:p w14:paraId="2DD69C56" w14:textId="12FADB51" w:rsidR="00306AA3" w:rsidRPr="00AB3487" w:rsidRDefault="00306AA3" w:rsidP="00AB3487">
            <w:pPr>
              <w:spacing w:before="28"/>
              <w:ind w:left="65" w:right="-18"/>
              <w:cnfStyle w:val="000000000000" w:firstRow="0" w:lastRow="0" w:firstColumn="0" w:lastColumn="0" w:oddVBand="0" w:evenVBand="0" w:oddHBand="0" w:evenHBand="0" w:firstRowFirstColumn="0" w:firstRowLastColumn="0" w:lastRowFirstColumn="0" w:lastRowLastColumn="0"/>
              <w:rPr>
                <w:rFonts w:ascii="Arial" w:hAnsi="Arial" w:cs="Arial"/>
                <w:bCs/>
                <w:color w:val="000000"/>
                <w:spacing w:val="-8"/>
                <w:sz w:val="22"/>
                <w:szCs w:val="22"/>
              </w:rPr>
            </w:pPr>
            <w:r>
              <w:rPr>
                <w:rFonts w:ascii="Arial" w:hAnsi="Arial"/>
                <w:color w:val="000000"/>
                <w:sz w:val="22"/>
              </w:rPr>
              <w:t>€ 79,409</w:t>
            </w:r>
          </w:p>
        </w:tc>
      </w:tr>
    </w:tbl>
    <w:p w14:paraId="1C3526B3" w14:textId="40B47895" w:rsidR="00306AA3" w:rsidRDefault="00306AA3">
      <w:pPr>
        <w:rPr>
          <w:rFonts w:ascii="Arial" w:hAnsi="Arial" w:cs="Arial"/>
          <w:sz w:val="22"/>
          <w:szCs w:val="22"/>
        </w:rPr>
      </w:pPr>
    </w:p>
    <w:p w14:paraId="5F92CAD0" w14:textId="77777777" w:rsidR="00306AA3" w:rsidRDefault="00306AA3" w:rsidP="00306AA3">
      <w:pPr>
        <w:pStyle w:val="SRAKopje"/>
        <w:ind w:left="2124" w:hanging="2124"/>
        <w:rPr>
          <w:rFonts w:ascii="Arial" w:hAnsi="Arial" w:cs="Arial"/>
        </w:rPr>
      </w:pPr>
      <w:bookmarkStart w:id="138" w:name="_Toc155866671"/>
      <w:r>
        <w:rPr>
          <w:rFonts w:ascii="Arial" w:hAnsi="Arial"/>
        </w:rPr>
        <w:t>Table 8</w:t>
      </w:r>
      <w:r>
        <w:rPr>
          <w:rFonts w:ascii="Arial" w:hAnsi="Arial"/>
        </w:rPr>
        <w:tab/>
        <w:t>Research and development tax credit</w:t>
      </w:r>
      <w:bookmarkEnd w:id="138"/>
    </w:p>
    <w:p w14:paraId="1C302DFB" w14:textId="77777777" w:rsidR="00306AA3" w:rsidRPr="00AA7EF5" w:rsidRDefault="00306AA3" w:rsidP="00AA7EF5">
      <w:pPr>
        <w:rPr>
          <w:rFonts w:ascii="Arial" w:hAnsi="Arial" w:cs="Arial"/>
          <w:sz w:val="22"/>
          <w:szCs w:val="22"/>
        </w:rPr>
      </w:pPr>
    </w:p>
    <w:tbl>
      <w:tblPr>
        <w:tblStyle w:val="Rastertabel4-Accent3"/>
        <w:tblpPr w:vertAnchor="text" w:horzAnchor="margin" w:tblpY="124"/>
        <w:tblW w:w="9351" w:type="dxa"/>
        <w:tblLayout w:type="fixed"/>
        <w:tblLook w:val="04A0" w:firstRow="1" w:lastRow="0" w:firstColumn="1" w:lastColumn="0" w:noHBand="0" w:noVBand="1"/>
      </w:tblPr>
      <w:tblGrid>
        <w:gridCol w:w="4957"/>
        <w:gridCol w:w="2693"/>
        <w:gridCol w:w="1701"/>
      </w:tblGrid>
      <w:tr w:rsidR="00306AA3" w:rsidRPr="00AC00D4" w14:paraId="2B537CB5" w14:textId="77777777" w:rsidTr="00306AA3">
        <w:trPr>
          <w:cnfStyle w:val="100000000000" w:firstRow="1" w:lastRow="0" w:firstColumn="0" w:lastColumn="0" w:oddVBand="0" w:evenVBand="0" w:oddHBand="0" w:evenHBand="0" w:firstRowFirstColumn="0" w:firstRowLastColumn="0" w:lastRowFirstColumn="0" w:lastRowLastColumn="0"/>
          <w:trHeight w:hRule="exact" w:val="721"/>
        </w:trPr>
        <w:tc>
          <w:tcPr>
            <w:cnfStyle w:val="001000000000" w:firstRow="0" w:lastRow="0" w:firstColumn="1" w:lastColumn="0" w:oddVBand="0" w:evenVBand="0" w:oddHBand="0" w:evenHBand="0" w:firstRowFirstColumn="0" w:firstRowLastColumn="0" w:lastRowFirstColumn="0" w:lastRowLastColumn="0"/>
            <w:tcW w:w="4957" w:type="dxa"/>
          </w:tcPr>
          <w:p w14:paraId="1D7B74BE" w14:textId="77777777" w:rsidR="00306AA3" w:rsidRPr="00AB3487" w:rsidRDefault="00306AA3" w:rsidP="00ED6EF9">
            <w:pPr>
              <w:rPr>
                <w:rFonts w:ascii="Arial" w:hAnsi="Arial" w:cs="Arial"/>
                <w:color w:val="010302"/>
                <w:sz w:val="22"/>
                <w:szCs w:val="22"/>
              </w:rPr>
            </w:pPr>
          </w:p>
        </w:tc>
        <w:tc>
          <w:tcPr>
            <w:tcW w:w="2693" w:type="dxa"/>
          </w:tcPr>
          <w:p w14:paraId="243A5512" w14:textId="77777777" w:rsidR="00306AA3" w:rsidRPr="00306AA3" w:rsidRDefault="00306AA3" w:rsidP="00AB3487">
            <w:pPr>
              <w:spacing w:before="66"/>
              <w:ind w:left="65" w:right="-18"/>
              <w:cnfStyle w:val="100000000000" w:firstRow="1" w:lastRow="0" w:firstColumn="0" w:lastColumn="0" w:oddVBand="0" w:evenVBand="0" w:oddHBand="0" w:evenHBand="0" w:firstRowFirstColumn="0" w:firstRowLastColumn="0" w:lastRowFirstColumn="0" w:lastRowLastColumn="0"/>
              <w:rPr>
                <w:rFonts w:ascii="Arial" w:hAnsi="Arial" w:cs="Arial"/>
                <w:color w:val="010302"/>
                <w:sz w:val="22"/>
                <w:szCs w:val="22"/>
              </w:rPr>
            </w:pPr>
            <w:r>
              <w:rPr>
                <w:rFonts w:ascii="Arial" w:hAnsi="Arial"/>
                <w:color w:val="010302"/>
                <w:sz w:val="22"/>
              </w:rPr>
              <w:t>Band for R&amp;D payroll costs</w:t>
            </w:r>
          </w:p>
        </w:tc>
        <w:tc>
          <w:tcPr>
            <w:tcW w:w="1701" w:type="dxa"/>
          </w:tcPr>
          <w:p w14:paraId="6CDE6848" w14:textId="77777777" w:rsidR="00306AA3" w:rsidRPr="00306AA3" w:rsidRDefault="00306AA3" w:rsidP="00AB3487">
            <w:pPr>
              <w:spacing w:before="66"/>
              <w:ind w:left="65" w:right="-18"/>
              <w:cnfStyle w:val="100000000000" w:firstRow="1" w:lastRow="0" w:firstColumn="0" w:lastColumn="0" w:oddVBand="0" w:evenVBand="0" w:oddHBand="0" w:evenHBand="0" w:firstRowFirstColumn="0" w:firstRowLastColumn="0" w:lastRowFirstColumn="0" w:lastRowLastColumn="0"/>
              <w:rPr>
                <w:rFonts w:ascii="Arial" w:hAnsi="Arial" w:cs="Arial"/>
                <w:color w:val="010302"/>
                <w:sz w:val="22"/>
                <w:szCs w:val="22"/>
              </w:rPr>
            </w:pPr>
            <w:r>
              <w:rPr>
                <w:rFonts w:ascii="Arial" w:hAnsi="Arial"/>
                <w:color w:val="010302"/>
                <w:sz w:val="22"/>
              </w:rPr>
              <w:t>Percentage</w:t>
            </w:r>
          </w:p>
        </w:tc>
      </w:tr>
      <w:tr w:rsidR="00306AA3" w:rsidRPr="00AC00D4" w14:paraId="43F74E93" w14:textId="77777777" w:rsidTr="008401D8">
        <w:trPr>
          <w:cnfStyle w:val="000000100000" w:firstRow="0" w:lastRow="0" w:firstColumn="0" w:lastColumn="0" w:oddVBand="0" w:evenVBand="0" w:oddHBand="1" w:evenHBand="0" w:firstRowFirstColumn="0" w:firstRowLastColumn="0" w:lastRowFirstColumn="0" w:lastRowLastColumn="0"/>
          <w:trHeight w:hRule="exact" w:val="563"/>
        </w:trPr>
        <w:tc>
          <w:tcPr>
            <w:cnfStyle w:val="001000000000" w:firstRow="0" w:lastRow="0" w:firstColumn="1" w:lastColumn="0" w:oddVBand="0" w:evenVBand="0" w:oddHBand="0" w:evenHBand="0" w:firstRowFirstColumn="0" w:firstRowLastColumn="0" w:lastRowFirstColumn="0" w:lastRowLastColumn="0"/>
            <w:tcW w:w="4957" w:type="dxa"/>
          </w:tcPr>
          <w:p w14:paraId="3CE3EA9F" w14:textId="3EA428D7" w:rsidR="00306AA3" w:rsidRPr="00AB3487" w:rsidRDefault="00306AA3" w:rsidP="00AB3487">
            <w:pPr>
              <w:spacing w:before="28"/>
              <w:ind w:left="65" w:right="-18"/>
              <w:rPr>
                <w:rFonts w:ascii="Arial" w:hAnsi="Arial" w:cs="Arial"/>
                <w:b w:val="0"/>
                <w:color w:val="000000"/>
                <w:spacing w:val="-8"/>
                <w:sz w:val="22"/>
                <w:szCs w:val="22"/>
              </w:rPr>
            </w:pPr>
            <w:r>
              <w:rPr>
                <w:rFonts w:ascii="Arial" w:hAnsi="Arial"/>
                <w:color w:val="000000"/>
                <w:sz w:val="22"/>
              </w:rPr>
              <w:t>In the 1</w:t>
            </w:r>
            <w:r>
              <w:rPr>
                <w:rFonts w:ascii="Arial" w:hAnsi="Arial"/>
                <w:color w:val="000000"/>
                <w:sz w:val="22"/>
                <w:vertAlign w:val="superscript"/>
              </w:rPr>
              <w:t>st</w:t>
            </w:r>
            <w:r>
              <w:rPr>
                <w:rFonts w:ascii="Arial" w:hAnsi="Arial"/>
                <w:color w:val="000000"/>
                <w:sz w:val="22"/>
              </w:rPr>
              <w:t xml:space="preserve"> </w:t>
            </w:r>
            <w:r>
              <w:rPr>
                <w:rFonts w:ascii="Arial" w:hAnsi="Arial"/>
                <w:b w:val="0"/>
                <w:color w:val="000000"/>
                <w:sz w:val="22"/>
              </w:rPr>
              <w:t>band</w:t>
            </w:r>
            <w:r>
              <w:rPr>
                <w:rFonts w:ascii="Arial" w:hAnsi="Arial"/>
                <w:color w:val="000000"/>
                <w:sz w:val="22"/>
              </w:rPr>
              <w:t xml:space="preserve"> the tax credit amounts to</w:t>
            </w:r>
          </w:p>
        </w:tc>
        <w:tc>
          <w:tcPr>
            <w:tcW w:w="2693" w:type="dxa"/>
          </w:tcPr>
          <w:p w14:paraId="0EAC9874" w14:textId="24E2C678" w:rsidR="00306AA3" w:rsidRPr="00980FCA" w:rsidRDefault="00306AA3" w:rsidP="00AB3487">
            <w:pPr>
              <w:spacing w:before="28"/>
              <w:ind w:left="65" w:right="-18"/>
              <w:cnfStyle w:val="000000100000" w:firstRow="0" w:lastRow="0" w:firstColumn="0" w:lastColumn="0" w:oddVBand="0" w:evenVBand="0" w:oddHBand="1" w:evenHBand="0" w:firstRowFirstColumn="0" w:firstRowLastColumn="0" w:lastRowFirstColumn="0" w:lastRowLastColumn="0"/>
              <w:rPr>
                <w:rFonts w:ascii="Arial" w:hAnsi="Arial" w:cs="Arial"/>
                <w:bCs/>
                <w:color w:val="000000"/>
                <w:spacing w:val="-8"/>
                <w:sz w:val="22"/>
                <w:szCs w:val="22"/>
              </w:rPr>
            </w:pPr>
            <w:r>
              <w:rPr>
                <w:rFonts w:ascii="Arial" w:hAnsi="Arial"/>
                <w:color w:val="000000"/>
                <w:sz w:val="22"/>
              </w:rPr>
              <w:t>up to € 391,020</w:t>
            </w:r>
          </w:p>
        </w:tc>
        <w:tc>
          <w:tcPr>
            <w:tcW w:w="1701" w:type="dxa"/>
          </w:tcPr>
          <w:p w14:paraId="0E614095" w14:textId="1F886A48" w:rsidR="00306AA3" w:rsidRPr="00980FCA" w:rsidRDefault="00306AA3" w:rsidP="00AB3487">
            <w:pPr>
              <w:spacing w:before="28"/>
              <w:ind w:left="65" w:right="-18"/>
              <w:cnfStyle w:val="000000100000" w:firstRow="0" w:lastRow="0" w:firstColumn="0" w:lastColumn="0" w:oddVBand="0" w:evenVBand="0" w:oddHBand="1" w:evenHBand="0" w:firstRowFirstColumn="0" w:firstRowLastColumn="0" w:lastRowFirstColumn="0" w:lastRowLastColumn="0"/>
              <w:rPr>
                <w:rFonts w:ascii="Arial" w:hAnsi="Arial" w:cs="Arial"/>
                <w:bCs/>
                <w:color w:val="000000"/>
                <w:spacing w:val="-8"/>
                <w:sz w:val="22"/>
                <w:szCs w:val="22"/>
              </w:rPr>
            </w:pPr>
            <w:r>
              <w:rPr>
                <w:rFonts w:ascii="Arial" w:hAnsi="Arial"/>
                <w:color w:val="000000"/>
                <w:sz w:val="22"/>
              </w:rPr>
              <w:t>36%</w:t>
            </w:r>
          </w:p>
        </w:tc>
      </w:tr>
      <w:tr w:rsidR="00306AA3" w:rsidRPr="00AC00D4" w14:paraId="4C536A05" w14:textId="77777777" w:rsidTr="00ED6EF9">
        <w:trPr>
          <w:trHeight w:hRule="exact" w:val="722"/>
        </w:trPr>
        <w:tc>
          <w:tcPr>
            <w:cnfStyle w:val="001000000000" w:firstRow="0" w:lastRow="0" w:firstColumn="1" w:lastColumn="0" w:oddVBand="0" w:evenVBand="0" w:oddHBand="0" w:evenHBand="0" w:firstRowFirstColumn="0" w:firstRowLastColumn="0" w:lastRowFirstColumn="0" w:lastRowLastColumn="0"/>
            <w:tcW w:w="4957" w:type="dxa"/>
          </w:tcPr>
          <w:p w14:paraId="018E2AF5" w14:textId="41EDE0C7" w:rsidR="00306AA3" w:rsidRPr="00AB3487" w:rsidRDefault="00306AA3" w:rsidP="00AB3487">
            <w:pPr>
              <w:spacing w:before="28"/>
              <w:ind w:left="65" w:right="-18"/>
              <w:rPr>
                <w:rFonts w:ascii="Arial" w:hAnsi="Arial" w:cs="Arial"/>
                <w:b w:val="0"/>
                <w:color w:val="000000"/>
                <w:spacing w:val="-8"/>
                <w:sz w:val="22"/>
                <w:szCs w:val="22"/>
              </w:rPr>
            </w:pPr>
            <w:r>
              <w:rPr>
                <w:rFonts w:ascii="Arial" w:hAnsi="Arial"/>
                <w:color w:val="000000"/>
                <w:sz w:val="22"/>
              </w:rPr>
              <w:t>For start-ups the (increased) tax credit in the 1</w:t>
            </w:r>
            <w:r>
              <w:rPr>
                <w:rFonts w:ascii="Arial" w:hAnsi="Arial"/>
                <w:color w:val="000000"/>
                <w:sz w:val="22"/>
                <w:vertAlign w:val="superscript"/>
              </w:rPr>
              <w:t>st</w:t>
            </w:r>
            <w:r>
              <w:rPr>
                <w:rFonts w:ascii="Arial" w:hAnsi="Arial"/>
                <w:color w:val="000000"/>
                <w:sz w:val="22"/>
              </w:rPr>
              <w:t xml:space="preserve"> band amounts to</w:t>
            </w:r>
          </w:p>
        </w:tc>
        <w:tc>
          <w:tcPr>
            <w:tcW w:w="2693" w:type="dxa"/>
          </w:tcPr>
          <w:p w14:paraId="4612AC68" w14:textId="2113FA13" w:rsidR="00306AA3" w:rsidRPr="00980FCA" w:rsidRDefault="00306AA3" w:rsidP="00AB3487">
            <w:pPr>
              <w:spacing w:before="28"/>
              <w:ind w:left="65" w:right="-18"/>
              <w:cnfStyle w:val="000000000000" w:firstRow="0" w:lastRow="0" w:firstColumn="0" w:lastColumn="0" w:oddVBand="0" w:evenVBand="0" w:oddHBand="0" w:evenHBand="0" w:firstRowFirstColumn="0" w:firstRowLastColumn="0" w:lastRowFirstColumn="0" w:lastRowLastColumn="0"/>
              <w:rPr>
                <w:rFonts w:ascii="Arial" w:hAnsi="Arial" w:cs="Arial"/>
                <w:bCs/>
                <w:color w:val="000000"/>
                <w:spacing w:val="-8"/>
                <w:sz w:val="22"/>
                <w:szCs w:val="22"/>
              </w:rPr>
            </w:pPr>
            <w:r>
              <w:rPr>
                <w:rFonts w:ascii="Arial" w:hAnsi="Arial"/>
                <w:color w:val="000000"/>
                <w:sz w:val="22"/>
              </w:rPr>
              <w:t>up to € 391,020</w:t>
            </w:r>
          </w:p>
        </w:tc>
        <w:tc>
          <w:tcPr>
            <w:tcW w:w="1701" w:type="dxa"/>
          </w:tcPr>
          <w:p w14:paraId="556CDC7C" w14:textId="7B071462" w:rsidR="00306AA3" w:rsidRPr="00980FCA" w:rsidRDefault="00B9743F" w:rsidP="00AB3487">
            <w:pPr>
              <w:spacing w:before="28"/>
              <w:ind w:left="65" w:right="-18"/>
              <w:cnfStyle w:val="000000000000" w:firstRow="0" w:lastRow="0" w:firstColumn="0" w:lastColumn="0" w:oddVBand="0" w:evenVBand="0" w:oddHBand="0" w:evenHBand="0" w:firstRowFirstColumn="0" w:firstRowLastColumn="0" w:lastRowFirstColumn="0" w:lastRowLastColumn="0"/>
              <w:rPr>
                <w:rFonts w:ascii="Arial" w:hAnsi="Arial" w:cs="Arial"/>
                <w:bCs/>
                <w:color w:val="000000"/>
                <w:spacing w:val="-8"/>
                <w:sz w:val="22"/>
                <w:szCs w:val="22"/>
              </w:rPr>
            </w:pPr>
            <w:r>
              <w:rPr>
                <w:rFonts w:ascii="Arial" w:hAnsi="Arial"/>
                <w:color w:val="000000"/>
                <w:sz w:val="22"/>
              </w:rPr>
              <w:t>50%</w:t>
            </w:r>
          </w:p>
        </w:tc>
      </w:tr>
      <w:tr w:rsidR="00306AA3" w:rsidRPr="00AC00D4" w14:paraId="4ABCC78F" w14:textId="77777777" w:rsidTr="00306AA3">
        <w:trPr>
          <w:cnfStyle w:val="000000100000" w:firstRow="0" w:lastRow="0" w:firstColumn="0" w:lastColumn="0" w:oddVBand="0" w:evenVBand="0" w:oddHBand="1" w:evenHBand="0" w:firstRowFirstColumn="0" w:firstRowLastColumn="0" w:lastRowFirstColumn="0" w:lastRowLastColumn="0"/>
          <w:trHeight w:hRule="exact" w:val="839"/>
        </w:trPr>
        <w:tc>
          <w:tcPr>
            <w:cnfStyle w:val="001000000000" w:firstRow="0" w:lastRow="0" w:firstColumn="1" w:lastColumn="0" w:oddVBand="0" w:evenVBand="0" w:oddHBand="0" w:evenHBand="0" w:firstRowFirstColumn="0" w:firstRowLastColumn="0" w:lastRowFirstColumn="0" w:lastRowLastColumn="0"/>
            <w:tcW w:w="4957" w:type="dxa"/>
          </w:tcPr>
          <w:p w14:paraId="37172E04" w14:textId="30E8CA41" w:rsidR="00306AA3" w:rsidRPr="00AB3487" w:rsidRDefault="00306AA3" w:rsidP="00AB3487">
            <w:pPr>
              <w:spacing w:before="28"/>
              <w:ind w:left="65" w:right="-18"/>
              <w:rPr>
                <w:rFonts w:ascii="Arial" w:hAnsi="Arial" w:cs="Arial"/>
                <w:b w:val="0"/>
                <w:color w:val="000000"/>
                <w:spacing w:val="-8"/>
                <w:sz w:val="22"/>
                <w:szCs w:val="22"/>
              </w:rPr>
            </w:pPr>
            <w:r>
              <w:rPr>
                <w:rFonts w:ascii="Arial" w:hAnsi="Arial"/>
                <w:color w:val="000000"/>
                <w:sz w:val="22"/>
              </w:rPr>
              <w:t>The tax credit on the excess amount in the 2</w:t>
            </w:r>
            <w:r>
              <w:rPr>
                <w:rFonts w:ascii="Arial" w:hAnsi="Arial"/>
                <w:color w:val="000000"/>
                <w:sz w:val="22"/>
                <w:vertAlign w:val="superscript"/>
              </w:rPr>
              <w:t>nd</w:t>
            </w:r>
            <w:r>
              <w:rPr>
                <w:rFonts w:ascii="Arial" w:hAnsi="Arial"/>
                <w:color w:val="000000"/>
                <w:sz w:val="22"/>
              </w:rPr>
              <w:t xml:space="preserve"> band amounts to</w:t>
            </w:r>
          </w:p>
        </w:tc>
        <w:tc>
          <w:tcPr>
            <w:tcW w:w="2693" w:type="dxa"/>
          </w:tcPr>
          <w:p w14:paraId="0F4D0E06" w14:textId="7D4EBAF5" w:rsidR="00306AA3" w:rsidRPr="00980FCA" w:rsidRDefault="00306AA3" w:rsidP="00AB3487">
            <w:pPr>
              <w:spacing w:before="28"/>
              <w:ind w:left="65" w:right="-18"/>
              <w:cnfStyle w:val="000000100000" w:firstRow="0" w:lastRow="0" w:firstColumn="0" w:lastColumn="0" w:oddVBand="0" w:evenVBand="0" w:oddHBand="1" w:evenHBand="0" w:firstRowFirstColumn="0" w:firstRowLastColumn="0" w:lastRowFirstColumn="0" w:lastRowLastColumn="0"/>
              <w:rPr>
                <w:rFonts w:ascii="Arial" w:hAnsi="Arial" w:cs="Arial"/>
                <w:bCs/>
                <w:color w:val="000000"/>
                <w:spacing w:val="-8"/>
                <w:sz w:val="22"/>
                <w:szCs w:val="22"/>
              </w:rPr>
            </w:pPr>
            <w:r>
              <w:rPr>
                <w:rFonts w:ascii="Arial" w:hAnsi="Arial"/>
                <w:color w:val="000000"/>
                <w:sz w:val="22"/>
              </w:rPr>
              <w:t>more than € 391,020</w:t>
            </w:r>
          </w:p>
        </w:tc>
        <w:tc>
          <w:tcPr>
            <w:tcW w:w="1701" w:type="dxa"/>
          </w:tcPr>
          <w:p w14:paraId="1A1FA2FF" w14:textId="77777777" w:rsidR="00306AA3" w:rsidRPr="00980FCA" w:rsidRDefault="00306AA3" w:rsidP="00AB3487">
            <w:pPr>
              <w:spacing w:before="28"/>
              <w:ind w:left="65" w:right="-18"/>
              <w:cnfStyle w:val="000000100000" w:firstRow="0" w:lastRow="0" w:firstColumn="0" w:lastColumn="0" w:oddVBand="0" w:evenVBand="0" w:oddHBand="1" w:evenHBand="0" w:firstRowFirstColumn="0" w:firstRowLastColumn="0" w:lastRowFirstColumn="0" w:lastRowLastColumn="0"/>
              <w:rPr>
                <w:rFonts w:ascii="Arial" w:hAnsi="Arial" w:cs="Arial"/>
                <w:bCs/>
                <w:color w:val="000000"/>
                <w:spacing w:val="-8"/>
                <w:sz w:val="22"/>
                <w:szCs w:val="22"/>
              </w:rPr>
            </w:pPr>
            <w:r>
              <w:rPr>
                <w:rFonts w:ascii="Arial" w:hAnsi="Arial"/>
                <w:color w:val="000000"/>
                <w:sz w:val="22"/>
              </w:rPr>
              <w:t>16%</w:t>
            </w:r>
          </w:p>
        </w:tc>
      </w:tr>
    </w:tbl>
    <w:p w14:paraId="0073EA68" w14:textId="77777777" w:rsidR="00E91833" w:rsidRDefault="00E91833" w:rsidP="00306AA3">
      <w:pPr>
        <w:rPr>
          <w:rFonts w:ascii="Arial" w:hAnsi="Arial" w:cs="Arial"/>
          <w:sz w:val="22"/>
          <w:szCs w:val="22"/>
        </w:rPr>
      </w:pPr>
    </w:p>
    <w:p w14:paraId="541EF1A2" w14:textId="4DC87032" w:rsidR="00306AA3" w:rsidRPr="00306AA3" w:rsidRDefault="00306AA3" w:rsidP="00306AA3">
      <w:pPr>
        <w:pStyle w:val="SRAKopje"/>
        <w:ind w:left="2124" w:hanging="2124"/>
        <w:rPr>
          <w:rFonts w:ascii="Arial" w:hAnsi="Arial" w:cs="Arial"/>
        </w:rPr>
      </w:pPr>
      <w:bookmarkStart w:id="139" w:name="_Toc155866672"/>
      <w:r>
        <w:rPr>
          <w:rFonts w:ascii="Arial" w:hAnsi="Arial"/>
        </w:rPr>
        <w:t>Table 9</w:t>
      </w:r>
      <w:r>
        <w:rPr>
          <w:rFonts w:ascii="Arial" w:hAnsi="Arial"/>
        </w:rPr>
        <w:tab/>
        <w:t>Early retirement (RVU) exemption</w:t>
      </w:r>
      <w:bookmarkEnd w:id="139"/>
    </w:p>
    <w:tbl>
      <w:tblPr>
        <w:tblStyle w:val="Rastertabel4-Accent3"/>
        <w:tblpPr w:vertAnchor="text" w:horzAnchor="margin" w:tblpY="403"/>
        <w:tblW w:w="9377" w:type="dxa"/>
        <w:tblLayout w:type="fixed"/>
        <w:tblLook w:val="04A0" w:firstRow="1" w:lastRow="0" w:firstColumn="1" w:lastColumn="0" w:noHBand="0" w:noVBand="1"/>
      </w:tblPr>
      <w:tblGrid>
        <w:gridCol w:w="5443"/>
        <w:gridCol w:w="1803"/>
        <w:gridCol w:w="2131"/>
      </w:tblGrid>
      <w:tr w:rsidR="00E91833" w:rsidRPr="00AC00D4" w14:paraId="515CAB64" w14:textId="77777777" w:rsidTr="00E91833">
        <w:trPr>
          <w:cnfStyle w:val="100000000000" w:firstRow="1" w:lastRow="0" w:firstColumn="0" w:lastColumn="0" w:oddVBand="0" w:evenVBand="0" w:oddHBand="0" w:evenHBand="0" w:firstRowFirstColumn="0" w:firstRowLastColumn="0" w:lastRowFirstColumn="0" w:lastRowLastColumn="0"/>
          <w:trHeight w:hRule="exact" w:val="557"/>
        </w:trPr>
        <w:tc>
          <w:tcPr>
            <w:cnfStyle w:val="001000000000" w:firstRow="0" w:lastRow="0" w:firstColumn="1" w:lastColumn="0" w:oddVBand="0" w:evenVBand="0" w:oddHBand="0" w:evenHBand="0" w:firstRowFirstColumn="0" w:firstRowLastColumn="0" w:lastRowFirstColumn="0" w:lastRowLastColumn="0"/>
            <w:tcW w:w="5443" w:type="dxa"/>
          </w:tcPr>
          <w:p w14:paraId="7F1FE57F" w14:textId="77777777" w:rsidR="00E91833" w:rsidRPr="00306AA3" w:rsidRDefault="00E91833" w:rsidP="00E91833">
            <w:pPr>
              <w:rPr>
                <w:rFonts w:ascii="Arial" w:hAnsi="Arial" w:cs="Arial"/>
                <w:color w:val="000000" w:themeColor="text1"/>
                <w:sz w:val="22"/>
                <w:szCs w:val="16"/>
              </w:rPr>
            </w:pPr>
          </w:p>
        </w:tc>
        <w:tc>
          <w:tcPr>
            <w:tcW w:w="1803" w:type="dxa"/>
          </w:tcPr>
          <w:p w14:paraId="05B446E8" w14:textId="77777777" w:rsidR="00E91833" w:rsidRPr="00AB3487" w:rsidRDefault="00E91833" w:rsidP="00AB3487">
            <w:pPr>
              <w:spacing w:before="66"/>
              <w:ind w:left="65" w:right="-18"/>
              <w:jc w:val="center"/>
              <w:cnfStyle w:val="100000000000" w:firstRow="1" w:lastRow="0" w:firstColumn="0" w:lastColumn="0" w:oddVBand="0" w:evenVBand="0" w:oddHBand="0" w:evenHBand="0" w:firstRowFirstColumn="0" w:firstRowLastColumn="0" w:lastRowFirstColumn="0" w:lastRowLastColumn="0"/>
              <w:rPr>
                <w:rFonts w:ascii="Arial" w:hAnsi="Arial" w:cs="Arial"/>
                <w:color w:val="010302"/>
                <w:sz w:val="22"/>
                <w:szCs w:val="22"/>
              </w:rPr>
            </w:pPr>
            <w:r>
              <w:rPr>
                <w:rFonts w:ascii="Arial" w:hAnsi="Arial"/>
                <w:color w:val="010302"/>
                <w:sz w:val="22"/>
              </w:rPr>
              <w:t>Year</w:t>
            </w:r>
          </w:p>
        </w:tc>
        <w:tc>
          <w:tcPr>
            <w:tcW w:w="2131" w:type="dxa"/>
          </w:tcPr>
          <w:p w14:paraId="7010D8DE" w14:textId="7171C0A6" w:rsidR="00E91833" w:rsidRPr="00AB3487" w:rsidRDefault="00E91833" w:rsidP="00AB3487">
            <w:pPr>
              <w:spacing w:before="66"/>
              <w:ind w:left="65"/>
              <w:jc w:val="center"/>
              <w:cnfStyle w:val="100000000000" w:firstRow="1" w:lastRow="0" w:firstColumn="0" w:lastColumn="0" w:oddVBand="0" w:evenVBand="0" w:oddHBand="0" w:evenHBand="0" w:firstRowFirstColumn="0" w:firstRowLastColumn="0" w:lastRowFirstColumn="0" w:lastRowLastColumn="0"/>
              <w:rPr>
                <w:rFonts w:ascii="Arial" w:hAnsi="Arial" w:cs="Arial"/>
                <w:color w:val="010302"/>
                <w:sz w:val="22"/>
                <w:szCs w:val="22"/>
              </w:rPr>
            </w:pPr>
            <w:r>
              <w:rPr>
                <w:rFonts w:ascii="Arial" w:hAnsi="Arial"/>
                <w:color w:val="010302"/>
                <w:sz w:val="22"/>
              </w:rPr>
              <w:t>Amount</w:t>
            </w:r>
          </w:p>
        </w:tc>
      </w:tr>
      <w:tr w:rsidR="00E91833" w:rsidRPr="00AC00D4" w14:paraId="53808DEB" w14:textId="77777777" w:rsidTr="0080169D">
        <w:trPr>
          <w:cnfStyle w:val="000000100000" w:firstRow="0" w:lastRow="0" w:firstColumn="0" w:lastColumn="0" w:oddVBand="0" w:evenVBand="0" w:oddHBand="1" w:evenHBand="0" w:firstRowFirstColumn="0" w:firstRowLastColumn="0" w:lastRowFirstColumn="0" w:lastRowLastColumn="0"/>
          <w:trHeight w:hRule="exact" w:val="590"/>
        </w:trPr>
        <w:tc>
          <w:tcPr>
            <w:cnfStyle w:val="001000000000" w:firstRow="0" w:lastRow="0" w:firstColumn="1" w:lastColumn="0" w:oddVBand="0" w:evenVBand="0" w:oddHBand="0" w:evenHBand="0" w:firstRowFirstColumn="0" w:firstRowLastColumn="0" w:lastRowFirstColumn="0" w:lastRowLastColumn="0"/>
            <w:tcW w:w="5443" w:type="dxa"/>
          </w:tcPr>
          <w:p w14:paraId="6B280726" w14:textId="3CB2B426" w:rsidR="00E91833" w:rsidRPr="00306AA3" w:rsidRDefault="00E91833" w:rsidP="00E91833">
            <w:pPr>
              <w:spacing w:before="28"/>
              <w:ind w:left="45" w:right="-18"/>
              <w:rPr>
                <w:rFonts w:ascii="Arial" w:hAnsi="Arial" w:cs="Arial"/>
                <w:b w:val="0"/>
                <w:bCs w:val="0"/>
                <w:color w:val="010302"/>
                <w:sz w:val="22"/>
                <w:szCs w:val="16"/>
              </w:rPr>
            </w:pPr>
            <w:r>
              <w:rPr>
                <w:rFonts w:ascii="Arial" w:hAnsi="Arial"/>
                <w:b w:val="0"/>
                <w:color w:val="000000"/>
                <w:sz w:val="22"/>
              </w:rPr>
              <w:t>Early retirement exemption, monthly amount, max. 36 months</w:t>
            </w:r>
            <w:r>
              <w:rPr>
                <w:rFonts w:ascii="Arial" w:hAnsi="Arial"/>
                <w:b w:val="0"/>
                <w:sz w:val="22"/>
              </w:rPr>
              <w:t xml:space="preserve"> </w:t>
            </w:r>
          </w:p>
        </w:tc>
        <w:tc>
          <w:tcPr>
            <w:tcW w:w="1803" w:type="dxa"/>
          </w:tcPr>
          <w:p w14:paraId="79A72540" w14:textId="77777777" w:rsidR="00E91833" w:rsidRPr="00306AA3" w:rsidRDefault="00E91833" w:rsidP="00E91833">
            <w:pPr>
              <w:spacing w:before="28"/>
              <w:ind w:right="-18"/>
              <w:jc w:val="center"/>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16"/>
              </w:rPr>
            </w:pPr>
            <w:r>
              <w:rPr>
                <w:rFonts w:ascii="Arial" w:hAnsi="Arial"/>
                <w:color w:val="000000"/>
                <w:sz w:val="22"/>
              </w:rPr>
              <w:t>2021</w:t>
            </w:r>
          </w:p>
        </w:tc>
        <w:tc>
          <w:tcPr>
            <w:tcW w:w="2131" w:type="dxa"/>
          </w:tcPr>
          <w:p w14:paraId="1C4D108C" w14:textId="04DF7FB7" w:rsidR="00E91833" w:rsidRPr="00306AA3" w:rsidRDefault="00E91833" w:rsidP="00AB3487">
            <w:pPr>
              <w:spacing w:before="28"/>
              <w:ind w:left="60" w:right="-18"/>
              <w:jc w:val="center"/>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16"/>
              </w:rPr>
            </w:pPr>
            <w:r>
              <w:rPr>
                <w:rFonts w:ascii="Arial" w:hAnsi="Arial"/>
                <w:color w:val="000000"/>
                <w:sz w:val="22"/>
              </w:rPr>
              <w:t>€ 1,847</w:t>
            </w:r>
          </w:p>
        </w:tc>
      </w:tr>
      <w:tr w:rsidR="00E91833" w:rsidRPr="00AC00D4" w14:paraId="658F5EC5" w14:textId="77777777" w:rsidTr="00E91833">
        <w:trPr>
          <w:trHeight w:hRule="exact" w:val="396"/>
        </w:trPr>
        <w:tc>
          <w:tcPr>
            <w:cnfStyle w:val="001000000000" w:firstRow="0" w:lastRow="0" w:firstColumn="1" w:lastColumn="0" w:oddVBand="0" w:evenVBand="0" w:oddHBand="0" w:evenHBand="0" w:firstRowFirstColumn="0" w:firstRowLastColumn="0" w:lastRowFirstColumn="0" w:lastRowLastColumn="0"/>
            <w:tcW w:w="5443" w:type="dxa"/>
            <w:vMerge w:val="restart"/>
          </w:tcPr>
          <w:p w14:paraId="31460D75" w14:textId="4E59B5FA" w:rsidR="00E91833" w:rsidRPr="00E91833" w:rsidRDefault="00B7126A" w:rsidP="00E91833">
            <w:pPr>
              <w:spacing w:after="270" w:line="200" w:lineRule="exact"/>
              <w:ind w:right="197"/>
              <w:rPr>
                <w:rFonts w:ascii="Arial" w:hAnsi="Arial" w:cs="Arial"/>
                <w:i/>
                <w:iCs/>
                <w:color w:val="000000"/>
                <w:spacing w:val="-14"/>
                <w:sz w:val="22"/>
                <w:szCs w:val="16"/>
              </w:rPr>
            </w:pPr>
            <w:r>
              <w:rPr>
                <w:rFonts w:ascii="Arial" w:hAnsi="Arial"/>
                <w:b w:val="0"/>
                <w:i/>
                <w:color w:val="000000"/>
                <w:sz w:val="22"/>
              </w:rPr>
              <w:t>From 2026 the indexation of the exemption no longer applies retroactively to payment periods before 2026.</w:t>
            </w:r>
          </w:p>
        </w:tc>
        <w:tc>
          <w:tcPr>
            <w:tcW w:w="1803" w:type="dxa"/>
          </w:tcPr>
          <w:p w14:paraId="677F09A8" w14:textId="77777777" w:rsidR="00E91833" w:rsidRPr="00306AA3" w:rsidRDefault="00E91833" w:rsidP="00E9183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16"/>
              </w:rPr>
            </w:pPr>
            <w:r>
              <w:rPr>
                <w:rFonts w:ascii="Arial" w:hAnsi="Arial"/>
                <w:color w:val="000000" w:themeColor="text1"/>
                <w:sz w:val="22"/>
              </w:rPr>
              <w:t>2022</w:t>
            </w:r>
          </w:p>
        </w:tc>
        <w:tc>
          <w:tcPr>
            <w:tcW w:w="2131" w:type="dxa"/>
          </w:tcPr>
          <w:p w14:paraId="0FA26F2A" w14:textId="0456D297" w:rsidR="00E91833" w:rsidRPr="00306AA3" w:rsidRDefault="00E91833" w:rsidP="00AB348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16"/>
              </w:rPr>
            </w:pPr>
            <w:r>
              <w:rPr>
                <w:rFonts w:ascii="Arial" w:hAnsi="Arial"/>
                <w:color w:val="000000" w:themeColor="text1"/>
                <w:sz w:val="22"/>
              </w:rPr>
              <w:t>€ 1,874</w:t>
            </w:r>
          </w:p>
        </w:tc>
      </w:tr>
      <w:tr w:rsidR="00E91833" w:rsidRPr="00AC00D4" w14:paraId="6B0B0F89" w14:textId="77777777" w:rsidTr="00E91833">
        <w:trPr>
          <w:cnfStyle w:val="000000100000" w:firstRow="0" w:lastRow="0" w:firstColumn="0" w:lastColumn="0" w:oddVBand="0" w:evenVBand="0" w:oddHBand="1" w:evenHBand="0" w:firstRowFirstColumn="0" w:firstRowLastColumn="0" w:lastRowFirstColumn="0" w:lastRowLastColumn="0"/>
          <w:trHeight w:hRule="exact" w:val="375"/>
        </w:trPr>
        <w:tc>
          <w:tcPr>
            <w:cnfStyle w:val="001000000000" w:firstRow="0" w:lastRow="0" w:firstColumn="1" w:lastColumn="0" w:oddVBand="0" w:evenVBand="0" w:oddHBand="0" w:evenHBand="0" w:firstRowFirstColumn="0" w:firstRowLastColumn="0" w:lastRowFirstColumn="0" w:lastRowLastColumn="0"/>
            <w:tcW w:w="5443" w:type="dxa"/>
            <w:vMerge/>
          </w:tcPr>
          <w:p w14:paraId="48339477" w14:textId="77777777" w:rsidR="00E91833" w:rsidRPr="00306AA3" w:rsidRDefault="00E91833" w:rsidP="00E91833">
            <w:pPr>
              <w:rPr>
                <w:rFonts w:ascii="Arial" w:hAnsi="Arial" w:cs="Arial"/>
                <w:b w:val="0"/>
                <w:bCs w:val="0"/>
                <w:color w:val="000000" w:themeColor="text1"/>
                <w:sz w:val="22"/>
                <w:szCs w:val="16"/>
              </w:rPr>
            </w:pPr>
          </w:p>
        </w:tc>
        <w:tc>
          <w:tcPr>
            <w:tcW w:w="1803" w:type="dxa"/>
          </w:tcPr>
          <w:p w14:paraId="7DD37E75" w14:textId="77777777" w:rsidR="00E91833" w:rsidRPr="00306AA3" w:rsidRDefault="00E91833" w:rsidP="00E9183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16"/>
              </w:rPr>
            </w:pPr>
            <w:r>
              <w:rPr>
                <w:rFonts w:ascii="Arial" w:hAnsi="Arial"/>
                <w:color w:val="000000" w:themeColor="text1"/>
                <w:sz w:val="22"/>
              </w:rPr>
              <w:t>2023</w:t>
            </w:r>
          </w:p>
        </w:tc>
        <w:tc>
          <w:tcPr>
            <w:tcW w:w="2131" w:type="dxa"/>
          </w:tcPr>
          <w:p w14:paraId="35A7378E" w14:textId="77777777" w:rsidR="00E91833" w:rsidRPr="00306AA3" w:rsidRDefault="00E91833" w:rsidP="00AB348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16"/>
              </w:rPr>
            </w:pPr>
            <w:r>
              <w:rPr>
                <w:rFonts w:ascii="Arial" w:hAnsi="Arial"/>
                <w:color w:val="000000" w:themeColor="text1"/>
                <w:sz w:val="22"/>
              </w:rPr>
              <w:t>€ 2,037</w:t>
            </w:r>
          </w:p>
        </w:tc>
      </w:tr>
      <w:tr w:rsidR="00E91833" w:rsidRPr="00AC00D4" w14:paraId="61727F00" w14:textId="77777777" w:rsidTr="00E91833">
        <w:trPr>
          <w:trHeight w:hRule="exact" w:val="375"/>
        </w:trPr>
        <w:tc>
          <w:tcPr>
            <w:cnfStyle w:val="001000000000" w:firstRow="0" w:lastRow="0" w:firstColumn="1" w:lastColumn="0" w:oddVBand="0" w:evenVBand="0" w:oddHBand="0" w:evenHBand="0" w:firstRowFirstColumn="0" w:firstRowLastColumn="0" w:lastRowFirstColumn="0" w:lastRowLastColumn="0"/>
            <w:tcW w:w="5443" w:type="dxa"/>
            <w:vMerge/>
          </w:tcPr>
          <w:p w14:paraId="225FE984" w14:textId="77777777" w:rsidR="00E91833" w:rsidRPr="00306AA3" w:rsidRDefault="00E91833" w:rsidP="00E91833">
            <w:pPr>
              <w:rPr>
                <w:rFonts w:ascii="Arial" w:hAnsi="Arial" w:cs="Arial"/>
                <w:b w:val="0"/>
                <w:bCs w:val="0"/>
                <w:color w:val="000000" w:themeColor="text1"/>
                <w:sz w:val="22"/>
                <w:szCs w:val="16"/>
              </w:rPr>
            </w:pPr>
          </w:p>
        </w:tc>
        <w:tc>
          <w:tcPr>
            <w:tcW w:w="1803" w:type="dxa"/>
          </w:tcPr>
          <w:p w14:paraId="548E3269" w14:textId="77777777" w:rsidR="00E91833" w:rsidRPr="00306AA3" w:rsidRDefault="00E91833" w:rsidP="00E9183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16"/>
              </w:rPr>
            </w:pPr>
            <w:r>
              <w:rPr>
                <w:rFonts w:ascii="Arial" w:hAnsi="Arial"/>
                <w:color w:val="000000" w:themeColor="text1"/>
                <w:sz w:val="22"/>
              </w:rPr>
              <w:t>2024</w:t>
            </w:r>
          </w:p>
        </w:tc>
        <w:tc>
          <w:tcPr>
            <w:tcW w:w="2131" w:type="dxa"/>
          </w:tcPr>
          <w:p w14:paraId="6E30CE98" w14:textId="77777777" w:rsidR="00E91833" w:rsidRPr="00306AA3" w:rsidRDefault="00E91833" w:rsidP="00AB348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16"/>
              </w:rPr>
            </w:pPr>
            <w:r>
              <w:rPr>
                <w:rFonts w:ascii="Arial" w:hAnsi="Arial"/>
                <w:color w:val="000000" w:themeColor="text1"/>
                <w:sz w:val="22"/>
              </w:rPr>
              <w:t>€ 2,182</w:t>
            </w:r>
          </w:p>
        </w:tc>
      </w:tr>
      <w:tr w:rsidR="00E91833" w:rsidRPr="00AC00D4" w14:paraId="4FF413C3" w14:textId="77777777" w:rsidTr="00E91833">
        <w:trPr>
          <w:cnfStyle w:val="000000100000" w:firstRow="0" w:lastRow="0" w:firstColumn="0" w:lastColumn="0" w:oddVBand="0" w:evenVBand="0" w:oddHBand="1" w:evenHBand="0" w:firstRowFirstColumn="0" w:firstRowLastColumn="0" w:lastRowFirstColumn="0" w:lastRowLastColumn="0"/>
          <w:trHeight w:hRule="exact" w:val="420"/>
        </w:trPr>
        <w:tc>
          <w:tcPr>
            <w:cnfStyle w:val="001000000000" w:firstRow="0" w:lastRow="0" w:firstColumn="1" w:lastColumn="0" w:oddVBand="0" w:evenVBand="0" w:oddHBand="0" w:evenHBand="0" w:firstRowFirstColumn="0" w:firstRowLastColumn="0" w:lastRowFirstColumn="0" w:lastRowLastColumn="0"/>
            <w:tcW w:w="5443" w:type="dxa"/>
            <w:vMerge/>
          </w:tcPr>
          <w:p w14:paraId="007EFE7E" w14:textId="77777777" w:rsidR="00E91833" w:rsidRPr="00306AA3" w:rsidRDefault="00E91833" w:rsidP="00E91833">
            <w:pPr>
              <w:rPr>
                <w:rFonts w:ascii="Arial" w:hAnsi="Arial" w:cs="Arial"/>
                <w:b w:val="0"/>
                <w:bCs w:val="0"/>
                <w:color w:val="000000" w:themeColor="text1"/>
                <w:sz w:val="22"/>
                <w:szCs w:val="16"/>
              </w:rPr>
            </w:pPr>
          </w:p>
        </w:tc>
        <w:tc>
          <w:tcPr>
            <w:tcW w:w="1803" w:type="dxa"/>
          </w:tcPr>
          <w:p w14:paraId="22F5D2EF" w14:textId="77777777" w:rsidR="00E91833" w:rsidRPr="00306AA3" w:rsidRDefault="00E91833" w:rsidP="00E9183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16"/>
              </w:rPr>
            </w:pPr>
            <w:r>
              <w:rPr>
                <w:rFonts w:ascii="Arial" w:hAnsi="Arial"/>
                <w:color w:val="000000" w:themeColor="text1"/>
                <w:sz w:val="22"/>
              </w:rPr>
              <w:t>2025</w:t>
            </w:r>
          </w:p>
        </w:tc>
        <w:tc>
          <w:tcPr>
            <w:tcW w:w="2131" w:type="dxa"/>
          </w:tcPr>
          <w:p w14:paraId="4BA9E647" w14:textId="159667E0" w:rsidR="00E91833" w:rsidRPr="00306AA3" w:rsidRDefault="00E91833" w:rsidP="00AB348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16"/>
              </w:rPr>
            </w:pPr>
            <w:r>
              <w:rPr>
                <w:rFonts w:ascii="Arial" w:hAnsi="Arial"/>
                <w:color w:val="000000" w:themeColor="text1"/>
                <w:sz w:val="22"/>
              </w:rPr>
              <w:t>€ 2,273</w:t>
            </w:r>
          </w:p>
        </w:tc>
      </w:tr>
      <w:tr w:rsidR="00B7126A" w:rsidRPr="00AC00D4" w14:paraId="42AE134F" w14:textId="77777777" w:rsidTr="00E91833">
        <w:trPr>
          <w:trHeight w:hRule="exact" w:val="420"/>
        </w:trPr>
        <w:tc>
          <w:tcPr>
            <w:cnfStyle w:val="001000000000" w:firstRow="0" w:lastRow="0" w:firstColumn="1" w:lastColumn="0" w:oddVBand="0" w:evenVBand="0" w:oddHBand="0" w:evenHBand="0" w:firstRowFirstColumn="0" w:firstRowLastColumn="0" w:lastRowFirstColumn="0" w:lastRowLastColumn="0"/>
            <w:tcW w:w="5443" w:type="dxa"/>
          </w:tcPr>
          <w:p w14:paraId="7B2DDC43" w14:textId="77777777" w:rsidR="00B7126A" w:rsidRPr="00306AA3" w:rsidRDefault="00B7126A" w:rsidP="00E91833">
            <w:pPr>
              <w:rPr>
                <w:rFonts w:ascii="Arial" w:hAnsi="Arial" w:cs="Arial"/>
                <w:b w:val="0"/>
                <w:bCs w:val="0"/>
                <w:color w:val="000000" w:themeColor="text1"/>
                <w:sz w:val="22"/>
                <w:szCs w:val="16"/>
              </w:rPr>
            </w:pPr>
          </w:p>
        </w:tc>
        <w:tc>
          <w:tcPr>
            <w:tcW w:w="1803" w:type="dxa"/>
          </w:tcPr>
          <w:p w14:paraId="2967E310" w14:textId="561BC544" w:rsidR="00B7126A" w:rsidRPr="00306AA3" w:rsidRDefault="00B7126A" w:rsidP="00E9183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16"/>
              </w:rPr>
            </w:pPr>
            <w:r>
              <w:rPr>
                <w:rFonts w:ascii="Arial" w:hAnsi="Arial"/>
                <w:color w:val="000000" w:themeColor="text1"/>
                <w:sz w:val="22"/>
              </w:rPr>
              <w:t>2026</w:t>
            </w:r>
          </w:p>
        </w:tc>
        <w:tc>
          <w:tcPr>
            <w:tcW w:w="2131" w:type="dxa"/>
          </w:tcPr>
          <w:p w14:paraId="117EA5DF" w14:textId="7BE648E1" w:rsidR="00B7126A" w:rsidRPr="00306AA3" w:rsidRDefault="00B7126A" w:rsidP="00AB348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16"/>
              </w:rPr>
            </w:pPr>
            <w:r>
              <w:rPr>
                <w:rFonts w:ascii="Arial" w:hAnsi="Arial"/>
                <w:color w:val="000000" w:themeColor="text1"/>
                <w:sz w:val="22"/>
              </w:rPr>
              <w:t>€ 2,657</w:t>
            </w:r>
          </w:p>
        </w:tc>
      </w:tr>
    </w:tbl>
    <w:p w14:paraId="1FB87690" w14:textId="7AC6A52F" w:rsidR="00E91833" w:rsidRDefault="00E91833">
      <w:pPr>
        <w:rPr>
          <w:rFonts w:ascii="Arial" w:hAnsi="Arial" w:cs="Arial"/>
          <w:sz w:val="22"/>
          <w:szCs w:val="22"/>
        </w:rPr>
      </w:pPr>
    </w:p>
    <w:p w14:paraId="147B116D" w14:textId="77777777" w:rsidR="00AB3487" w:rsidRDefault="00AB3487">
      <w:pPr>
        <w:rPr>
          <w:rFonts w:ascii="Arial" w:hAnsi="Arial" w:cs="Arial"/>
          <w:sz w:val="22"/>
          <w:szCs w:val="22"/>
        </w:rPr>
      </w:pPr>
    </w:p>
    <w:tbl>
      <w:tblPr>
        <w:tblStyle w:val="Rastertabel4-Accent3"/>
        <w:tblpPr w:leftFromText="141" w:rightFromText="141" w:vertAnchor="page" w:horzAnchor="margin" w:tblpY="13305"/>
        <w:tblW w:w="9421" w:type="dxa"/>
        <w:tblLook w:val="04A0" w:firstRow="1" w:lastRow="0" w:firstColumn="1" w:lastColumn="0" w:noHBand="0" w:noVBand="1"/>
      </w:tblPr>
      <w:tblGrid>
        <w:gridCol w:w="5103"/>
        <w:gridCol w:w="2127"/>
        <w:gridCol w:w="2191"/>
      </w:tblGrid>
      <w:tr w:rsidR="008401D8" w:rsidRPr="00AC00D4" w14:paraId="341FC0FE" w14:textId="77777777" w:rsidTr="008401D8">
        <w:trPr>
          <w:cnfStyle w:val="100000000000" w:firstRow="1" w:lastRow="0" w:firstColumn="0" w:lastColumn="0" w:oddVBand="0" w:evenVBand="0" w:oddHBand="0"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5103" w:type="dxa"/>
          </w:tcPr>
          <w:p w14:paraId="306E001F" w14:textId="77777777" w:rsidR="008401D8" w:rsidRPr="00AB3487" w:rsidRDefault="008401D8" w:rsidP="008401D8">
            <w:pPr>
              <w:spacing w:before="66"/>
              <w:ind w:left="65" w:right="-18"/>
              <w:jc w:val="center"/>
              <w:rPr>
                <w:rFonts w:ascii="Arial" w:hAnsi="Arial" w:cs="Arial"/>
                <w:color w:val="010302"/>
                <w:sz w:val="22"/>
                <w:szCs w:val="22"/>
              </w:rPr>
            </w:pPr>
            <w:bookmarkStart w:id="140" w:name="_Toc155866673"/>
            <w:r>
              <w:rPr>
                <w:rFonts w:ascii="Arial" w:hAnsi="Arial"/>
                <w:color w:val="010302"/>
                <w:sz w:val="22"/>
              </w:rPr>
              <w:t>Tax exemption for volunteers (not salary)</w:t>
            </w:r>
          </w:p>
        </w:tc>
        <w:tc>
          <w:tcPr>
            <w:tcW w:w="2127" w:type="dxa"/>
          </w:tcPr>
          <w:p w14:paraId="07077BE2" w14:textId="77777777" w:rsidR="008401D8" w:rsidRPr="00AB3487" w:rsidRDefault="008401D8" w:rsidP="008401D8">
            <w:pPr>
              <w:spacing w:before="66"/>
              <w:ind w:left="65" w:right="-18"/>
              <w:jc w:val="center"/>
              <w:cnfStyle w:val="100000000000" w:firstRow="1" w:lastRow="0" w:firstColumn="0" w:lastColumn="0" w:oddVBand="0" w:evenVBand="0" w:oddHBand="0" w:evenHBand="0" w:firstRowFirstColumn="0" w:firstRowLastColumn="0" w:lastRowFirstColumn="0" w:lastRowLastColumn="0"/>
              <w:rPr>
                <w:rFonts w:ascii="Arial" w:hAnsi="Arial" w:cs="Arial"/>
                <w:color w:val="010302"/>
                <w:sz w:val="22"/>
                <w:szCs w:val="22"/>
              </w:rPr>
            </w:pPr>
            <w:r>
              <w:rPr>
                <w:rFonts w:ascii="Arial" w:hAnsi="Arial"/>
                <w:color w:val="010302"/>
                <w:sz w:val="22"/>
              </w:rPr>
              <w:t>2025</w:t>
            </w:r>
          </w:p>
        </w:tc>
        <w:tc>
          <w:tcPr>
            <w:tcW w:w="2191" w:type="dxa"/>
          </w:tcPr>
          <w:p w14:paraId="45283FAE" w14:textId="77777777" w:rsidR="008401D8" w:rsidRPr="00AB3487" w:rsidRDefault="008401D8" w:rsidP="008401D8">
            <w:pPr>
              <w:spacing w:before="66"/>
              <w:ind w:left="65" w:right="-18"/>
              <w:jc w:val="center"/>
              <w:cnfStyle w:val="100000000000" w:firstRow="1" w:lastRow="0" w:firstColumn="0" w:lastColumn="0" w:oddVBand="0" w:evenVBand="0" w:oddHBand="0" w:evenHBand="0" w:firstRowFirstColumn="0" w:firstRowLastColumn="0" w:lastRowFirstColumn="0" w:lastRowLastColumn="0"/>
              <w:rPr>
                <w:rFonts w:ascii="Arial" w:hAnsi="Arial" w:cs="Arial"/>
                <w:color w:val="010302"/>
                <w:sz w:val="22"/>
                <w:szCs w:val="22"/>
              </w:rPr>
            </w:pPr>
            <w:r>
              <w:rPr>
                <w:rFonts w:ascii="Arial" w:hAnsi="Arial"/>
                <w:color w:val="010302"/>
                <w:sz w:val="22"/>
              </w:rPr>
              <w:t>2026</w:t>
            </w:r>
          </w:p>
        </w:tc>
      </w:tr>
      <w:tr w:rsidR="008401D8" w:rsidRPr="00AC00D4" w14:paraId="06D94B26" w14:textId="77777777" w:rsidTr="008401D8">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5103" w:type="dxa"/>
          </w:tcPr>
          <w:p w14:paraId="413B8E64" w14:textId="77777777" w:rsidR="008401D8" w:rsidRPr="00AB3487" w:rsidRDefault="008401D8" w:rsidP="008401D8">
            <w:pPr>
              <w:rPr>
                <w:rFonts w:ascii="Arial" w:hAnsi="Arial" w:cs="Arial"/>
                <w:b w:val="0"/>
                <w:bCs w:val="0"/>
                <w:color w:val="000000" w:themeColor="text1"/>
                <w:sz w:val="22"/>
                <w:szCs w:val="16"/>
              </w:rPr>
            </w:pPr>
            <w:r>
              <w:rPr>
                <w:rFonts w:ascii="Arial" w:hAnsi="Arial"/>
                <w:b w:val="0"/>
                <w:color w:val="000000" w:themeColor="text1"/>
                <w:sz w:val="22"/>
              </w:rPr>
              <w:t>Standard amount per year</w:t>
            </w:r>
          </w:p>
        </w:tc>
        <w:tc>
          <w:tcPr>
            <w:tcW w:w="2127" w:type="dxa"/>
          </w:tcPr>
          <w:p w14:paraId="24D25C0F" w14:textId="77777777" w:rsidR="008401D8" w:rsidRPr="00AB3487" w:rsidRDefault="008401D8" w:rsidP="008401D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16"/>
              </w:rPr>
            </w:pPr>
            <w:r>
              <w:rPr>
                <w:rFonts w:ascii="Arial" w:hAnsi="Arial"/>
                <w:color w:val="000000" w:themeColor="text1"/>
                <w:sz w:val="22"/>
              </w:rPr>
              <w:t>€ 2,100</w:t>
            </w:r>
          </w:p>
        </w:tc>
        <w:tc>
          <w:tcPr>
            <w:tcW w:w="2191" w:type="dxa"/>
          </w:tcPr>
          <w:p w14:paraId="35227B19" w14:textId="77777777" w:rsidR="008401D8" w:rsidRPr="00AB3487" w:rsidRDefault="008401D8" w:rsidP="008401D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16"/>
              </w:rPr>
            </w:pPr>
            <w:r>
              <w:rPr>
                <w:rFonts w:ascii="Arial" w:hAnsi="Arial"/>
                <w:color w:val="000000" w:themeColor="text1"/>
                <w:sz w:val="22"/>
              </w:rPr>
              <w:t>€ 2,200</w:t>
            </w:r>
          </w:p>
        </w:tc>
      </w:tr>
      <w:tr w:rsidR="008401D8" w:rsidRPr="00AC00D4" w14:paraId="542C274F" w14:textId="77777777" w:rsidTr="008401D8">
        <w:trPr>
          <w:trHeight w:val="256"/>
        </w:trPr>
        <w:tc>
          <w:tcPr>
            <w:cnfStyle w:val="001000000000" w:firstRow="0" w:lastRow="0" w:firstColumn="1" w:lastColumn="0" w:oddVBand="0" w:evenVBand="0" w:oddHBand="0" w:evenHBand="0" w:firstRowFirstColumn="0" w:firstRowLastColumn="0" w:lastRowFirstColumn="0" w:lastRowLastColumn="0"/>
            <w:tcW w:w="5103" w:type="dxa"/>
          </w:tcPr>
          <w:p w14:paraId="592494D8" w14:textId="77777777" w:rsidR="008401D8" w:rsidRPr="00AB3487" w:rsidRDefault="008401D8" w:rsidP="008401D8">
            <w:pPr>
              <w:rPr>
                <w:rFonts w:ascii="Arial" w:hAnsi="Arial" w:cs="Arial"/>
                <w:b w:val="0"/>
                <w:bCs w:val="0"/>
                <w:color w:val="000000" w:themeColor="text1"/>
                <w:sz w:val="22"/>
                <w:szCs w:val="16"/>
              </w:rPr>
            </w:pPr>
            <w:r>
              <w:rPr>
                <w:rFonts w:ascii="Arial" w:hAnsi="Arial"/>
                <w:b w:val="0"/>
                <w:color w:val="000000" w:themeColor="text1"/>
                <w:sz w:val="22"/>
              </w:rPr>
              <w:t>Standard amount per month</w:t>
            </w:r>
          </w:p>
        </w:tc>
        <w:tc>
          <w:tcPr>
            <w:tcW w:w="2127" w:type="dxa"/>
          </w:tcPr>
          <w:p w14:paraId="6B6F0A78" w14:textId="77777777" w:rsidR="008401D8" w:rsidRPr="00AB3487" w:rsidRDefault="008401D8" w:rsidP="008401D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16"/>
              </w:rPr>
            </w:pPr>
            <w:r>
              <w:rPr>
                <w:rFonts w:ascii="Arial" w:hAnsi="Arial"/>
                <w:color w:val="000000" w:themeColor="text1"/>
                <w:sz w:val="22"/>
              </w:rPr>
              <w:t>€ 210</w:t>
            </w:r>
          </w:p>
        </w:tc>
        <w:tc>
          <w:tcPr>
            <w:tcW w:w="2191" w:type="dxa"/>
          </w:tcPr>
          <w:p w14:paraId="1DF17BEE" w14:textId="77777777" w:rsidR="008401D8" w:rsidRPr="00AB3487" w:rsidRDefault="008401D8" w:rsidP="008401D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16"/>
              </w:rPr>
            </w:pPr>
            <w:r>
              <w:rPr>
                <w:rFonts w:ascii="Arial" w:hAnsi="Arial"/>
                <w:color w:val="000000" w:themeColor="text1"/>
                <w:sz w:val="22"/>
              </w:rPr>
              <w:t>€ 220</w:t>
            </w:r>
          </w:p>
        </w:tc>
      </w:tr>
      <w:tr w:rsidR="008401D8" w:rsidRPr="00AC00D4" w14:paraId="44A79086" w14:textId="77777777" w:rsidTr="008401D8">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5103" w:type="dxa"/>
          </w:tcPr>
          <w:p w14:paraId="3CECF756" w14:textId="77777777" w:rsidR="008401D8" w:rsidRPr="00AB3487" w:rsidRDefault="008401D8" w:rsidP="008401D8">
            <w:pPr>
              <w:rPr>
                <w:rFonts w:ascii="Arial" w:hAnsi="Arial" w:cs="Arial"/>
                <w:b w:val="0"/>
                <w:bCs w:val="0"/>
                <w:color w:val="000000" w:themeColor="text1"/>
                <w:sz w:val="22"/>
                <w:szCs w:val="16"/>
              </w:rPr>
            </w:pPr>
            <w:r>
              <w:rPr>
                <w:rFonts w:ascii="Arial" w:hAnsi="Arial"/>
                <w:b w:val="0"/>
                <w:color w:val="000000" w:themeColor="text1"/>
                <w:sz w:val="22"/>
              </w:rPr>
              <w:t>Standard amount per hour for persons aged 21 and above</w:t>
            </w:r>
          </w:p>
        </w:tc>
        <w:tc>
          <w:tcPr>
            <w:tcW w:w="2127" w:type="dxa"/>
          </w:tcPr>
          <w:p w14:paraId="69D97ED3" w14:textId="77777777" w:rsidR="008401D8" w:rsidRPr="00AB3487" w:rsidRDefault="008401D8" w:rsidP="008401D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16"/>
              </w:rPr>
            </w:pPr>
            <w:r>
              <w:rPr>
                <w:rFonts w:ascii="Arial" w:hAnsi="Arial"/>
                <w:color w:val="000000" w:themeColor="text1"/>
                <w:sz w:val="22"/>
              </w:rPr>
              <w:t>€ 5.60</w:t>
            </w:r>
          </w:p>
        </w:tc>
        <w:tc>
          <w:tcPr>
            <w:tcW w:w="2191" w:type="dxa"/>
          </w:tcPr>
          <w:p w14:paraId="57E343A9" w14:textId="77777777" w:rsidR="008401D8" w:rsidRPr="00AB3487" w:rsidRDefault="008401D8" w:rsidP="008401D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16"/>
              </w:rPr>
            </w:pPr>
            <w:r>
              <w:rPr>
                <w:rFonts w:ascii="Arial" w:hAnsi="Arial"/>
                <w:color w:val="000000" w:themeColor="text1"/>
                <w:sz w:val="22"/>
              </w:rPr>
              <w:t>€ 5.75</w:t>
            </w:r>
          </w:p>
        </w:tc>
      </w:tr>
      <w:tr w:rsidR="008401D8" w:rsidRPr="00AC00D4" w14:paraId="17D84012" w14:textId="77777777" w:rsidTr="008401D8">
        <w:trPr>
          <w:trHeight w:val="256"/>
        </w:trPr>
        <w:tc>
          <w:tcPr>
            <w:cnfStyle w:val="001000000000" w:firstRow="0" w:lastRow="0" w:firstColumn="1" w:lastColumn="0" w:oddVBand="0" w:evenVBand="0" w:oddHBand="0" w:evenHBand="0" w:firstRowFirstColumn="0" w:firstRowLastColumn="0" w:lastRowFirstColumn="0" w:lastRowLastColumn="0"/>
            <w:tcW w:w="5103" w:type="dxa"/>
          </w:tcPr>
          <w:p w14:paraId="6B602E42" w14:textId="77777777" w:rsidR="008401D8" w:rsidRPr="00AB3487" w:rsidRDefault="008401D8" w:rsidP="008401D8">
            <w:pPr>
              <w:rPr>
                <w:rFonts w:ascii="Arial" w:hAnsi="Arial" w:cs="Arial"/>
                <w:b w:val="0"/>
                <w:bCs w:val="0"/>
                <w:color w:val="000000" w:themeColor="text1"/>
                <w:sz w:val="22"/>
                <w:szCs w:val="16"/>
              </w:rPr>
            </w:pPr>
            <w:r>
              <w:rPr>
                <w:rFonts w:ascii="Arial" w:hAnsi="Arial"/>
                <w:b w:val="0"/>
                <w:color w:val="000000" w:themeColor="text1"/>
                <w:sz w:val="22"/>
              </w:rPr>
              <w:t>Standard amount per hour for persons under 21</w:t>
            </w:r>
          </w:p>
        </w:tc>
        <w:tc>
          <w:tcPr>
            <w:tcW w:w="2127" w:type="dxa"/>
          </w:tcPr>
          <w:p w14:paraId="63DB820D" w14:textId="77777777" w:rsidR="008401D8" w:rsidRPr="00AB3487" w:rsidRDefault="008401D8" w:rsidP="008401D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16"/>
              </w:rPr>
            </w:pPr>
            <w:r>
              <w:rPr>
                <w:rFonts w:ascii="Arial" w:hAnsi="Arial"/>
                <w:color w:val="000000" w:themeColor="text1"/>
                <w:sz w:val="22"/>
              </w:rPr>
              <w:t>€ 3.30</w:t>
            </w:r>
          </w:p>
        </w:tc>
        <w:tc>
          <w:tcPr>
            <w:tcW w:w="2191" w:type="dxa"/>
          </w:tcPr>
          <w:p w14:paraId="77191219" w14:textId="77777777" w:rsidR="008401D8" w:rsidRPr="00AB3487" w:rsidRDefault="008401D8" w:rsidP="008401D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16"/>
              </w:rPr>
            </w:pPr>
            <w:r>
              <w:rPr>
                <w:rFonts w:ascii="Arial" w:hAnsi="Arial"/>
                <w:color w:val="000000" w:themeColor="text1"/>
                <w:sz w:val="22"/>
              </w:rPr>
              <w:t>€ 3.40</w:t>
            </w:r>
          </w:p>
        </w:tc>
      </w:tr>
    </w:tbl>
    <w:p w14:paraId="185E4020" w14:textId="503A6176" w:rsidR="00E91833" w:rsidRPr="00E91833" w:rsidRDefault="00E91833" w:rsidP="00E91833">
      <w:pPr>
        <w:pStyle w:val="SRAKopje"/>
        <w:ind w:left="2124" w:hanging="2124"/>
        <w:rPr>
          <w:rFonts w:ascii="Arial" w:hAnsi="Arial" w:cs="Arial"/>
        </w:rPr>
      </w:pPr>
      <w:r>
        <w:rPr>
          <w:rFonts w:ascii="Arial" w:hAnsi="Arial"/>
        </w:rPr>
        <w:t>Table 10</w:t>
      </w:r>
      <w:r>
        <w:rPr>
          <w:rFonts w:ascii="Arial" w:hAnsi="Arial"/>
        </w:rPr>
        <w:tab/>
        <w:t>Tax exemption for volunteers</w:t>
      </w:r>
      <w:bookmarkEnd w:id="140"/>
    </w:p>
    <w:p w14:paraId="4B92F44E" w14:textId="7A8EA888" w:rsidR="00980FCA" w:rsidRDefault="00980FCA">
      <w:pPr>
        <w:rPr>
          <w:rFonts w:ascii="Arial" w:hAnsi="Arial" w:cs="Arial"/>
          <w:sz w:val="22"/>
          <w:szCs w:val="22"/>
        </w:rPr>
      </w:pPr>
      <w:r>
        <w:br w:type="page"/>
      </w:r>
    </w:p>
    <w:p w14:paraId="4DE45647" w14:textId="77777777" w:rsidR="00E91833" w:rsidRDefault="00E91833">
      <w:pPr>
        <w:rPr>
          <w:rFonts w:ascii="Arial" w:hAnsi="Arial" w:cs="Arial"/>
          <w:sz w:val="22"/>
          <w:szCs w:val="22"/>
        </w:rPr>
      </w:pPr>
    </w:p>
    <w:p w14:paraId="0308101F" w14:textId="6949005E" w:rsidR="00E91833" w:rsidRPr="00E91833" w:rsidRDefault="00E91833" w:rsidP="00E91833">
      <w:pPr>
        <w:pStyle w:val="SRAKopje"/>
        <w:ind w:left="2124" w:hanging="2124"/>
        <w:rPr>
          <w:rFonts w:ascii="Arial" w:hAnsi="Arial" w:cs="Arial"/>
        </w:rPr>
      </w:pPr>
      <w:bookmarkStart w:id="141" w:name="_Toc155866674"/>
      <w:r>
        <w:rPr>
          <w:rFonts w:ascii="Arial" w:hAnsi="Arial"/>
        </w:rPr>
        <w:t>Table 11</w:t>
      </w:r>
      <w:r>
        <w:rPr>
          <w:rFonts w:ascii="Arial" w:hAnsi="Arial"/>
        </w:rPr>
        <w:tab/>
        <w:t>Addition to taxable income for company car</w:t>
      </w:r>
      <w:bookmarkEnd w:id="141"/>
    </w:p>
    <w:tbl>
      <w:tblPr>
        <w:tblStyle w:val="Rastertabel4-Accent3"/>
        <w:tblpPr w:leftFromText="141" w:rightFromText="141" w:vertAnchor="page" w:horzAnchor="margin" w:tblpY="2998"/>
        <w:tblW w:w="9511" w:type="dxa"/>
        <w:tblLook w:val="04A0" w:firstRow="1" w:lastRow="0" w:firstColumn="1" w:lastColumn="0" w:noHBand="0" w:noVBand="1"/>
      </w:tblPr>
      <w:tblGrid>
        <w:gridCol w:w="988"/>
        <w:gridCol w:w="2409"/>
        <w:gridCol w:w="3544"/>
        <w:gridCol w:w="2570"/>
      </w:tblGrid>
      <w:tr w:rsidR="00E91833" w:rsidRPr="00AC00D4" w14:paraId="089ADBFB" w14:textId="77777777" w:rsidTr="00E91833">
        <w:trPr>
          <w:cnfStyle w:val="100000000000" w:firstRow="1" w:lastRow="0" w:firstColumn="0" w:lastColumn="0" w:oddVBand="0" w:evenVBand="0" w:oddHBand="0"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988" w:type="dxa"/>
          </w:tcPr>
          <w:p w14:paraId="52D1EEC4" w14:textId="77777777" w:rsidR="00E91833" w:rsidRPr="00AB3487" w:rsidRDefault="00E91833" w:rsidP="00AB3487">
            <w:pPr>
              <w:spacing w:before="66"/>
              <w:ind w:left="65" w:right="-18"/>
              <w:jc w:val="center"/>
              <w:rPr>
                <w:rFonts w:ascii="Arial" w:hAnsi="Arial" w:cs="Arial"/>
                <w:color w:val="010302"/>
                <w:sz w:val="22"/>
                <w:szCs w:val="22"/>
              </w:rPr>
            </w:pPr>
            <w:r>
              <w:rPr>
                <w:rFonts w:ascii="Arial" w:hAnsi="Arial"/>
                <w:color w:val="010302"/>
                <w:sz w:val="22"/>
              </w:rPr>
              <w:t>Year</w:t>
            </w:r>
          </w:p>
        </w:tc>
        <w:tc>
          <w:tcPr>
            <w:tcW w:w="2409" w:type="dxa"/>
          </w:tcPr>
          <w:p w14:paraId="5AC1ADFE" w14:textId="77777777" w:rsidR="00E91833" w:rsidRPr="00AB3487" w:rsidRDefault="00E91833" w:rsidP="00AB3487">
            <w:pPr>
              <w:spacing w:before="66"/>
              <w:ind w:left="65" w:right="-18"/>
              <w:jc w:val="center"/>
              <w:cnfStyle w:val="100000000000" w:firstRow="1" w:lastRow="0" w:firstColumn="0" w:lastColumn="0" w:oddVBand="0" w:evenVBand="0" w:oddHBand="0" w:evenHBand="0" w:firstRowFirstColumn="0" w:firstRowLastColumn="0" w:lastRowFirstColumn="0" w:lastRowLastColumn="0"/>
              <w:rPr>
                <w:rFonts w:ascii="Arial" w:hAnsi="Arial" w:cs="Arial"/>
                <w:color w:val="010302"/>
                <w:sz w:val="22"/>
                <w:szCs w:val="22"/>
              </w:rPr>
            </w:pPr>
            <w:r>
              <w:rPr>
                <w:rFonts w:ascii="Arial" w:hAnsi="Arial"/>
                <w:color w:val="010302"/>
                <w:sz w:val="22"/>
              </w:rPr>
              <w:t>Discount percentage</w:t>
            </w:r>
          </w:p>
        </w:tc>
        <w:tc>
          <w:tcPr>
            <w:tcW w:w="3544" w:type="dxa"/>
          </w:tcPr>
          <w:p w14:paraId="533CCC7A" w14:textId="77777777" w:rsidR="00E91833" w:rsidRPr="00AB3487" w:rsidRDefault="00E91833" w:rsidP="00AB3487">
            <w:pPr>
              <w:spacing w:before="66"/>
              <w:ind w:left="65" w:right="-18"/>
              <w:jc w:val="center"/>
              <w:cnfStyle w:val="100000000000" w:firstRow="1" w:lastRow="0" w:firstColumn="0" w:lastColumn="0" w:oddVBand="0" w:evenVBand="0" w:oddHBand="0" w:evenHBand="0" w:firstRowFirstColumn="0" w:firstRowLastColumn="0" w:lastRowFirstColumn="0" w:lastRowLastColumn="0"/>
              <w:rPr>
                <w:rFonts w:ascii="Arial" w:hAnsi="Arial" w:cs="Arial"/>
                <w:color w:val="010302"/>
                <w:sz w:val="22"/>
                <w:szCs w:val="22"/>
              </w:rPr>
            </w:pPr>
            <w:r>
              <w:rPr>
                <w:rFonts w:ascii="Arial" w:hAnsi="Arial"/>
                <w:color w:val="010302"/>
                <w:sz w:val="22"/>
              </w:rPr>
              <w:t>Addition after applying discount</w:t>
            </w:r>
          </w:p>
        </w:tc>
        <w:tc>
          <w:tcPr>
            <w:tcW w:w="2570" w:type="dxa"/>
          </w:tcPr>
          <w:p w14:paraId="5E7D510A" w14:textId="77777777" w:rsidR="00E91833" w:rsidRPr="00AB3487" w:rsidRDefault="00E91833" w:rsidP="00AB3487">
            <w:pPr>
              <w:spacing w:before="66"/>
              <w:ind w:left="65" w:right="-18"/>
              <w:jc w:val="center"/>
              <w:cnfStyle w:val="100000000000" w:firstRow="1" w:lastRow="0" w:firstColumn="0" w:lastColumn="0" w:oddVBand="0" w:evenVBand="0" w:oddHBand="0" w:evenHBand="0" w:firstRowFirstColumn="0" w:firstRowLastColumn="0" w:lastRowFirstColumn="0" w:lastRowLastColumn="0"/>
              <w:rPr>
                <w:rFonts w:ascii="Arial" w:hAnsi="Arial" w:cs="Arial"/>
                <w:color w:val="010302"/>
                <w:sz w:val="22"/>
                <w:szCs w:val="22"/>
              </w:rPr>
            </w:pPr>
            <w:r>
              <w:rPr>
                <w:rFonts w:ascii="Arial" w:hAnsi="Arial"/>
                <w:color w:val="010302"/>
                <w:sz w:val="22"/>
              </w:rPr>
              <w:t>CAP</w:t>
            </w:r>
          </w:p>
        </w:tc>
      </w:tr>
      <w:tr w:rsidR="00E91833" w:rsidRPr="00AC00D4" w14:paraId="13011689" w14:textId="77777777" w:rsidTr="00E91833">
        <w:trPr>
          <w:cnfStyle w:val="000000100000" w:firstRow="0" w:lastRow="0" w:firstColumn="0" w:lastColumn="0" w:oddVBand="0" w:evenVBand="0" w:oddHBand="1"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988" w:type="dxa"/>
          </w:tcPr>
          <w:p w14:paraId="37999048" w14:textId="77777777" w:rsidR="00E91833" w:rsidRPr="00AB3487" w:rsidRDefault="00E91833" w:rsidP="00AB3487">
            <w:pPr>
              <w:jc w:val="center"/>
              <w:rPr>
                <w:rFonts w:ascii="Arial" w:hAnsi="Arial" w:cs="Arial"/>
                <w:b w:val="0"/>
                <w:bCs w:val="0"/>
                <w:color w:val="000000" w:themeColor="text1"/>
                <w:sz w:val="22"/>
                <w:szCs w:val="16"/>
              </w:rPr>
            </w:pPr>
            <w:r>
              <w:rPr>
                <w:rFonts w:ascii="Arial" w:hAnsi="Arial"/>
                <w:b w:val="0"/>
                <w:color w:val="000000" w:themeColor="text1"/>
                <w:sz w:val="22"/>
              </w:rPr>
              <w:t>2025</w:t>
            </w:r>
          </w:p>
        </w:tc>
        <w:tc>
          <w:tcPr>
            <w:tcW w:w="2409" w:type="dxa"/>
          </w:tcPr>
          <w:p w14:paraId="1940F978" w14:textId="77777777" w:rsidR="00E91833" w:rsidRPr="00AB3487" w:rsidRDefault="00E91833" w:rsidP="00AB348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16"/>
              </w:rPr>
            </w:pPr>
            <w:r>
              <w:rPr>
                <w:rFonts w:ascii="Arial" w:hAnsi="Arial"/>
                <w:color w:val="000000" w:themeColor="text1"/>
                <w:sz w:val="22"/>
              </w:rPr>
              <w:t>5%</w:t>
            </w:r>
          </w:p>
        </w:tc>
        <w:tc>
          <w:tcPr>
            <w:tcW w:w="3544" w:type="dxa"/>
          </w:tcPr>
          <w:p w14:paraId="6CAF25DE" w14:textId="77777777" w:rsidR="00E91833" w:rsidRPr="00AB3487" w:rsidRDefault="00E91833" w:rsidP="00AB348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16"/>
              </w:rPr>
            </w:pPr>
            <w:r>
              <w:rPr>
                <w:rFonts w:ascii="Arial" w:hAnsi="Arial"/>
                <w:color w:val="000000" w:themeColor="text1"/>
                <w:sz w:val="22"/>
              </w:rPr>
              <w:t>17%</w:t>
            </w:r>
          </w:p>
        </w:tc>
        <w:tc>
          <w:tcPr>
            <w:tcW w:w="2570" w:type="dxa"/>
          </w:tcPr>
          <w:p w14:paraId="164C951C" w14:textId="77777777" w:rsidR="00E91833" w:rsidRPr="00AB3487" w:rsidRDefault="00E91833" w:rsidP="00AB348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16"/>
              </w:rPr>
            </w:pPr>
            <w:r>
              <w:rPr>
                <w:rFonts w:ascii="Arial" w:hAnsi="Arial"/>
                <w:color w:val="000000" w:themeColor="text1"/>
                <w:sz w:val="22"/>
              </w:rPr>
              <w:t>€ 30,000</w:t>
            </w:r>
          </w:p>
        </w:tc>
      </w:tr>
      <w:tr w:rsidR="00E91833" w:rsidRPr="00AC00D4" w14:paraId="55B46CDA" w14:textId="77777777" w:rsidTr="00E91833">
        <w:trPr>
          <w:trHeight w:val="367"/>
        </w:trPr>
        <w:tc>
          <w:tcPr>
            <w:cnfStyle w:val="001000000000" w:firstRow="0" w:lastRow="0" w:firstColumn="1" w:lastColumn="0" w:oddVBand="0" w:evenVBand="0" w:oddHBand="0" w:evenHBand="0" w:firstRowFirstColumn="0" w:firstRowLastColumn="0" w:lastRowFirstColumn="0" w:lastRowLastColumn="0"/>
            <w:tcW w:w="988" w:type="dxa"/>
          </w:tcPr>
          <w:p w14:paraId="2BCA4490" w14:textId="77777777" w:rsidR="00E91833" w:rsidRPr="00AB3487" w:rsidRDefault="00E91833" w:rsidP="00AB3487">
            <w:pPr>
              <w:jc w:val="center"/>
              <w:rPr>
                <w:rFonts w:ascii="Arial" w:hAnsi="Arial" w:cs="Arial"/>
                <w:b w:val="0"/>
                <w:bCs w:val="0"/>
                <w:color w:val="000000" w:themeColor="text1"/>
                <w:sz w:val="22"/>
                <w:szCs w:val="16"/>
              </w:rPr>
            </w:pPr>
            <w:r>
              <w:rPr>
                <w:rFonts w:ascii="Arial" w:hAnsi="Arial"/>
                <w:b w:val="0"/>
                <w:color w:val="000000" w:themeColor="text1"/>
                <w:sz w:val="22"/>
              </w:rPr>
              <w:t>2026</w:t>
            </w:r>
          </w:p>
        </w:tc>
        <w:tc>
          <w:tcPr>
            <w:tcW w:w="2409" w:type="dxa"/>
          </w:tcPr>
          <w:p w14:paraId="09B50409" w14:textId="2524C6ED" w:rsidR="00E91833" w:rsidRPr="00AB3487" w:rsidRDefault="00B7126A" w:rsidP="00AB348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16"/>
              </w:rPr>
            </w:pPr>
            <w:r>
              <w:rPr>
                <w:rFonts w:ascii="Arial" w:hAnsi="Arial"/>
                <w:color w:val="000000" w:themeColor="text1"/>
                <w:sz w:val="22"/>
              </w:rPr>
              <w:t>4%</w:t>
            </w:r>
          </w:p>
        </w:tc>
        <w:tc>
          <w:tcPr>
            <w:tcW w:w="3544" w:type="dxa"/>
          </w:tcPr>
          <w:p w14:paraId="006877D5" w14:textId="0EF02C78" w:rsidR="00E91833" w:rsidRPr="00AB3487" w:rsidRDefault="00B7126A" w:rsidP="00AB348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16"/>
              </w:rPr>
            </w:pPr>
            <w:r>
              <w:rPr>
                <w:rFonts w:ascii="Arial" w:hAnsi="Arial"/>
                <w:color w:val="000000" w:themeColor="text1"/>
                <w:sz w:val="22"/>
              </w:rPr>
              <w:t>18%</w:t>
            </w:r>
          </w:p>
        </w:tc>
        <w:tc>
          <w:tcPr>
            <w:tcW w:w="2570" w:type="dxa"/>
          </w:tcPr>
          <w:p w14:paraId="42C9E073" w14:textId="2EE6BE2D" w:rsidR="00E91833" w:rsidRPr="00AB3487" w:rsidRDefault="00B7126A" w:rsidP="00AB348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16"/>
              </w:rPr>
            </w:pPr>
            <w:r>
              <w:rPr>
                <w:rFonts w:ascii="Arial" w:hAnsi="Arial"/>
                <w:color w:val="000000" w:themeColor="text1"/>
                <w:sz w:val="22"/>
              </w:rPr>
              <w:t>€ 30,000</w:t>
            </w:r>
          </w:p>
        </w:tc>
      </w:tr>
      <w:tr w:rsidR="00B7126A" w:rsidRPr="00AC00D4" w14:paraId="47071900" w14:textId="77777777" w:rsidTr="00E9183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988" w:type="dxa"/>
          </w:tcPr>
          <w:p w14:paraId="7C9B3ADD" w14:textId="5C90095E" w:rsidR="00B7126A" w:rsidRPr="00324535" w:rsidRDefault="00B7126A" w:rsidP="00AB3487">
            <w:pPr>
              <w:jc w:val="center"/>
              <w:rPr>
                <w:rFonts w:ascii="Arial" w:hAnsi="Arial" w:cs="Arial"/>
                <w:b w:val="0"/>
                <w:bCs w:val="0"/>
                <w:color w:val="000000" w:themeColor="text1"/>
                <w:sz w:val="22"/>
                <w:szCs w:val="16"/>
              </w:rPr>
            </w:pPr>
            <w:r>
              <w:rPr>
                <w:rFonts w:ascii="Arial" w:hAnsi="Arial"/>
                <w:b w:val="0"/>
                <w:color w:val="000000" w:themeColor="text1"/>
                <w:sz w:val="22"/>
              </w:rPr>
              <w:t>2027</w:t>
            </w:r>
          </w:p>
        </w:tc>
        <w:tc>
          <w:tcPr>
            <w:tcW w:w="2409" w:type="dxa"/>
          </w:tcPr>
          <w:p w14:paraId="6A2E2219" w14:textId="44692DF7" w:rsidR="00B7126A" w:rsidRPr="00AB3487" w:rsidRDefault="00B7126A" w:rsidP="00AB348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16"/>
              </w:rPr>
            </w:pPr>
            <w:r>
              <w:rPr>
                <w:rFonts w:ascii="Arial" w:hAnsi="Arial"/>
                <w:color w:val="000000" w:themeColor="text1"/>
                <w:sz w:val="22"/>
              </w:rPr>
              <w:t>2%</w:t>
            </w:r>
          </w:p>
        </w:tc>
        <w:tc>
          <w:tcPr>
            <w:tcW w:w="3544" w:type="dxa"/>
          </w:tcPr>
          <w:p w14:paraId="06DF15FE" w14:textId="5C26622B" w:rsidR="00B7126A" w:rsidRPr="00AB3487" w:rsidRDefault="00B7126A" w:rsidP="00AB348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16"/>
              </w:rPr>
            </w:pPr>
            <w:r>
              <w:rPr>
                <w:rFonts w:ascii="Arial" w:hAnsi="Arial"/>
                <w:color w:val="000000" w:themeColor="text1"/>
                <w:sz w:val="22"/>
              </w:rPr>
              <w:t>20%</w:t>
            </w:r>
          </w:p>
        </w:tc>
        <w:tc>
          <w:tcPr>
            <w:tcW w:w="2570" w:type="dxa"/>
          </w:tcPr>
          <w:p w14:paraId="375B5CE2" w14:textId="0C1A04AF" w:rsidR="00B7126A" w:rsidRPr="00AB3487" w:rsidRDefault="00B7126A" w:rsidP="00AB348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16"/>
              </w:rPr>
            </w:pPr>
            <w:r>
              <w:rPr>
                <w:rFonts w:ascii="Arial" w:hAnsi="Arial"/>
                <w:color w:val="000000" w:themeColor="text1"/>
                <w:sz w:val="22"/>
              </w:rPr>
              <w:t>€ 30,000</w:t>
            </w:r>
          </w:p>
        </w:tc>
      </w:tr>
      <w:tr w:rsidR="00B7126A" w:rsidRPr="00AC00D4" w14:paraId="4964E06A" w14:textId="77777777" w:rsidTr="00E91833">
        <w:trPr>
          <w:trHeight w:val="367"/>
        </w:trPr>
        <w:tc>
          <w:tcPr>
            <w:cnfStyle w:val="001000000000" w:firstRow="0" w:lastRow="0" w:firstColumn="1" w:lastColumn="0" w:oddVBand="0" w:evenVBand="0" w:oddHBand="0" w:evenHBand="0" w:firstRowFirstColumn="0" w:firstRowLastColumn="0" w:lastRowFirstColumn="0" w:lastRowLastColumn="0"/>
            <w:tcW w:w="988" w:type="dxa"/>
          </w:tcPr>
          <w:p w14:paraId="419F7434" w14:textId="0CBF75CB" w:rsidR="00B7126A" w:rsidRPr="00324535" w:rsidRDefault="00B7126A" w:rsidP="00AB3487">
            <w:pPr>
              <w:jc w:val="center"/>
              <w:rPr>
                <w:rFonts w:ascii="Arial" w:hAnsi="Arial" w:cs="Arial"/>
                <w:b w:val="0"/>
                <w:bCs w:val="0"/>
                <w:color w:val="000000" w:themeColor="text1"/>
                <w:sz w:val="22"/>
                <w:szCs w:val="16"/>
              </w:rPr>
            </w:pPr>
            <w:r>
              <w:rPr>
                <w:rFonts w:ascii="Arial" w:hAnsi="Arial"/>
                <w:b w:val="0"/>
                <w:color w:val="000000" w:themeColor="text1"/>
                <w:sz w:val="22"/>
              </w:rPr>
              <w:t>2028</w:t>
            </w:r>
          </w:p>
        </w:tc>
        <w:tc>
          <w:tcPr>
            <w:tcW w:w="2409" w:type="dxa"/>
          </w:tcPr>
          <w:p w14:paraId="1D39B76C" w14:textId="0BF33061" w:rsidR="00B7126A" w:rsidRPr="00AB3487" w:rsidRDefault="00B7126A" w:rsidP="00AB348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16"/>
              </w:rPr>
            </w:pPr>
            <w:r>
              <w:rPr>
                <w:rFonts w:ascii="Arial" w:hAnsi="Arial"/>
                <w:color w:val="000000" w:themeColor="text1"/>
                <w:sz w:val="22"/>
              </w:rPr>
              <w:t>0%</w:t>
            </w:r>
          </w:p>
        </w:tc>
        <w:tc>
          <w:tcPr>
            <w:tcW w:w="3544" w:type="dxa"/>
          </w:tcPr>
          <w:p w14:paraId="4A3E7D7B" w14:textId="458D740F" w:rsidR="00B7126A" w:rsidRPr="00AB3487" w:rsidRDefault="00B7126A" w:rsidP="00AB348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16"/>
              </w:rPr>
            </w:pPr>
            <w:r>
              <w:rPr>
                <w:rFonts w:ascii="Arial" w:hAnsi="Arial"/>
                <w:color w:val="000000" w:themeColor="text1"/>
                <w:sz w:val="22"/>
              </w:rPr>
              <w:t>22%</w:t>
            </w:r>
          </w:p>
        </w:tc>
        <w:tc>
          <w:tcPr>
            <w:tcW w:w="2570" w:type="dxa"/>
          </w:tcPr>
          <w:p w14:paraId="5A60A9F4" w14:textId="0FB8C32D" w:rsidR="00B7126A" w:rsidRPr="00AB3487" w:rsidRDefault="00B7126A" w:rsidP="00AB348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16"/>
              </w:rPr>
            </w:pPr>
            <w:r>
              <w:rPr>
                <w:rFonts w:ascii="Arial" w:hAnsi="Arial"/>
                <w:color w:val="000000" w:themeColor="text1"/>
                <w:sz w:val="22"/>
              </w:rPr>
              <w:t>N/A</w:t>
            </w:r>
          </w:p>
        </w:tc>
      </w:tr>
    </w:tbl>
    <w:p w14:paraId="0A705E5B" w14:textId="77777777" w:rsidR="00E91833" w:rsidRDefault="00E91833" w:rsidP="00306AA3">
      <w:pPr>
        <w:rPr>
          <w:rFonts w:ascii="Arial" w:hAnsi="Arial" w:cs="Arial"/>
          <w:sz w:val="22"/>
          <w:szCs w:val="22"/>
        </w:rPr>
      </w:pPr>
    </w:p>
    <w:p w14:paraId="4D341241" w14:textId="77777777" w:rsidR="00E91833" w:rsidRDefault="00E91833" w:rsidP="00306AA3">
      <w:pPr>
        <w:rPr>
          <w:rFonts w:ascii="Arial" w:hAnsi="Arial" w:cs="Arial"/>
          <w:sz w:val="22"/>
          <w:szCs w:val="22"/>
        </w:rPr>
      </w:pPr>
    </w:p>
    <w:p w14:paraId="6923F9F1" w14:textId="77777777" w:rsidR="00E91833" w:rsidRPr="00E91833" w:rsidRDefault="00E91833" w:rsidP="00E91833">
      <w:pPr>
        <w:pStyle w:val="SRAKopje"/>
        <w:ind w:left="2124" w:hanging="2124"/>
        <w:rPr>
          <w:rFonts w:ascii="Arial" w:hAnsi="Arial" w:cs="Arial"/>
        </w:rPr>
      </w:pPr>
      <w:bookmarkStart w:id="142" w:name="_Toc155866675"/>
      <w:r>
        <w:rPr>
          <w:rFonts w:ascii="Arial" w:hAnsi="Arial"/>
        </w:rPr>
        <w:t>Table 12</w:t>
      </w:r>
      <w:r>
        <w:rPr>
          <w:rFonts w:ascii="Arial" w:hAnsi="Arial"/>
        </w:rPr>
        <w:tab/>
        <w:t>Standard amounts and percentages for work-related expenses scheme</w:t>
      </w:r>
      <w:bookmarkEnd w:id="142"/>
    </w:p>
    <w:tbl>
      <w:tblPr>
        <w:tblStyle w:val="Rastertabel4-Accent3"/>
        <w:tblpPr w:vertAnchor="text" w:horzAnchor="margin" w:tblpY="423"/>
        <w:tblW w:w="9493" w:type="dxa"/>
        <w:tblLayout w:type="fixed"/>
        <w:tblLook w:val="04A0" w:firstRow="1" w:lastRow="0" w:firstColumn="1" w:lastColumn="0" w:noHBand="0" w:noVBand="1"/>
      </w:tblPr>
      <w:tblGrid>
        <w:gridCol w:w="3114"/>
        <w:gridCol w:w="2126"/>
        <w:gridCol w:w="1985"/>
        <w:gridCol w:w="2268"/>
      </w:tblGrid>
      <w:tr w:rsidR="00E91833" w:rsidRPr="00E91833" w14:paraId="01B36292" w14:textId="77777777" w:rsidTr="00AB3487">
        <w:trPr>
          <w:cnfStyle w:val="100000000000" w:firstRow="1" w:lastRow="0" w:firstColumn="0" w:lastColumn="0" w:oddVBand="0" w:evenVBand="0" w:oddHBand="0" w:evenHBand="0" w:firstRowFirstColumn="0" w:firstRowLastColumn="0" w:lastRowFirstColumn="0" w:lastRowLastColumn="0"/>
          <w:trHeight w:hRule="exact" w:val="713"/>
        </w:trPr>
        <w:tc>
          <w:tcPr>
            <w:cnfStyle w:val="001000000000" w:firstRow="0" w:lastRow="0" w:firstColumn="1" w:lastColumn="0" w:oddVBand="0" w:evenVBand="0" w:oddHBand="0" w:evenHBand="0" w:firstRowFirstColumn="0" w:firstRowLastColumn="0" w:lastRowFirstColumn="0" w:lastRowLastColumn="0"/>
            <w:tcW w:w="3114" w:type="dxa"/>
          </w:tcPr>
          <w:p w14:paraId="24387C47" w14:textId="77777777" w:rsidR="00E91833" w:rsidRPr="00AB3487" w:rsidRDefault="00E91833" w:rsidP="00AB3487">
            <w:pPr>
              <w:spacing w:before="66"/>
              <w:ind w:left="65" w:right="-18"/>
              <w:jc w:val="center"/>
              <w:rPr>
                <w:rFonts w:ascii="Arial" w:hAnsi="Arial" w:cs="Arial"/>
                <w:color w:val="010302"/>
                <w:sz w:val="22"/>
                <w:szCs w:val="22"/>
              </w:rPr>
            </w:pPr>
            <w:r>
              <w:rPr>
                <w:rFonts w:ascii="Arial" w:hAnsi="Arial"/>
                <w:color w:val="010302"/>
                <w:sz w:val="22"/>
              </w:rPr>
              <w:t xml:space="preserve">Subject </w:t>
            </w:r>
          </w:p>
        </w:tc>
        <w:tc>
          <w:tcPr>
            <w:tcW w:w="2126" w:type="dxa"/>
          </w:tcPr>
          <w:p w14:paraId="26046E96" w14:textId="77777777" w:rsidR="00E91833" w:rsidRPr="00AB3487" w:rsidRDefault="00E91833" w:rsidP="00C10A00">
            <w:pPr>
              <w:spacing w:before="66"/>
              <w:ind w:left="65"/>
              <w:cnfStyle w:val="100000000000" w:firstRow="1" w:lastRow="0" w:firstColumn="0" w:lastColumn="0" w:oddVBand="0" w:evenVBand="0" w:oddHBand="0" w:evenHBand="0" w:firstRowFirstColumn="0" w:firstRowLastColumn="0" w:lastRowFirstColumn="0" w:lastRowLastColumn="0"/>
              <w:rPr>
                <w:rFonts w:ascii="Arial" w:hAnsi="Arial" w:cs="Arial"/>
                <w:color w:val="010302"/>
                <w:sz w:val="22"/>
                <w:szCs w:val="22"/>
              </w:rPr>
            </w:pPr>
          </w:p>
        </w:tc>
        <w:tc>
          <w:tcPr>
            <w:tcW w:w="1985" w:type="dxa"/>
          </w:tcPr>
          <w:p w14:paraId="13132C37" w14:textId="59767FE9" w:rsidR="00E91833" w:rsidRPr="00AB3487" w:rsidRDefault="00E91833" w:rsidP="00AB3487">
            <w:pPr>
              <w:spacing w:before="66"/>
              <w:ind w:left="65" w:right="-18"/>
              <w:jc w:val="center"/>
              <w:cnfStyle w:val="100000000000" w:firstRow="1" w:lastRow="0" w:firstColumn="0" w:lastColumn="0" w:oddVBand="0" w:evenVBand="0" w:oddHBand="0" w:evenHBand="0" w:firstRowFirstColumn="0" w:firstRowLastColumn="0" w:lastRowFirstColumn="0" w:lastRowLastColumn="0"/>
              <w:rPr>
                <w:rFonts w:ascii="Arial" w:hAnsi="Arial" w:cs="Arial"/>
                <w:color w:val="010302"/>
                <w:sz w:val="22"/>
                <w:szCs w:val="22"/>
              </w:rPr>
            </w:pPr>
            <w:r>
              <w:rPr>
                <w:rFonts w:ascii="Arial" w:hAnsi="Arial"/>
                <w:color w:val="010302"/>
                <w:sz w:val="22"/>
              </w:rPr>
              <w:t>Amount/percentage for 2025</w:t>
            </w:r>
          </w:p>
        </w:tc>
        <w:tc>
          <w:tcPr>
            <w:tcW w:w="2268" w:type="dxa"/>
          </w:tcPr>
          <w:p w14:paraId="6193E48A" w14:textId="3215F3D9" w:rsidR="00E91833" w:rsidRPr="00AB3487" w:rsidRDefault="00E91833" w:rsidP="00AB3487">
            <w:pPr>
              <w:spacing w:before="66"/>
              <w:ind w:left="65" w:right="-18"/>
              <w:jc w:val="center"/>
              <w:cnfStyle w:val="100000000000" w:firstRow="1" w:lastRow="0" w:firstColumn="0" w:lastColumn="0" w:oddVBand="0" w:evenVBand="0" w:oddHBand="0" w:evenHBand="0" w:firstRowFirstColumn="0" w:firstRowLastColumn="0" w:lastRowFirstColumn="0" w:lastRowLastColumn="0"/>
              <w:rPr>
                <w:rFonts w:ascii="Arial" w:hAnsi="Arial" w:cs="Arial"/>
                <w:color w:val="010302"/>
                <w:sz w:val="22"/>
                <w:szCs w:val="22"/>
              </w:rPr>
            </w:pPr>
            <w:r>
              <w:rPr>
                <w:rFonts w:ascii="Arial" w:hAnsi="Arial"/>
                <w:color w:val="010302"/>
                <w:sz w:val="22"/>
              </w:rPr>
              <w:t>Amount/percentage for 2026</w:t>
            </w:r>
          </w:p>
        </w:tc>
      </w:tr>
      <w:tr w:rsidR="00E91833" w:rsidRPr="00E91833" w14:paraId="05CBD299" w14:textId="77777777" w:rsidTr="00C10A00">
        <w:trPr>
          <w:cnfStyle w:val="000000100000" w:firstRow="0" w:lastRow="0" w:firstColumn="0" w:lastColumn="0" w:oddVBand="0" w:evenVBand="0" w:oddHBand="1"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3114" w:type="dxa"/>
          </w:tcPr>
          <w:p w14:paraId="59D925BF" w14:textId="77777777" w:rsidR="00E91833" w:rsidRPr="00AB3487" w:rsidRDefault="00E91833" w:rsidP="00C10A00">
            <w:pPr>
              <w:rPr>
                <w:rFonts w:ascii="Arial" w:hAnsi="Arial" w:cs="Arial"/>
                <w:b w:val="0"/>
                <w:bCs w:val="0"/>
                <w:color w:val="000000" w:themeColor="text1"/>
                <w:sz w:val="22"/>
                <w:szCs w:val="16"/>
              </w:rPr>
            </w:pPr>
            <w:r>
              <w:rPr>
                <w:rFonts w:ascii="Arial" w:hAnsi="Arial"/>
                <w:b w:val="0"/>
                <w:color w:val="000000" w:themeColor="text1"/>
                <w:sz w:val="22"/>
              </w:rPr>
              <w:t xml:space="preserve">Tax-free allowance per kilometre </w:t>
            </w:r>
          </w:p>
        </w:tc>
        <w:tc>
          <w:tcPr>
            <w:tcW w:w="2126" w:type="dxa"/>
          </w:tcPr>
          <w:p w14:paraId="7A89FEC1" w14:textId="77777777" w:rsidR="00E91833" w:rsidRPr="00AB3487" w:rsidRDefault="00E91833" w:rsidP="00C10A00">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16"/>
              </w:rPr>
            </w:pPr>
            <w:r>
              <w:rPr>
                <w:rFonts w:ascii="Arial" w:hAnsi="Arial"/>
                <w:color w:val="000000" w:themeColor="text1"/>
                <w:sz w:val="22"/>
              </w:rPr>
              <w:t xml:space="preserve">Specific exemption </w:t>
            </w:r>
          </w:p>
        </w:tc>
        <w:tc>
          <w:tcPr>
            <w:tcW w:w="1985" w:type="dxa"/>
          </w:tcPr>
          <w:p w14:paraId="1AFF3850" w14:textId="34C98EF5" w:rsidR="00E91833" w:rsidRPr="00AB3487" w:rsidRDefault="00E91833" w:rsidP="00C10A0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16"/>
              </w:rPr>
            </w:pPr>
            <w:r>
              <w:rPr>
                <w:rFonts w:ascii="Arial" w:hAnsi="Arial"/>
                <w:color w:val="000000" w:themeColor="text1"/>
                <w:sz w:val="22"/>
              </w:rPr>
              <w:t xml:space="preserve">€ 0.23 </w:t>
            </w:r>
          </w:p>
        </w:tc>
        <w:tc>
          <w:tcPr>
            <w:tcW w:w="2268" w:type="dxa"/>
          </w:tcPr>
          <w:p w14:paraId="4C2014D3" w14:textId="77777777" w:rsidR="00E91833" w:rsidRPr="00AB3487" w:rsidRDefault="00E91833" w:rsidP="00C10A0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16"/>
              </w:rPr>
            </w:pPr>
            <w:r>
              <w:rPr>
                <w:rFonts w:ascii="Arial" w:hAnsi="Arial"/>
                <w:color w:val="000000" w:themeColor="text1"/>
                <w:sz w:val="22"/>
              </w:rPr>
              <w:t xml:space="preserve">€ 0.23 </w:t>
            </w:r>
          </w:p>
        </w:tc>
      </w:tr>
      <w:tr w:rsidR="00E91833" w:rsidRPr="00E91833" w14:paraId="62E3F6EC" w14:textId="77777777" w:rsidTr="00C848E4">
        <w:trPr>
          <w:trHeight w:hRule="exact" w:val="582"/>
        </w:trPr>
        <w:tc>
          <w:tcPr>
            <w:cnfStyle w:val="001000000000" w:firstRow="0" w:lastRow="0" w:firstColumn="1" w:lastColumn="0" w:oddVBand="0" w:evenVBand="0" w:oddHBand="0" w:evenHBand="0" w:firstRowFirstColumn="0" w:firstRowLastColumn="0" w:lastRowFirstColumn="0" w:lastRowLastColumn="0"/>
            <w:tcW w:w="3114" w:type="dxa"/>
          </w:tcPr>
          <w:p w14:paraId="775AF94B" w14:textId="77777777" w:rsidR="00E91833" w:rsidRPr="00AB3487" w:rsidRDefault="00E91833" w:rsidP="00C10A00">
            <w:pPr>
              <w:rPr>
                <w:rFonts w:ascii="Arial" w:hAnsi="Arial" w:cs="Arial"/>
                <w:b w:val="0"/>
                <w:bCs w:val="0"/>
                <w:color w:val="000000" w:themeColor="text1"/>
                <w:sz w:val="22"/>
                <w:szCs w:val="16"/>
              </w:rPr>
            </w:pPr>
            <w:r>
              <w:rPr>
                <w:rFonts w:ascii="Arial" w:hAnsi="Arial"/>
                <w:b w:val="0"/>
                <w:color w:val="000000" w:themeColor="text1"/>
                <w:sz w:val="22"/>
              </w:rPr>
              <w:t xml:space="preserve">Tax-free homeworking allowance </w:t>
            </w:r>
          </w:p>
        </w:tc>
        <w:tc>
          <w:tcPr>
            <w:tcW w:w="2126" w:type="dxa"/>
          </w:tcPr>
          <w:p w14:paraId="781A978C" w14:textId="77777777" w:rsidR="00E91833" w:rsidRPr="00AB3487" w:rsidRDefault="00E91833" w:rsidP="00C10A00">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16"/>
              </w:rPr>
            </w:pPr>
            <w:r>
              <w:rPr>
                <w:rFonts w:ascii="Arial" w:hAnsi="Arial"/>
                <w:color w:val="000000" w:themeColor="text1"/>
                <w:sz w:val="22"/>
              </w:rPr>
              <w:t xml:space="preserve">Specific exemption </w:t>
            </w:r>
          </w:p>
        </w:tc>
        <w:tc>
          <w:tcPr>
            <w:tcW w:w="1985" w:type="dxa"/>
          </w:tcPr>
          <w:p w14:paraId="2F34C5E1" w14:textId="0F389C62" w:rsidR="00E91833" w:rsidRPr="00AB3487" w:rsidRDefault="00E91833" w:rsidP="00C10A0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16"/>
              </w:rPr>
            </w:pPr>
            <w:r>
              <w:rPr>
                <w:rFonts w:ascii="Arial" w:hAnsi="Arial"/>
                <w:color w:val="000000" w:themeColor="text1"/>
                <w:sz w:val="22"/>
              </w:rPr>
              <w:t xml:space="preserve">€ 2.40 </w:t>
            </w:r>
          </w:p>
        </w:tc>
        <w:tc>
          <w:tcPr>
            <w:tcW w:w="2268" w:type="dxa"/>
          </w:tcPr>
          <w:p w14:paraId="1698117F" w14:textId="09D41932" w:rsidR="00E91833" w:rsidRPr="00AB3487" w:rsidRDefault="00E91833" w:rsidP="00C10A0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16"/>
              </w:rPr>
            </w:pPr>
            <w:r>
              <w:rPr>
                <w:rFonts w:ascii="Arial" w:hAnsi="Arial"/>
                <w:color w:val="000000" w:themeColor="text1"/>
                <w:sz w:val="22"/>
              </w:rPr>
              <w:t xml:space="preserve">€ 2.45 </w:t>
            </w:r>
          </w:p>
        </w:tc>
      </w:tr>
      <w:tr w:rsidR="00E91833" w:rsidRPr="00E91833" w14:paraId="452F857C" w14:textId="77777777" w:rsidTr="00F814A4">
        <w:trPr>
          <w:cnfStyle w:val="000000100000" w:firstRow="0" w:lastRow="0" w:firstColumn="0" w:lastColumn="0" w:oddVBand="0" w:evenVBand="0" w:oddHBand="1" w:evenHBand="0" w:firstRowFirstColumn="0" w:firstRowLastColumn="0" w:lastRowFirstColumn="0" w:lastRowLastColumn="0"/>
          <w:trHeight w:hRule="exact" w:val="407"/>
        </w:trPr>
        <w:tc>
          <w:tcPr>
            <w:cnfStyle w:val="001000000000" w:firstRow="0" w:lastRow="0" w:firstColumn="1" w:lastColumn="0" w:oddVBand="0" w:evenVBand="0" w:oddHBand="0" w:evenHBand="0" w:firstRowFirstColumn="0" w:firstRowLastColumn="0" w:lastRowFirstColumn="0" w:lastRowLastColumn="0"/>
            <w:tcW w:w="3114" w:type="dxa"/>
          </w:tcPr>
          <w:p w14:paraId="5E84A801" w14:textId="77777777" w:rsidR="00E91833" w:rsidRPr="00AB3487" w:rsidRDefault="00E91833" w:rsidP="00C10A00">
            <w:pPr>
              <w:rPr>
                <w:rFonts w:ascii="Arial" w:hAnsi="Arial" w:cs="Arial"/>
                <w:b w:val="0"/>
                <w:bCs w:val="0"/>
                <w:color w:val="000000" w:themeColor="text1"/>
                <w:sz w:val="22"/>
                <w:szCs w:val="16"/>
              </w:rPr>
            </w:pPr>
            <w:r>
              <w:rPr>
                <w:rFonts w:ascii="Arial" w:hAnsi="Arial"/>
                <w:b w:val="0"/>
                <w:color w:val="000000" w:themeColor="text1"/>
                <w:sz w:val="22"/>
              </w:rPr>
              <w:t xml:space="preserve">Relocation allowance </w:t>
            </w:r>
          </w:p>
        </w:tc>
        <w:tc>
          <w:tcPr>
            <w:tcW w:w="2126" w:type="dxa"/>
          </w:tcPr>
          <w:p w14:paraId="222E1A43" w14:textId="77777777" w:rsidR="00E91833" w:rsidRPr="00AB3487" w:rsidRDefault="00E91833" w:rsidP="00C10A00">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16"/>
              </w:rPr>
            </w:pPr>
            <w:r>
              <w:rPr>
                <w:rFonts w:ascii="Arial" w:hAnsi="Arial"/>
                <w:color w:val="000000" w:themeColor="text1"/>
                <w:sz w:val="22"/>
              </w:rPr>
              <w:t xml:space="preserve">Specific exemption </w:t>
            </w:r>
          </w:p>
        </w:tc>
        <w:tc>
          <w:tcPr>
            <w:tcW w:w="1985" w:type="dxa"/>
          </w:tcPr>
          <w:p w14:paraId="5DB24565" w14:textId="77777777" w:rsidR="00E91833" w:rsidRPr="00AB3487" w:rsidRDefault="00E91833" w:rsidP="00C10A0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16"/>
              </w:rPr>
            </w:pPr>
            <w:r>
              <w:rPr>
                <w:rFonts w:ascii="Arial" w:hAnsi="Arial"/>
                <w:color w:val="000000" w:themeColor="text1"/>
                <w:sz w:val="22"/>
              </w:rPr>
              <w:t xml:space="preserve">€ 7,750 </w:t>
            </w:r>
          </w:p>
        </w:tc>
        <w:tc>
          <w:tcPr>
            <w:tcW w:w="2268" w:type="dxa"/>
          </w:tcPr>
          <w:p w14:paraId="1B1D115B" w14:textId="77777777" w:rsidR="00E91833" w:rsidRPr="00AB3487" w:rsidRDefault="00E91833" w:rsidP="00C10A0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16"/>
              </w:rPr>
            </w:pPr>
            <w:r>
              <w:rPr>
                <w:rFonts w:ascii="Arial" w:hAnsi="Arial"/>
                <w:color w:val="000000" w:themeColor="text1"/>
                <w:sz w:val="22"/>
              </w:rPr>
              <w:t xml:space="preserve">€ 7,750 </w:t>
            </w:r>
          </w:p>
        </w:tc>
      </w:tr>
      <w:tr w:rsidR="00E91833" w:rsidRPr="00E91833" w14:paraId="5972227A" w14:textId="77777777" w:rsidTr="00C848E4">
        <w:trPr>
          <w:trHeight w:hRule="exact" w:val="582"/>
        </w:trPr>
        <w:tc>
          <w:tcPr>
            <w:cnfStyle w:val="001000000000" w:firstRow="0" w:lastRow="0" w:firstColumn="1" w:lastColumn="0" w:oddVBand="0" w:evenVBand="0" w:oddHBand="0" w:evenHBand="0" w:firstRowFirstColumn="0" w:firstRowLastColumn="0" w:lastRowFirstColumn="0" w:lastRowLastColumn="0"/>
            <w:tcW w:w="3114" w:type="dxa"/>
          </w:tcPr>
          <w:p w14:paraId="4B20AD14" w14:textId="77777777" w:rsidR="00E91833" w:rsidRPr="00AB3487" w:rsidRDefault="00E91833" w:rsidP="00C10A00">
            <w:pPr>
              <w:rPr>
                <w:rFonts w:ascii="Arial" w:hAnsi="Arial" w:cs="Arial"/>
                <w:b w:val="0"/>
                <w:bCs w:val="0"/>
                <w:color w:val="000000" w:themeColor="text1"/>
                <w:sz w:val="22"/>
                <w:szCs w:val="16"/>
              </w:rPr>
            </w:pPr>
            <w:r>
              <w:rPr>
                <w:rFonts w:ascii="Arial" w:hAnsi="Arial"/>
                <w:b w:val="0"/>
                <w:color w:val="000000" w:themeColor="text1"/>
                <w:sz w:val="22"/>
              </w:rPr>
              <w:t xml:space="preserve">Products made by own company </w:t>
            </w:r>
          </w:p>
        </w:tc>
        <w:tc>
          <w:tcPr>
            <w:tcW w:w="2126" w:type="dxa"/>
          </w:tcPr>
          <w:p w14:paraId="3F9CB999" w14:textId="77777777" w:rsidR="00E91833" w:rsidRPr="00AB3487" w:rsidRDefault="00E91833" w:rsidP="00C10A00">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16"/>
              </w:rPr>
            </w:pPr>
            <w:r>
              <w:rPr>
                <w:rFonts w:ascii="Arial" w:hAnsi="Arial"/>
                <w:color w:val="000000" w:themeColor="text1"/>
                <w:sz w:val="22"/>
              </w:rPr>
              <w:t xml:space="preserve">Specific exemption </w:t>
            </w:r>
          </w:p>
        </w:tc>
        <w:tc>
          <w:tcPr>
            <w:tcW w:w="1985" w:type="dxa"/>
          </w:tcPr>
          <w:p w14:paraId="7A88FA8B" w14:textId="77777777" w:rsidR="00E91833" w:rsidRPr="00AB3487" w:rsidRDefault="00E91833" w:rsidP="00C10A0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16"/>
              </w:rPr>
            </w:pPr>
            <w:r>
              <w:rPr>
                <w:rFonts w:ascii="Arial" w:hAnsi="Arial"/>
                <w:color w:val="000000" w:themeColor="text1"/>
                <w:sz w:val="22"/>
              </w:rPr>
              <w:t xml:space="preserve">€ 500 / 20% </w:t>
            </w:r>
          </w:p>
        </w:tc>
        <w:tc>
          <w:tcPr>
            <w:tcW w:w="2268" w:type="dxa"/>
          </w:tcPr>
          <w:p w14:paraId="7400B023" w14:textId="77777777" w:rsidR="00E91833" w:rsidRPr="00AB3487" w:rsidRDefault="00E91833" w:rsidP="00C10A0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16"/>
              </w:rPr>
            </w:pPr>
            <w:r>
              <w:rPr>
                <w:rFonts w:ascii="Arial" w:hAnsi="Arial"/>
                <w:color w:val="000000" w:themeColor="text1"/>
                <w:sz w:val="22"/>
              </w:rPr>
              <w:t>€ 500 / 20%</w:t>
            </w:r>
          </w:p>
        </w:tc>
      </w:tr>
      <w:tr w:rsidR="00E91833" w:rsidRPr="00E91833" w14:paraId="29944D56" w14:textId="77777777" w:rsidTr="00F814A4">
        <w:trPr>
          <w:cnfStyle w:val="000000100000" w:firstRow="0" w:lastRow="0" w:firstColumn="0" w:lastColumn="0" w:oddVBand="0" w:evenVBand="0" w:oddHBand="1" w:evenHBand="0" w:firstRowFirstColumn="0" w:firstRowLastColumn="0" w:lastRowFirstColumn="0" w:lastRowLastColumn="0"/>
          <w:trHeight w:hRule="exact" w:val="559"/>
        </w:trPr>
        <w:tc>
          <w:tcPr>
            <w:cnfStyle w:val="001000000000" w:firstRow="0" w:lastRow="0" w:firstColumn="1" w:lastColumn="0" w:oddVBand="0" w:evenVBand="0" w:oddHBand="0" w:evenHBand="0" w:firstRowFirstColumn="0" w:firstRowLastColumn="0" w:lastRowFirstColumn="0" w:lastRowLastColumn="0"/>
            <w:tcW w:w="3114" w:type="dxa"/>
          </w:tcPr>
          <w:p w14:paraId="0AA19497" w14:textId="77777777" w:rsidR="00E91833" w:rsidRPr="00AB3487" w:rsidRDefault="00E91833" w:rsidP="00C10A00">
            <w:pPr>
              <w:rPr>
                <w:rFonts w:ascii="Arial" w:hAnsi="Arial" w:cs="Arial"/>
                <w:b w:val="0"/>
                <w:bCs w:val="0"/>
                <w:color w:val="000000" w:themeColor="text1"/>
                <w:sz w:val="22"/>
                <w:szCs w:val="16"/>
              </w:rPr>
            </w:pPr>
            <w:r>
              <w:rPr>
                <w:rFonts w:ascii="Arial" w:hAnsi="Arial"/>
                <w:b w:val="0"/>
                <w:color w:val="000000" w:themeColor="text1"/>
                <w:sz w:val="22"/>
              </w:rPr>
              <w:t>Value of meals</w:t>
            </w:r>
          </w:p>
        </w:tc>
        <w:tc>
          <w:tcPr>
            <w:tcW w:w="2126" w:type="dxa"/>
          </w:tcPr>
          <w:p w14:paraId="73CE1867" w14:textId="77777777" w:rsidR="00E91833" w:rsidRPr="00AB3487" w:rsidRDefault="00E91833" w:rsidP="00C10A00">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16"/>
              </w:rPr>
            </w:pPr>
            <w:r>
              <w:rPr>
                <w:rFonts w:ascii="Arial" w:hAnsi="Arial"/>
                <w:color w:val="000000" w:themeColor="text1"/>
                <w:sz w:val="22"/>
              </w:rPr>
              <w:t>Addition to taxable income per meal</w:t>
            </w:r>
          </w:p>
        </w:tc>
        <w:tc>
          <w:tcPr>
            <w:tcW w:w="1985" w:type="dxa"/>
          </w:tcPr>
          <w:p w14:paraId="448B266C" w14:textId="28D7527B" w:rsidR="00E91833" w:rsidRPr="00AB3487" w:rsidRDefault="00E91833" w:rsidP="00C10A0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16"/>
              </w:rPr>
            </w:pPr>
            <w:r>
              <w:rPr>
                <w:rFonts w:ascii="Arial" w:hAnsi="Arial"/>
                <w:color w:val="000000" w:themeColor="text1"/>
                <w:sz w:val="22"/>
              </w:rPr>
              <w:t>€ 3.95</w:t>
            </w:r>
          </w:p>
        </w:tc>
        <w:tc>
          <w:tcPr>
            <w:tcW w:w="2268" w:type="dxa"/>
          </w:tcPr>
          <w:p w14:paraId="294DD294" w14:textId="6783FED0" w:rsidR="00E91833" w:rsidRPr="00AB3487" w:rsidRDefault="00E91833" w:rsidP="00C10A0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16"/>
              </w:rPr>
            </w:pPr>
            <w:r>
              <w:rPr>
                <w:rFonts w:ascii="Arial" w:hAnsi="Arial"/>
                <w:color w:val="000000" w:themeColor="text1"/>
                <w:sz w:val="22"/>
              </w:rPr>
              <w:t xml:space="preserve">€ 4.05 </w:t>
            </w:r>
          </w:p>
        </w:tc>
      </w:tr>
      <w:tr w:rsidR="00E91833" w:rsidRPr="00E91833" w14:paraId="7B2E6FD5" w14:textId="77777777" w:rsidTr="00F814A4">
        <w:trPr>
          <w:trHeight w:hRule="exact" w:val="565"/>
        </w:trPr>
        <w:tc>
          <w:tcPr>
            <w:cnfStyle w:val="001000000000" w:firstRow="0" w:lastRow="0" w:firstColumn="1" w:lastColumn="0" w:oddVBand="0" w:evenVBand="0" w:oddHBand="0" w:evenHBand="0" w:firstRowFirstColumn="0" w:firstRowLastColumn="0" w:lastRowFirstColumn="0" w:lastRowLastColumn="0"/>
            <w:tcW w:w="3114" w:type="dxa"/>
          </w:tcPr>
          <w:p w14:paraId="3967A05A" w14:textId="77777777" w:rsidR="00E91833" w:rsidRPr="00AB3487" w:rsidRDefault="00E91833" w:rsidP="00C10A00">
            <w:pPr>
              <w:rPr>
                <w:rFonts w:ascii="Arial" w:hAnsi="Arial" w:cs="Arial"/>
                <w:b w:val="0"/>
                <w:bCs w:val="0"/>
                <w:color w:val="000000" w:themeColor="text1"/>
                <w:sz w:val="22"/>
                <w:szCs w:val="16"/>
              </w:rPr>
            </w:pPr>
            <w:r>
              <w:rPr>
                <w:rFonts w:ascii="Arial" w:hAnsi="Arial"/>
                <w:b w:val="0"/>
                <w:color w:val="000000" w:themeColor="text1"/>
                <w:sz w:val="22"/>
              </w:rPr>
              <w:t>Value of accommodation/lodging</w:t>
            </w:r>
          </w:p>
        </w:tc>
        <w:tc>
          <w:tcPr>
            <w:tcW w:w="2126" w:type="dxa"/>
          </w:tcPr>
          <w:p w14:paraId="577F7ACE" w14:textId="77777777" w:rsidR="00E91833" w:rsidRPr="00AB3487" w:rsidRDefault="00E91833" w:rsidP="00C10A00">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16"/>
              </w:rPr>
            </w:pPr>
            <w:r>
              <w:rPr>
                <w:rFonts w:ascii="Arial" w:hAnsi="Arial"/>
                <w:color w:val="000000" w:themeColor="text1"/>
                <w:sz w:val="22"/>
              </w:rPr>
              <w:t>Addition to taxable income per day</w:t>
            </w:r>
          </w:p>
        </w:tc>
        <w:tc>
          <w:tcPr>
            <w:tcW w:w="1985" w:type="dxa"/>
          </w:tcPr>
          <w:p w14:paraId="50971012" w14:textId="4DD3725D" w:rsidR="00E91833" w:rsidRPr="00AB3487" w:rsidRDefault="00E91833" w:rsidP="00C10A0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16"/>
              </w:rPr>
            </w:pPr>
            <w:r>
              <w:rPr>
                <w:rFonts w:ascii="Arial" w:hAnsi="Arial"/>
                <w:color w:val="000000" w:themeColor="text1"/>
                <w:sz w:val="22"/>
              </w:rPr>
              <w:t>€ 6.80</w:t>
            </w:r>
          </w:p>
        </w:tc>
        <w:tc>
          <w:tcPr>
            <w:tcW w:w="2268" w:type="dxa"/>
          </w:tcPr>
          <w:p w14:paraId="4E505735" w14:textId="43D73CD7" w:rsidR="00E91833" w:rsidRPr="00AB3487" w:rsidRDefault="00E91833" w:rsidP="00C10A0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16"/>
              </w:rPr>
            </w:pPr>
            <w:r>
              <w:rPr>
                <w:rFonts w:ascii="Arial" w:hAnsi="Arial"/>
                <w:color w:val="000000" w:themeColor="text1"/>
                <w:sz w:val="22"/>
              </w:rPr>
              <w:t xml:space="preserve">€ 7.00 </w:t>
            </w:r>
          </w:p>
        </w:tc>
      </w:tr>
      <w:tr w:rsidR="00E91833" w:rsidRPr="00E91833" w14:paraId="22161258" w14:textId="77777777" w:rsidTr="00F814A4">
        <w:trPr>
          <w:cnfStyle w:val="000000100000" w:firstRow="0" w:lastRow="0" w:firstColumn="0" w:lastColumn="0" w:oddVBand="0" w:evenVBand="0" w:oddHBand="1" w:evenHBand="0" w:firstRowFirstColumn="0" w:firstRowLastColumn="0" w:lastRowFirstColumn="0" w:lastRowLastColumn="0"/>
          <w:trHeight w:hRule="exact" w:val="1142"/>
        </w:trPr>
        <w:tc>
          <w:tcPr>
            <w:cnfStyle w:val="001000000000" w:firstRow="0" w:lastRow="0" w:firstColumn="1" w:lastColumn="0" w:oddVBand="0" w:evenVBand="0" w:oddHBand="0" w:evenHBand="0" w:firstRowFirstColumn="0" w:firstRowLastColumn="0" w:lastRowFirstColumn="0" w:lastRowLastColumn="0"/>
            <w:tcW w:w="5240" w:type="dxa"/>
            <w:gridSpan w:val="2"/>
          </w:tcPr>
          <w:p w14:paraId="43771A6A" w14:textId="173C8207" w:rsidR="00E91833" w:rsidRPr="00AB3487" w:rsidRDefault="00E91833" w:rsidP="00C10A00">
            <w:pPr>
              <w:rPr>
                <w:rFonts w:ascii="Arial" w:hAnsi="Arial" w:cs="Arial"/>
                <w:b w:val="0"/>
                <w:bCs w:val="0"/>
                <w:color w:val="000000" w:themeColor="text1"/>
                <w:sz w:val="22"/>
                <w:szCs w:val="16"/>
              </w:rPr>
            </w:pPr>
            <w:r>
              <w:rPr>
                <w:rFonts w:ascii="Arial" w:hAnsi="Arial"/>
                <w:b w:val="0"/>
                <w:color w:val="000000" w:themeColor="text1"/>
                <w:sz w:val="22"/>
              </w:rPr>
              <w:t xml:space="preserve">Fixed budget: percentage of total assessable wage bill for payroll tax/national insurance contributions </w:t>
            </w:r>
          </w:p>
          <w:p w14:paraId="3F852794" w14:textId="16B1F0FF" w:rsidR="00E91833" w:rsidRPr="00AB3487" w:rsidRDefault="00E91833" w:rsidP="002F233C">
            <w:pPr>
              <w:pStyle w:val="Lijstalinea"/>
              <w:numPr>
                <w:ilvl w:val="0"/>
                <w:numId w:val="11"/>
              </w:numPr>
              <w:spacing w:line="240" w:lineRule="auto"/>
              <w:ind w:left="0"/>
              <w:rPr>
                <w:rFonts w:ascii="Arial" w:eastAsiaTheme="minorHAnsi" w:hAnsi="Arial" w:cs="Arial"/>
                <w:b w:val="0"/>
                <w:bCs w:val="0"/>
                <w:color w:val="000000" w:themeColor="text1"/>
                <w:szCs w:val="16"/>
              </w:rPr>
            </w:pPr>
            <w:r>
              <w:rPr>
                <w:rFonts w:ascii="Arial" w:hAnsi="Arial"/>
                <w:b w:val="0"/>
                <w:color w:val="000000" w:themeColor="text1"/>
              </w:rPr>
              <w:t xml:space="preserve">up to an annual wage bill of € 400,000 </w:t>
            </w:r>
          </w:p>
          <w:p w14:paraId="724C3380" w14:textId="25927CDA" w:rsidR="00E91833" w:rsidRPr="00AB3487" w:rsidRDefault="00E91833" w:rsidP="002F233C">
            <w:pPr>
              <w:pStyle w:val="Lijstalinea"/>
              <w:numPr>
                <w:ilvl w:val="0"/>
                <w:numId w:val="11"/>
              </w:numPr>
              <w:spacing w:after="30" w:line="240" w:lineRule="auto"/>
              <w:ind w:left="0"/>
              <w:rPr>
                <w:rFonts w:ascii="Arial" w:eastAsiaTheme="minorHAnsi" w:hAnsi="Arial" w:cs="Arial"/>
                <w:b w:val="0"/>
                <w:bCs w:val="0"/>
                <w:color w:val="000000" w:themeColor="text1"/>
                <w:szCs w:val="16"/>
              </w:rPr>
            </w:pPr>
            <w:r>
              <w:rPr>
                <w:rFonts w:ascii="Arial" w:hAnsi="Arial"/>
                <w:b w:val="0"/>
                <w:color w:val="000000" w:themeColor="text1"/>
              </w:rPr>
              <w:t xml:space="preserve">on the excess amount </w:t>
            </w:r>
          </w:p>
        </w:tc>
        <w:tc>
          <w:tcPr>
            <w:tcW w:w="1985" w:type="dxa"/>
          </w:tcPr>
          <w:p w14:paraId="7060B46D" w14:textId="77777777" w:rsidR="00E91833" w:rsidRPr="00AB3487" w:rsidRDefault="00E91833" w:rsidP="00C10A0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16"/>
              </w:rPr>
            </w:pPr>
          </w:p>
          <w:p w14:paraId="48F6AE69" w14:textId="77777777" w:rsidR="00E91833" w:rsidRPr="00AB3487" w:rsidRDefault="00E91833" w:rsidP="00C10A0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16"/>
              </w:rPr>
            </w:pPr>
          </w:p>
          <w:p w14:paraId="3A8DD2E1" w14:textId="3345E2E4" w:rsidR="00E91833" w:rsidRPr="00AB3487" w:rsidRDefault="00B7126A" w:rsidP="00C10A0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16"/>
              </w:rPr>
            </w:pPr>
            <w:r>
              <w:rPr>
                <w:rFonts w:ascii="Arial" w:hAnsi="Arial"/>
                <w:color w:val="000000" w:themeColor="text1"/>
                <w:sz w:val="22"/>
              </w:rPr>
              <w:t>2.00%</w:t>
            </w:r>
          </w:p>
          <w:p w14:paraId="6DDFC851" w14:textId="77777777" w:rsidR="00E91833" w:rsidRPr="00AB3487" w:rsidRDefault="00E91833" w:rsidP="00C10A0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16"/>
              </w:rPr>
            </w:pPr>
            <w:r>
              <w:rPr>
                <w:rFonts w:ascii="Arial" w:hAnsi="Arial"/>
                <w:color w:val="000000" w:themeColor="text1"/>
                <w:sz w:val="22"/>
              </w:rPr>
              <w:t>1.18%</w:t>
            </w:r>
          </w:p>
        </w:tc>
        <w:tc>
          <w:tcPr>
            <w:tcW w:w="2268" w:type="dxa"/>
          </w:tcPr>
          <w:p w14:paraId="3D14CFAD" w14:textId="77777777" w:rsidR="00E91833" w:rsidRPr="00AB3487" w:rsidRDefault="00E91833" w:rsidP="00C10A0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16"/>
              </w:rPr>
            </w:pPr>
          </w:p>
          <w:p w14:paraId="626FEA40" w14:textId="77777777" w:rsidR="00E91833" w:rsidRPr="00AB3487" w:rsidRDefault="00E91833" w:rsidP="00C10A0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16"/>
              </w:rPr>
            </w:pPr>
          </w:p>
          <w:p w14:paraId="7A7A813F" w14:textId="3B1B9B84" w:rsidR="00E91833" w:rsidRPr="00AB3487" w:rsidRDefault="00B82F30" w:rsidP="00C10A0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16"/>
              </w:rPr>
            </w:pPr>
            <w:r>
              <w:rPr>
                <w:rFonts w:ascii="Arial" w:hAnsi="Arial"/>
                <w:color w:val="000000" w:themeColor="text1"/>
                <w:sz w:val="22"/>
              </w:rPr>
              <w:t>2.00%</w:t>
            </w:r>
          </w:p>
          <w:p w14:paraId="48BD5296" w14:textId="77777777" w:rsidR="00E91833" w:rsidRPr="00AB3487" w:rsidRDefault="00E91833" w:rsidP="00C10A0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16"/>
              </w:rPr>
            </w:pPr>
            <w:r>
              <w:rPr>
                <w:rFonts w:ascii="Arial" w:hAnsi="Arial"/>
                <w:color w:val="000000" w:themeColor="text1"/>
                <w:sz w:val="22"/>
              </w:rPr>
              <w:t>1.18%</w:t>
            </w:r>
          </w:p>
        </w:tc>
      </w:tr>
      <w:tr w:rsidR="00E91833" w:rsidRPr="00E91833" w14:paraId="56D0D1AE" w14:textId="77777777" w:rsidTr="00C848E4">
        <w:trPr>
          <w:trHeight w:hRule="exact" w:val="845"/>
        </w:trPr>
        <w:tc>
          <w:tcPr>
            <w:cnfStyle w:val="001000000000" w:firstRow="0" w:lastRow="0" w:firstColumn="1" w:lastColumn="0" w:oddVBand="0" w:evenVBand="0" w:oddHBand="0" w:evenHBand="0" w:firstRowFirstColumn="0" w:firstRowLastColumn="0" w:lastRowFirstColumn="0" w:lastRowLastColumn="0"/>
            <w:tcW w:w="5240" w:type="dxa"/>
            <w:gridSpan w:val="2"/>
          </w:tcPr>
          <w:p w14:paraId="43CA893E" w14:textId="77777777" w:rsidR="00E91833" w:rsidRPr="00AB3487" w:rsidRDefault="00E91833" w:rsidP="00C10A00">
            <w:pPr>
              <w:rPr>
                <w:rFonts w:ascii="Arial" w:hAnsi="Arial" w:cs="Arial"/>
                <w:b w:val="0"/>
                <w:bCs w:val="0"/>
                <w:color w:val="000000" w:themeColor="text1"/>
                <w:sz w:val="22"/>
                <w:szCs w:val="16"/>
              </w:rPr>
            </w:pPr>
            <w:r>
              <w:rPr>
                <w:rFonts w:ascii="Arial" w:hAnsi="Arial"/>
                <w:b w:val="0"/>
                <w:color w:val="000000" w:themeColor="text1"/>
                <w:sz w:val="22"/>
              </w:rPr>
              <w:t>Addition to taxable income under medical expenses scheme</w:t>
            </w:r>
          </w:p>
          <w:p w14:paraId="4BFFF01B" w14:textId="77777777" w:rsidR="00E91833" w:rsidRPr="00AB3487" w:rsidRDefault="00E91833" w:rsidP="00C10A00">
            <w:pPr>
              <w:rPr>
                <w:rFonts w:ascii="Arial" w:hAnsi="Arial" w:cs="Arial"/>
                <w:b w:val="0"/>
                <w:bCs w:val="0"/>
                <w:color w:val="000000" w:themeColor="text1"/>
                <w:sz w:val="22"/>
                <w:szCs w:val="16"/>
              </w:rPr>
            </w:pPr>
            <w:r>
              <w:rPr>
                <w:rFonts w:ascii="Arial" w:hAnsi="Arial"/>
                <w:b w:val="0"/>
                <w:color w:val="000000" w:themeColor="text1"/>
                <w:sz w:val="22"/>
              </w:rPr>
              <w:t>Maximum value of tax-free benefit in kind</w:t>
            </w:r>
          </w:p>
        </w:tc>
        <w:tc>
          <w:tcPr>
            <w:tcW w:w="1985" w:type="dxa"/>
          </w:tcPr>
          <w:p w14:paraId="34AB1AD2" w14:textId="77777777" w:rsidR="00E91833" w:rsidRPr="00AB3487" w:rsidRDefault="00E91833" w:rsidP="00C10A0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16"/>
              </w:rPr>
            </w:pPr>
          </w:p>
          <w:p w14:paraId="115D2C86" w14:textId="77777777" w:rsidR="00C848E4" w:rsidRDefault="00C848E4" w:rsidP="00C10A00">
            <w:pPr>
              <w:jc w:val="right"/>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22"/>
              </w:rPr>
            </w:pPr>
          </w:p>
          <w:p w14:paraId="2330AA0E" w14:textId="731BECED" w:rsidR="00E91833" w:rsidRPr="00AB3487" w:rsidRDefault="00E91833" w:rsidP="00C10A0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16"/>
              </w:rPr>
            </w:pPr>
            <w:r>
              <w:rPr>
                <w:rFonts w:ascii="Arial" w:hAnsi="Arial"/>
                <w:color w:val="000000" w:themeColor="text1"/>
                <w:sz w:val="22"/>
              </w:rPr>
              <w:t>€ 27</w:t>
            </w:r>
          </w:p>
        </w:tc>
        <w:tc>
          <w:tcPr>
            <w:tcW w:w="2268" w:type="dxa"/>
          </w:tcPr>
          <w:p w14:paraId="1CF8A4AB" w14:textId="77777777" w:rsidR="00E91833" w:rsidRPr="00AB3487" w:rsidRDefault="00E91833" w:rsidP="00C10A0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16"/>
              </w:rPr>
            </w:pPr>
          </w:p>
          <w:p w14:paraId="125D8F12" w14:textId="77777777" w:rsidR="00C848E4" w:rsidRDefault="00C848E4" w:rsidP="00C10A00">
            <w:pPr>
              <w:jc w:val="right"/>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22"/>
              </w:rPr>
            </w:pPr>
          </w:p>
          <w:p w14:paraId="09D1F5D6" w14:textId="3E81BDDD" w:rsidR="00E91833" w:rsidRPr="00AB3487" w:rsidRDefault="00E91833" w:rsidP="00C10A0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16"/>
              </w:rPr>
            </w:pPr>
            <w:r>
              <w:rPr>
                <w:rFonts w:ascii="Arial" w:hAnsi="Arial"/>
                <w:color w:val="000000" w:themeColor="text1"/>
                <w:sz w:val="22"/>
              </w:rPr>
              <w:t>€ 27</w:t>
            </w:r>
          </w:p>
        </w:tc>
      </w:tr>
      <w:tr w:rsidR="00E91833" w:rsidRPr="00E91833" w14:paraId="19A761E0" w14:textId="77777777" w:rsidTr="00F814A4">
        <w:trPr>
          <w:cnfStyle w:val="000000100000" w:firstRow="0" w:lastRow="0" w:firstColumn="0" w:lastColumn="0" w:oddVBand="0" w:evenVBand="0" w:oddHBand="1" w:evenHBand="0" w:firstRowFirstColumn="0" w:firstRowLastColumn="0" w:lastRowFirstColumn="0" w:lastRowLastColumn="0"/>
          <w:trHeight w:hRule="exact" w:val="585"/>
        </w:trPr>
        <w:tc>
          <w:tcPr>
            <w:cnfStyle w:val="001000000000" w:firstRow="0" w:lastRow="0" w:firstColumn="1" w:lastColumn="0" w:oddVBand="0" w:evenVBand="0" w:oddHBand="0" w:evenHBand="0" w:firstRowFirstColumn="0" w:firstRowLastColumn="0" w:lastRowFirstColumn="0" w:lastRowLastColumn="0"/>
            <w:tcW w:w="5240" w:type="dxa"/>
            <w:gridSpan w:val="2"/>
          </w:tcPr>
          <w:p w14:paraId="2408F03B" w14:textId="77777777" w:rsidR="00E91833" w:rsidRPr="00AB3487" w:rsidRDefault="00E91833" w:rsidP="00C10A00">
            <w:pPr>
              <w:rPr>
                <w:rFonts w:ascii="Arial" w:hAnsi="Arial" w:cs="Arial"/>
                <w:b w:val="0"/>
                <w:bCs w:val="0"/>
                <w:color w:val="000000" w:themeColor="text1"/>
                <w:sz w:val="22"/>
                <w:szCs w:val="16"/>
              </w:rPr>
            </w:pPr>
            <w:r>
              <w:rPr>
                <w:rFonts w:ascii="Arial" w:hAnsi="Arial"/>
                <w:b w:val="0"/>
                <w:color w:val="000000" w:themeColor="text1"/>
                <w:sz w:val="22"/>
              </w:rPr>
              <w:t>Artist scheme: refreshments during working hours, untaxed allowance per day</w:t>
            </w:r>
          </w:p>
        </w:tc>
        <w:tc>
          <w:tcPr>
            <w:tcW w:w="1985" w:type="dxa"/>
          </w:tcPr>
          <w:p w14:paraId="05F4D01E" w14:textId="076D0C35" w:rsidR="00E91833" w:rsidRPr="00AB3487" w:rsidRDefault="00B82F30" w:rsidP="00C10A0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16"/>
              </w:rPr>
            </w:pPr>
            <w:r>
              <w:rPr>
                <w:rFonts w:ascii="Arial" w:hAnsi="Arial"/>
                <w:color w:val="000000" w:themeColor="text1"/>
                <w:sz w:val="22"/>
              </w:rPr>
              <w:t>€ 0.55</w:t>
            </w:r>
          </w:p>
        </w:tc>
        <w:tc>
          <w:tcPr>
            <w:tcW w:w="2268" w:type="dxa"/>
          </w:tcPr>
          <w:p w14:paraId="1BE0C9B8" w14:textId="77777777" w:rsidR="00E91833" w:rsidRPr="00AB3487" w:rsidRDefault="00E91833" w:rsidP="00C10A0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16"/>
              </w:rPr>
            </w:pPr>
            <w:r>
              <w:rPr>
                <w:rFonts w:ascii="Arial" w:hAnsi="Arial"/>
                <w:color w:val="000000" w:themeColor="text1"/>
                <w:sz w:val="22"/>
              </w:rPr>
              <w:t>€ 0.55</w:t>
            </w:r>
          </w:p>
        </w:tc>
      </w:tr>
    </w:tbl>
    <w:p w14:paraId="49F2228B" w14:textId="77777777" w:rsidR="00E91833" w:rsidRDefault="00E91833" w:rsidP="00306AA3">
      <w:pPr>
        <w:rPr>
          <w:rFonts w:ascii="Arial" w:hAnsi="Arial" w:cs="Arial"/>
          <w:sz w:val="22"/>
          <w:szCs w:val="22"/>
        </w:rPr>
      </w:pPr>
    </w:p>
    <w:p w14:paraId="5203EA5F" w14:textId="168660C7" w:rsidR="00F814A4" w:rsidRDefault="00F814A4">
      <w:pPr>
        <w:rPr>
          <w:rFonts w:ascii="Arial" w:hAnsi="Arial" w:cs="Arial"/>
          <w:sz w:val="22"/>
          <w:szCs w:val="22"/>
        </w:rPr>
      </w:pPr>
      <w:r>
        <w:br w:type="page"/>
      </w:r>
    </w:p>
    <w:p w14:paraId="3E01EF8E" w14:textId="3F401117" w:rsidR="00F4314C" w:rsidRDefault="00F814A4" w:rsidP="00F4314C">
      <w:pPr>
        <w:pStyle w:val="SRAKopje"/>
        <w:ind w:left="2124" w:hanging="2124"/>
        <w:rPr>
          <w:rFonts w:ascii="Arial" w:hAnsi="Arial" w:cs="Arial"/>
        </w:rPr>
      </w:pPr>
      <w:bookmarkStart w:id="143" w:name="_Toc155866677"/>
      <w:r>
        <w:rPr>
          <w:rFonts w:ascii="Arial" w:hAnsi="Arial"/>
        </w:rPr>
        <w:lastRenderedPageBreak/>
        <w:t>Table 13</w:t>
      </w:r>
      <w:r>
        <w:rPr>
          <w:rFonts w:ascii="Arial" w:hAnsi="Arial"/>
        </w:rPr>
        <w:tab/>
        <w:t>Income thresholds for expat scheme</w:t>
      </w:r>
      <w:bookmarkEnd w:id="143"/>
    </w:p>
    <w:p w14:paraId="20E90915" w14:textId="77777777" w:rsidR="00F4314C" w:rsidRDefault="00F4314C" w:rsidP="00F4314C">
      <w:pPr>
        <w:rPr>
          <w:rFonts w:ascii="Arial" w:hAnsi="Arial" w:cs="Arial"/>
          <w:sz w:val="20"/>
          <w:szCs w:val="20"/>
        </w:rPr>
      </w:pPr>
    </w:p>
    <w:tbl>
      <w:tblPr>
        <w:tblStyle w:val="Rastertabel4-Accent3"/>
        <w:tblpPr w:leftFromText="141" w:rightFromText="141" w:vertAnchor="page" w:horzAnchor="margin" w:tblpY="3031"/>
        <w:tblW w:w="9491" w:type="dxa"/>
        <w:tblLook w:val="04A0" w:firstRow="1" w:lastRow="0" w:firstColumn="1" w:lastColumn="0" w:noHBand="0" w:noVBand="1"/>
      </w:tblPr>
      <w:tblGrid>
        <w:gridCol w:w="5240"/>
        <w:gridCol w:w="1985"/>
        <w:gridCol w:w="2266"/>
      </w:tblGrid>
      <w:tr w:rsidR="00C256BC" w:rsidRPr="00AC00D4" w14:paraId="038CA179" w14:textId="77777777" w:rsidTr="003B2C54">
        <w:trPr>
          <w:cnfStyle w:val="100000000000" w:firstRow="1" w:lastRow="0" w:firstColumn="0" w:lastColumn="0" w:oddVBand="0" w:evenVBand="0" w:oddHBand="0"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5240" w:type="dxa"/>
          </w:tcPr>
          <w:p w14:paraId="3FE99461" w14:textId="77777777" w:rsidR="00C256BC" w:rsidRPr="00C10A00" w:rsidRDefault="00C256BC" w:rsidP="003B2C54">
            <w:pPr>
              <w:spacing w:before="66"/>
              <w:ind w:right="-18"/>
              <w:rPr>
                <w:rFonts w:ascii="Arial" w:hAnsi="Arial" w:cs="Arial"/>
                <w:bCs w:val="0"/>
                <w:color w:val="010302"/>
                <w:sz w:val="22"/>
                <w:szCs w:val="22"/>
              </w:rPr>
            </w:pPr>
            <w:r>
              <w:rPr>
                <w:rFonts w:ascii="Arial" w:hAnsi="Arial"/>
                <w:color w:val="010302"/>
                <w:sz w:val="22"/>
              </w:rPr>
              <w:t>Payroll tax income threshold for 30% scheme</w:t>
            </w:r>
          </w:p>
        </w:tc>
        <w:tc>
          <w:tcPr>
            <w:tcW w:w="1985" w:type="dxa"/>
          </w:tcPr>
          <w:p w14:paraId="7EEE1145" w14:textId="77777777" w:rsidR="00C256BC" w:rsidRPr="00C10A00" w:rsidRDefault="00C256BC" w:rsidP="003B2C54">
            <w:pPr>
              <w:spacing w:before="66"/>
              <w:ind w:left="65" w:right="-18"/>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10302"/>
                <w:sz w:val="22"/>
                <w:szCs w:val="22"/>
              </w:rPr>
            </w:pPr>
            <w:r>
              <w:rPr>
                <w:rFonts w:ascii="Arial" w:hAnsi="Arial"/>
                <w:color w:val="010302"/>
                <w:sz w:val="22"/>
              </w:rPr>
              <w:t>2025</w:t>
            </w:r>
          </w:p>
        </w:tc>
        <w:tc>
          <w:tcPr>
            <w:tcW w:w="2266" w:type="dxa"/>
          </w:tcPr>
          <w:p w14:paraId="0E198193" w14:textId="77777777" w:rsidR="00C256BC" w:rsidRPr="00C10A00" w:rsidRDefault="00C256BC" w:rsidP="003B2C54">
            <w:pPr>
              <w:spacing w:before="66"/>
              <w:ind w:left="65" w:right="-18"/>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10302"/>
                <w:sz w:val="22"/>
                <w:szCs w:val="22"/>
              </w:rPr>
            </w:pPr>
            <w:r>
              <w:rPr>
                <w:rFonts w:ascii="Arial" w:hAnsi="Arial"/>
                <w:color w:val="010302"/>
                <w:sz w:val="22"/>
              </w:rPr>
              <w:t>2026</w:t>
            </w:r>
          </w:p>
        </w:tc>
      </w:tr>
      <w:tr w:rsidR="00C256BC" w:rsidRPr="00AC00D4" w14:paraId="6C43839E" w14:textId="77777777" w:rsidTr="003B2C54">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5240" w:type="dxa"/>
          </w:tcPr>
          <w:p w14:paraId="451B53DB" w14:textId="77777777" w:rsidR="00C256BC" w:rsidRPr="00C10A00" w:rsidRDefault="00C256BC" w:rsidP="003B2C54">
            <w:pPr>
              <w:rPr>
                <w:rFonts w:ascii="Arial" w:hAnsi="Arial" w:cs="Arial"/>
                <w:b w:val="0"/>
                <w:bCs w:val="0"/>
                <w:color w:val="000000" w:themeColor="text1"/>
                <w:sz w:val="22"/>
                <w:szCs w:val="16"/>
              </w:rPr>
            </w:pPr>
            <w:r>
              <w:rPr>
                <w:rFonts w:ascii="Arial" w:hAnsi="Arial"/>
                <w:b w:val="0"/>
                <w:color w:val="000000" w:themeColor="text1"/>
                <w:sz w:val="22"/>
              </w:rPr>
              <w:t>Salary of employee with specific expertise</w:t>
            </w:r>
          </w:p>
        </w:tc>
        <w:tc>
          <w:tcPr>
            <w:tcW w:w="1985" w:type="dxa"/>
          </w:tcPr>
          <w:p w14:paraId="446CDB8A" w14:textId="77777777" w:rsidR="00C256BC" w:rsidRPr="00C10A00" w:rsidRDefault="00C256BC" w:rsidP="003B2C5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2"/>
                <w:szCs w:val="16"/>
              </w:rPr>
            </w:pPr>
            <w:r>
              <w:rPr>
                <w:rFonts w:ascii="Arial" w:hAnsi="Arial"/>
                <w:color w:val="000000" w:themeColor="text1"/>
                <w:sz w:val="22"/>
              </w:rPr>
              <w:t>€ 46,660</w:t>
            </w:r>
          </w:p>
        </w:tc>
        <w:tc>
          <w:tcPr>
            <w:tcW w:w="2266" w:type="dxa"/>
            <w:shd w:val="clear" w:color="auto" w:fill="auto"/>
          </w:tcPr>
          <w:p w14:paraId="1F2F14F3" w14:textId="77777777" w:rsidR="00C256BC" w:rsidRPr="00C10A00" w:rsidRDefault="00C256BC" w:rsidP="003B2C54">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2"/>
                <w:szCs w:val="16"/>
              </w:rPr>
            </w:pPr>
            <w:r>
              <w:rPr>
                <w:rFonts w:ascii="Arial" w:hAnsi="Arial"/>
                <w:color w:val="000000" w:themeColor="text1"/>
                <w:sz w:val="22"/>
              </w:rPr>
              <w:t xml:space="preserve">€ 48,013 </w:t>
            </w:r>
          </w:p>
        </w:tc>
      </w:tr>
      <w:tr w:rsidR="00C256BC" w:rsidRPr="00AC00D4" w14:paraId="60D7BAC7" w14:textId="77777777" w:rsidTr="003B2C54">
        <w:trPr>
          <w:trHeight w:val="297"/>
        </w:trPr>
        <w:tc>
          <w:tcPr>
            <w:cnfStyle w:val="001000000000" w:firstRow="0" w:lastRow="0" w:firstColumn="1" w:lastColumn="0" w:oddVBand="0" w:evenVBand="0" w:oddHBand="0" w:evenHBand="0" w:firstRowFirstColumn="0" w:firstRowLastColumn="0" w:lastRowFirstColumn="0" w:lastRowLastColumn="0"/>
            <w:tcW w:w="5240" w:type="dxa"/>
          </w:tcPr>
          <w:p w14:paraId="751D4054" w14:textId="77777777" w:rsidR="00C256BC" w:rsidRPr="00C10A00" w:rsidRDefault="00C256BC" w:rsidP="003B2C54">
            <w:pPr>
              <w:rPr>
                <w:rFonts w:ascii="Arial" w:hAnsi="Arial" w:cs="Arial"/>
                <w:b w:val="0"/>
                <w:bCs w:val="0"/>
                <w:color w:val="000000" w:themeColor="text1"/>
                <w:sz w:val="22"/>
                <w:szCs w:val="16"/>
              </w:rPr>
            </w:pPr>
            <w:r>
              <w:rPr>
                <w:rFonts w:ascii="Arial" w:hAnsi="Arial"/>
                <w:b w:val="0"/>
                <w:color w:val="000000" w:themeColor="text1"/>
                <w:sz w:val="22"/>
              </w:rPr>
              <w:t>Salary of employee with specific expertise under the age of 30</w:t>
            </w:r>
          </w:p>
        </w:tc>
        <w:tc>
          <w:tcPr>
            <w:tcW w:w="1985" w:type="dxa"/>
          </w:tcPr>
          <w:p w14:paraId="7E39C123" w14:textId="77777777" w:rsidR="00C256BC" w:rsidRPr="00C10A00" w:rsidRDefault="00C256BC" w:rsidP="003B2C5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2"/>
                <w:szCs w:val="16"/>
              </w:rPr>
            </w:pPr>
            <w:r>
              <w:rPr>
                <w:rFonts w:ascii="Arial" w:hAnsi="Arial"/>
                <w:color w:val="000000" w:themeColor="text1"/>
                <w:sz w:val="22"/>
              </w:rPr>
              <w:t xml:space="preserve">€ 35,468 </w:t>
            </w:r>
          </w:p>
        </w:tc>
        <w:tc>
          <w:tcPr>
            <w:tcW w:w="2266" w:type="dxa"/>
          </w:tcPr>
          <w:p w14:paraId="08B347D7" w14:textId="77777777" w:rsidR="00C256BC" w:rsidRPr="00C10A00" w:rsidRDefault="00C256BC" w:rsidP="003B2C5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2"/>
                <w:szCs w:val="16"/>
              </w:rPr>
            </w:pPr>
            <w:r>
              <w:rPr>
                <w:rFonts w:ascii="Arial" w:hAnsi="Arial"/>
                <w:color w:val="000000" w:themeColor="text1"/>
                <w:sz w:val="22"/>
              </w:rPr>
              <w:t>€ 36,497</w:t>
            </w:r>
          </w:p>
        </w:tc>
      </w:tr>
      <w:tr w:rsidR="00C256BC" w:rsidRPr="00AC00D4" w14:paraId="03356E03" w14:textId="77777777" w:rsidTr="003B2C54">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5240" w:type="dxa"/>
          </w:tcPr>
          <w:p w14:paraId="4F253C8F" w14:textId="77777777" w:rsidR="00C256BC" w:rsidRPr="00C10A00" w:rsidRDefault="00C256BC" w:rsidP="003B2C54">
            <w:pPr>
              <w:rPr>
                <w:rFonts w:ascii="Arial" w:hAnsi="Arial" w:cs="Arial"/>
                <w:b w:val="0"/>
                <w:bCs w:val="0"/>
                <w:color w:val="000000" w:themeColor="text1"/>
                <w:sz w:val="22"/>
                <w:szCs w:val="16"/>
              </w:rPr>
            </w:pPr>
            <w:r>
              <w:rPr>
                <w:rFonts w:ascii="Arial" w:hAnsi="Arial"/>
                <w:b w:val="0"/>
                <w:color w:val="000000" w:themeColor="text1"/>
                <w:sz w:val="22"/>
              </w:rPr>
              <w:t>Capping of salary at Standardisation of Top Incomes Act (WNT) standard</w:t>
            </w:r>
          </w:p>
        </w:tc>
        <w:tc>
          <w:tcPr>
            <w:tcW w:w="1985" w:type="dxa"/>
          </w:tcPr>
          <w:p w14:paraId="629112BD" w14:textId="77777777" w:rsidR="00C256BC" w:rsidRPr="000747D7" w:rsidRDefault="00C256BC" w:rsidP="003B2C54">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16"/>
              </w:rPr>
            </w:pPr>
            <w:r>
              <w:rPr>
                <w:rFonts w:ascii="Arial" w:hAnsi="Arial"/>
                <w:color w:val="000000" w:themeColor="text1"/>
                <w:sz w:val="22"/>
              </w:rPr>
              <w:t>€ 246,000</w:t>
            </w:r>
          </w:p>
        </w:tc>
        <w:tc>
          <w:tcPr>
            <w:tcW w:w="2266" w:type="dxa"/>
          </w:tcPr>
          <w:p w14:paraId="7288BFDD" w14:textId="77777777" w:rsidR="00C256BC" w:rsidRPr="000747D7" w:rsidRDefault="00C256BC" w:rsidP="003B2C5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16"/>
              </w:rPr>
            </w:pPr>
            <w:r>
              <w:rPr>
                <w:rFonts w:ascii="Arial" w:hAnsi="Arial"/>
                <w:color w:val="000000" w:themeColor="text1"/>
                <w:sz w:val="22"/>
              </w:rPr>
              <w:t>€ 262,000</w:t>
            </w:r>
          </w:p>
        </w:tc>
      </w:tr>
    </w:tbl>
    <w:p w14:paraId="5663F3FA" w14:textId="77777777" w:rsidR="00F4314C" w:rsidRDefault="00F4314C" w:rsidP="00F4314C">
      <w:pPr>
        <w:rPr>
          <w:rFonts w:ascii="Arial" w:hAnsi="Arial" w:cs="Arial"/>
          <w:sz w:val="20"/>
          <w:szCs w:val="20"/>
        </w:rPr>
      </w:pPr>
    </w:p>
    <w:p w14:paraId="2DD9FB94" w14:textId="77777777" w:rsidR="00F4314C" w:rsidRPr="00F4314C" w:rsidRDefault="00F4314C" w:rsidP="00F4314C">
      <w:pPr>
        <w:rPr>
          <w:rFonts w:ascii="Arial" w:hAnsi="Arial" w:cs="Arial"/>
          <w:sz w:val="20"/>
          <w:szCs w:val="20"/>
        </w:rPr>
      </w:pPr>
    </w:p>
    <w:p w14:paraId="39F8443D" w14:textId="4E37F3C8" w:rsidR="00F814A4" w:rsidRPr="00F814A4" w:rsidRDefault="00F814A4" w:rsidP="00F814A4">
      <w:pPr>
        <w:pStyle w:val="SRAKopje"/>
        <w:ind w:left="2124" w:hanging="2124"/>
        <w:rPr>
          <w:rFonts w:ascii="Arial" w:hAnsi="Arial" w:cs="Arial"/>
        </w:rPr>
      </w:pPr>
      <w:bookmarkStart w:id="144" w:name="_Toc155866678"/>
      <w:r>
        <w:rPr>
          <w:rFonts w:ascii="Arial" w:hAnsi="Arial"/>
        </w:rPr>
        <w:t>Table 14</w:t>
      </w:r>
      <w:r>
        <w:rPr>
          <w:rFonts w:ascii="Arial" w:hAnsi="Arial"/>
        </w:rPr>
        <w:tab/>
        <w:t>Transition payment</w:t>
      </w:r>
      <w:bookmarkEnd w:id="144"/>
    </w:p>
    <w:p w14:paraId="491D8BA4" w14:textId="77777777" w:rsidR="00F814A4" w:rsidRDefault="00F814A4" w:rsidP="00F814A4">
      <w:pPr>
        <w:rPr>
          <w:rFonts w:ascii="Arial" w:hAnsi="Arial" w:cs="Arial"/>
          <w:sz w:val="22"/>
          <w:szCs w:val="22"/>
        </w:rPr>
      </w:pPr>
    </w:p>
    <w:tbl>
      <w:tblPr>
        <w:tblStyle w:val="Rastertabel4-Accent3"/>
        <w:tblpPr w:leftFromText="141" w:rightFromText="141" w:vertAnchor="page" w:horzAnchor="margin" w:tblpY="5446"/>
        <w:tblW w:w="0" w:type="auto"/>
        <w:tblLook w:val="04A0" w:firstRow="1" w:lastRow="0" w:firstColumn="1" w:lastColumn="0" w:noHBand="0" w:noVBand="1"/>
      </w:tblPr>
      <w:tblGrid>
        <w:gridCol w:w="4524"/>
        <w:gridCol w:w="4538"/>
      </w:tblGrid>
      <w:tr w:rsidR="00C256BC" w:rsidRPr="00FE41CF" w14:paraId="5E697F07" w14:textId="77777777" w:rsidTr="00C256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4" w:type="dxa"/>
          </w:tcPr>
          <w:p w14:paraId="69B31E28" w14:textId="77777777" w:rsidR="00C256BC" w:rsidRPr="00C10A00" w:rsidRDefault="00C256BC" w:rsidP="00C256BC">
            <w:pPr>
              <w:spacing w:before="66"/>
              <w:ind w:left="65" w:right="-18"/>
              <w:jc w:val="center"/>
              <w:rPr>
                <w:rFonts w:ascii="Arial" w:hAnsi="Arial" w:cs="Arial"/>
                <w:bCs w:val="0"/>
                <w:color w:val="010302"/>
                <w:sz w:val="22"/>
                <w:szCs w:val="22"/>
              </w:rPr>
            </w:pPr>
            <w:r>
              <w:rPr>
                <w:rFonts w:ascii="Arial" w:hAnsi="Arial"/>
                <w:color w:val="010302"/>
                <w:sz w:val="22"/>
              </w:rPr>
              <w:t>Year</w:t>
            </w:r>
          </w:p>
        </w:tc>
        <w:tc>
          <w:tcPr>
            <w:tcW w:w="4538" w:type="dxa"/>
          </w:tcPr>
          <w:p w14:paraId="1798DD2B" w14:textId="77777777" w:rsidR="00C256BC" w:rsidRPr="00C10A00" w:rsidRDefault="00C256BC" w:rsidP="00C256BC">
            <w:pPr>
              <w:spacing w:before="66"/>
              <w:ind w:left="65" w:right="-18"/>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10302"/>
                <w:sz w:val="22"/>
                <w:szCs w:val="22"/>
              </w:rPr>
            </w:pPr>
            <w:r>
              <w:rPr>
                <w:rFonts w:ascii="Arial" w:hAnsi="Arial"/>
                <w:color w:val="010302"/>
                <w:sz w:val="22"/>
              </w:rPr>
              <w:t>Amount</w:t>
            </w:r>
          </w:p>
        </w:tc>
      </w:tr>
      <w:tr w:rsidR="00C256BC" w:rsidRPr="00FE41CF" w14:paraId="6039B7E9" w14:textId="77777777" w:rsidTr="00C256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4" w:type="dxa"/>
          </w:tcPr>
          <w:p w14:paraId="103B2988" w14:textId="77777777" w:rsidR="00C256BC" w:rsidRPr="00C10A00" w:rsidRDefault="00C256BC" w:rsidP="00C256BC">
            <w:pPr>
              <w:rPr>
                <w:rFonts w:ascii="Arial" w:hAnsi="Arial" w:cs="Arial"/>
                <w:b w:val="0"/>
                <w:bCs w:val="0"/>
                <w:color w:val="000000" w:themeColor="text1"/>
                <w:sz w:val="22"/>
                <w:szCs w:val="16"/>
              </w:rPr>
            </w:pPr>
            <w:r>
              <w:rPr>
                <w:rFonts w:ascii="Arial" w:hAnsi="Arial"/>
                <w:b w:val="0"/>
                <w:color w:val="000000" w:themeColor="text1"/>
                <w:sz w:val="22"/>
              </w:rPr>
              <w:t>2025</w:t>
            </w:r>
          </w:p>
        </w:tc>
        <w:tc>
          <w:tcPr>
            <w:tcW w:w="4538" w:type="dxa"/>
          </w:tcPr>
          <w:p w14:paraId="48B4EECB" w14:textId="77777777" w:rsidR="00C256BC" w:rsidRPr="00C10A00" w:rsidRDefault="00C256BC" w:rsidP="00C256BC">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2"/>
                <w:szCs w:val="16"/>
              </w:rPr>
            </w:pPr>
            <w:r>
              <w:rPr>
                <w:rFonts w:ascii="Arial" w:hAnsi="Arial"/>
                <w:color w:val="000000" w:themeColor="text1"/>
                <w:sz w:val="22"/>
              </w:rPr>
              <w:t>€ 98,000</w:t>
            </w:r>
          </w:p>
        </w:tc>
      </w:tr>
      <w:tr w:rsidR="00C256BC" w:rsidRPr="00FE41CF" w14:paraId="54E1BB98" w14:textId="77777777" w:rsidTr="00C256BC">
        <w:tc>
          <w:tcPr>
            <w:cnfStyle w:val="001000000000" w:firstRow="0" w:lastRow="0" w:firstColumn="1" w:lastColumn="0" w:oddVBand="0" w:evenVBand="0" w:oddHBand="0" w:evenHBand="0" w:firstRowFirstColumn="0" w:firstRowLastColumn="0" w:lastRowFirstColumn="0" w:lastRowLastColumn="0"/>
            <w:tcW w:w="4524" w:type="dxa"/>
          </w:tcPr>
          <w:p w14:paraId="21516181" w14:textId="77777777" w:rsidR="00C256BC" w:rsidRPr="00C10A00" w:rsidRDefault="00C256BC" w:rsidP="00C256BC">
            <w:pPr>
              <w:rPr>
                <w:rFonts w:ascii="Arial" w:hAnsi="Arial" w:cs="Arial"/>
                <w:b w:val="0"/>
                <w:bCs w:val="0"/>
                <w:color w:val="000000" w:themeColor="text1"/>
                <w:sz w:val="22"/>
                <w:szCs w:val="16"/>
              </w:rPr>
            </w:pPr>
            <w:r>
              <w:rPr>
                <w:rFonts w:ascii="Arial" w:hAnsi="Arial"/>
                <w:b w:val="0"/>
                <w:color w:val="000000" w:themeColor="text1"/>
                <w:sz w:val="22"/>
              </w:rPr>
              <w:t>2026</w:t>
            </w:r>
          </w:p>
        </w:tc>
        <w:tc>
          <w:tcPr>
            <w:tcW w:w="4538" w:type="dxa"/>
          </w:tcPr>
          <w:p w14:paraId="4A164F01" w14:textId="77777777" w:rsidR="00C256BC" w:rsidRPr="00C10A00" w:rsidRDefault="00C256BC" w:rsidP="00C256BC">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2"/>
                <w:szCs w:val="16"/>
              </w:rPr>
            </w:pPr>
            <w:r>
              <w:rPr>
                <w:rFonts w:ascii="Arial" w:hAnsi="Arial"/>
                <w:color w:val="000000" w:themeColor="text1"/>
                <w:sz w:val="22"/>
              </w:rPr>
              <w:t>€ 102,000</w:t>
            </w:r>
          </w:p>
        </w:tc>
      </w:tr>
    </w:tbl>
    <w:p w14:paraId="0DF00F4F" w14:textId="0E70D7BF" w:rsidR="00F814A4" w:rsidRPr="00F814A4" w:rsidRDefault="00F814A4" w:rsidP="00F814A4">
      <w:pPr>
        <w:pStyle w:val="SRAKopje"/>
        <w:ind w:left="2124" w:hanging="2124"/>
        <w:rPr>
          <w:rFonts w:ascii="Arial" w:hAnsi="Arial" w:cs="Arial"/>
        </w:rPr>
      </w:pPr>
      <w:bookmarkStart w:id="145" w:name="_Toc155866679"/>
      <w:r>
        <w:rPr>
          <w:rFonts w:ascii="Arial" w:hAnsi="Arial"/>
        </w:rPr>
        <w:t>Table 15</w:t>
      </w:r>
      <w:r>
        <w:rPr>
          <w:rFonts w:ascii="Arial" w:hAnsi="Arial"/>
        </w:rPr>
        <w:tab/>
        <w:t>Other standard amounts and percentages</w:t>
      </w:r>
      <w:bookmarkEnd w:id="145"/>
    </w:p>
    <w:p w14:paraId="2657F5EC" w14:textId="77777777" w:rsidR="00F814A4" w:rsidRDefault="00F814A4" w:rsidP="00F814A4">
      <w:pPr>
        <w:rPr>
          <w:rFonts w:ascii="Arial" w:eastAsiaTheme="majorEastAsia" w:hAnsi="Arial" w:cs="Arial"/>
          <w:b/>
          <w:sz w:val="22"/>
        </w:rPr>
      </w:pPr>
    </w:p>
    <w:tbl>
      <w:tblPr>
        <w:tblStyle w:val="Rastertabel4-Accent3"/>
        <w:tblpPr w:leftFromText="141" w:rightFromText="141" w:vertAnchor="page" w:horzAnchor="margin" w:tblpY="7186"/>
        <w:tblW w:w="9493" w:type="dxa"/>
        <w:tblLook w:val="04A0" w:firstRow="1" w:lastRow="0" w:firstColumn="1" w:lastColumn="0" w:noHBand="0" w:noVBand="1"/>
      </w:tblPr>
      <w:tblGrid>
        <w:gridCol w:w="4799"/>
        <w:gridCol w:w="2347"/>
        <w:gridCol w:w="2347"/>
      </w:tblGrid>
      <w:tr w:rsidR="00C256BC" w:rsidRPr="00AC00D4" w14:paraId="3D9B83AC" w14:textId="77777777" w:rsidTr="00C256BC">
        <w:trPr>
          <w:cnfStyle w:val="100000000000" w:firstRow="1" w:lastRow="0" w:firstColumn="0" w:lastColumn="0" w:oddVBand="0" w:evenVBand="0" w:oddHBand="0" w:evenHBand="0" w:firstRowFirstColumn="0" w:firstRowLastColumn="0" w:lastRowFirstColumn="0" w:lastRowLastColumn="0"/>
          <w:trHeight w:val="698"/>
        </w:trPr>
        <w:tc>
          <w:tcPr>
            <w:cnfStyle w:val="001000000000" w:firstRow="0" w:lastRow="0" w:firstColumn="1" w:lastColumn="0" w:oddVBand="0" w:evenVBand="0" w:oddHBand="0" w:evenHBand="0" w:firstRowFirstColumn="0" w:firstRowLastColumn="0" w:lastRowFirstColumn="0" w:lastRowLastColumn="0"/>
            <w:tcW w:w="4945" w:type="dxa"/>
          </w:tcPr>
          <w:p w14:paraId="27BFBEFE" w14:textId="77777777" w:rsidR="00C256BC" w:rsidRPr="00C10A00" w:rsidRDefault="00C256BC" w:rsidP="00C256BC">
            <w:pPr>
              <w:spacing w:before="66"/>
              <w:ind w:left="65" w:right="-18"/>
              <w:jc w:val="center"/>
              <w:rPr>
                <w:rFonts w:ascii="Arial" w:hAnsi="Arial" w:cs="Arial"/>
                <w:bCs w:val="0"/>
                <w:color w:val="010302"/>
                <w:sz w:val="22"/>
                <w:szCs w:val="22"/>
              </w:rPr>
            </w:pPr>
            <w:r>
              <w:rPr>
                <w:rFonts w:ascii="Arial" w:hAnsi="Arial"/>
                <w:color w:val="010302"/>
                <w:sz w:val="22"/>
              </w:rPr>
              <w:t>Standard amount for</w:t>
            </w:r>
          </w:p>
        </w:tc>
        <w:tc>
          <w:tcPr>
            <w:tcW w:w="2274" w:type="dxa"/>
          </w:tcPr>
          <w:p w14:paraId="020EE314" w14:textId="77777777" w:rsidR="00C256BC" w:rsidRPr="00C10A00" w:rsidRDefault="00C256BC" w:rsidP="00C256BC">
            <w:pPr>
              <w:spacing w:before="66"/>
              <w:ind w:left="65" w:right="-18"/>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10302"/>
                <w:sz w:val="22"/>
                <w:szCs w:val="22"/>
              </w:rPr>
            </w:pPr>
            <w:r>
              <w:rPr>
                <w:rFonts w:ascii="Arial" w:hAnsi="Arial"/>
                <w:color w:val="010302"/>
                <w:sz w:val="22"/>
              </w:rPr>
              <w:t>Amount/percentage for 2025</w:t>
            </w:r>
          </w:p>
        </w:tc>
        <w:tc>
          <w:tcPr>
            <w:tcW w:w="2274" w:type="dxa"/>
          </w:tcPr>
          <w:p w14:paraId="102A30B7" w14:textId="77777777" w:rsidR="00C256BC" w:rsidRPr="00C10A00" w:rsidRDefault="00C256BC" w:rsidP="00C256BC">
            <w:pPr>
              <w:spacing w:before="66"/>
              <w:ind w:left="65" w:right="-18"/>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10302"/>
                <w:sz w:val="22"/>
                <w:szCs w:val="22"/>
              </w:rPr>
            </w:pPr>
            <w:r>
              <w:rPr>
                <w:rFonts w:ascii="Arial" w:hAnsi="Arial"/>
                <w:color w:val="010302"/>
                <w:sz w:val="22"/>
              </w:rPr>
              <w:t>Amount/percentage for 2026</w:t>
            </w:r>
          </w:p>
        </w:tc>
      </w:tr>
      <w:tr w:rsidR="00C256BC" w:rsidRPr="00AC00D4" w14:paraId="29DA9E74" w14:textId="77777777" w:rsidTr="00C256BC">
        <w:trPr>
          <w:cnfStyle w:val="000000100000" w:firstRow="0" w:lastRow="0" w:firstColumn="0" w:lastColumn="0" w:oddVBand="0" w:evenVBand="0" w:oddHBand="1" w:evenHBand="0" w:firstRowFirstColumn="0" w:firstRowLastColumn="0" w:lastRowFirstColumn="0" w:lastRowLastColumn="0"/>
          <w:trHeight w:val="708"/>
        </w:trPr>
        <w:tc>
          <w:tcPr>
            <w:cnfStyle w:val="001000000000" w:firstRow="0" w:lastRow="0" w:firstColumn="1" w:lastColumn="0" w:oddVBand="0" w:evenVBand="0" w:oddHBand="0" w:evenHBand="0" w:firstRowFirstColumn="0" w:firstRowLastColumn="0" w:lastRowFirstColumn="0" w:lastRowLastColumn="0"/>
            <w:tcW w:w="4945" w:type="dxa"/>
          </w:tcPr>
          <w:p w14:paraId="121727E4" w14:textId="77777777" w:rsidR="00C256BC" w:rsidRPr="00C10A00" w:rsidRDefault="00C256BC" w:rsidP="00C256BC">
            <w:pPr>
              <w:rPr>
                <w:rFonts w:ascii="Arial" w:hAnsi="Arial" w:cs="Arial"/>
                <w:b w:val="0"/>
                <w:bCs w:val="0"/>
                <w:color w:val="000000" w:themeColor="text1"/>
                <w:sz w:val="22"/>
                <w:szCs w:val="16"/>
              </w:rPr>
            </w:pPr>
            <w:r>
              <w:rPr>
                <w:rFonts w:ascii="Arial" w:hAnsi="Arial"/>
                <w:b w:val="0"/>
                <w:color w:val="000000" w:themeColor="text1"/>
                <w:sz w:val="22"/>
              </w:rPr>
              <w:t>Minimum amount of customary salary for substantial shareholders</w:t>
            </w:r>
          </w:p>
        </w:tc>
        <w:tc>
          <w:tcPr>
            <w:tcW w:w="2274" w:type="dxa"/>
          </w:tcPr>
          <w:p w14:paraId="1D621778" w14:textId="77777777" w:rsidR="00C256BC" w:rsidRPr="00C10A00" w:rsidRDefault="00C256BC" w:rsidP="00C256BC">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2"/>
                <w:szCs w:val="16"/>
              </w:rPr>
            </w:pPr>
            <w:r>
              <w:rPr>
                <w:rFonts w:ascii="Arial" w:hAnsi="Arial"/>
                <w:color w:val="000000" w:themeColor="text1"/>
                <w:sz w:val="22"/>
              </w:rPr>
              <w:t>€ 56,000</w:t>
            </w:r>
          </w:p>
        </w:tc>
        <w:tc>
          <w:tcPr>
            <w:tcW w:w="2274" w:type="dxa"/>
          </w:tcPr>
          <w:p w14:paraId="572B0E90" w14:textId="77777777" w:rsidR="00C256BC" w:rsidRPr="00C10A00" w:rsidRDefault="00C256BC" w:rsidP="00C256BC">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2"/>
                <w:szCs w:val="16"/>
              </w:rPr>
            </w:pPr>
            <w:r>
              <w:rPr>
                <w:rFonts w:ascii="Arial" w:hAnsi="Arial"/>
                <w:color w:val="000000" w:themeColor="text1"/>
                <w:sz w:val="22"/>
              </w:rPr>
              <w:t>€ 58,000</w:t>
            </w:r>
          </w:p>
        </w:tc>
      </w:tr>
      <w:tr w:rsidR="00C256BC" w:rsidRPr="00AC00D4" w14:paraId="0DCD2E0F" w14:textId="77777777" w:rsidTr="00C256BC">
        <w:trPr>
          <w:trHeight w:val="690"/>
        </w:trPr>
        <w:tc>
          <w:tcPr>
            <w:cnfStyle w:val="001000000000" w:firstRow="0" w:lastRow="0" w:firstColumn="1" w:lastColumn="0" w:oddVBand="0" w:evenVBand="0" w:oddHBand="0" w:evenHBand="0" w:firstRowFirstColumn="0" w:firstRowLastColumn="0" w:lastRowFirstColumn="0" w:lastRowLastColumn="0"/>
            <w:tcW w:w="4945" w:type="dxa"/>
          </w:tcPr>
          <w:p w14:paraId="42FD9072" w14:textId="77777777" w:rsidR="00C256BC" w:rsidRPr="00C10A00" w:rsidRDefault="00C256BC" w:rsidP="00C256BC">
            <w:pPr>
              <w:rPr>
                <w:rFonts w:ascii="Arial" w:hAnsi="Arial" w:cs="Arial"/>
                <w:b w:val="0"/>
                <w:bCs w:val="0"/>
                <w:color w:val="000000" w:themeColor="text1"/>
                <w:sz w:val="22"/>
                <w:szCs w:val="16"/>
              </w:rPr>
            </w:pPr>
            <w:r>
              <w:rPr>
                <w:rFonts w:ascii="Arial" w:hAnsi="Arial"/>
                <w:b w:val="0"/>
                <w:color w:val="000000" w:themeColor="text1"/>
                <w:sz w:val="22"/>
              </w:rPr>
              <w:t>Pseudo final levies for severance payments higher than</w:t>
            </w:r>
          </w:p>
        </w:tc>
        <w:tc>
          <w:tcPr>
            <w:tcW w:w="2274" w:type="dxa"/>
          </w:tcPr>
          <w:p w14:paraId="149B4A1F" w14:textId="77777777" w:rsidR="00C256BC" w:rsidRPr="00C10A00" w:rsidRDefault="00C256BC" w:rsidP="00C256BC">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2"/>
                <w:szCs w:val="16"/>
              </w:rPr>
            </w:pPr>
            <w:r>
              <w:rPr>
                <w:rFonts w:ascii="Arial" w:hAnsi="Arial"/>
                <w:color w:val="000000" w:themeColor="text1"/>
                <w:sz w:val="22"/>
              </w:rPr>
              <w:t>€ 680,000</w:t>
            </w:r>
          </w:p>
        </w:tc>
        <w:tc>
          <w:tcPr>
            <w:tcW w:w="2274" w:type="dxa"/>
          </w:tcPr>
          <w:p w14:paraId="24773F89" w14:textId="77777777" w:rsidR="00C256BC" w:rsidRPr="00C10A00" w:rsidRDefault="00C256BC" w:rsidP="00C256BC">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2"/>
                <w:szCs w:val="16"/>
              </w:rPr>
            </w:pPr>
            <w:r>
              <w:rPr>
                <w:rFonts w:ascii="Arial" w:hAnsi="Arial"/>
                <w:color w:val="000000" w:themeColor="text1"/>
                <w:sz w:val="22"/>
              </w:rPr>
              <w:t xml:space="preserve">€ 700,000 </w:t>
            </w:r>
          </w:p>
        </w:tc>
      </w:tr>
      <w:tr w:rsidR="00C256BC" w:rsidRPr="00AC00D4" w14:paraId="31E6DBFE" w14:textId="77777777" w:rsidTr="00C256BC">
        <w:trPr>
          <w:cnfStyle w:val="000000100000" w:firstRow="0" w:lastRow="0" w:firstColumn="0" w:lastColumn="0" w:oddVBand="0" w:evenVBand="0" w:oddHBand="1" w:evenHBand="0"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4945" w:type="dxa"/>
          </w:tcPr>
          <w:p w14:paraId="136CAD46" w14:textId="77777777" w:rsidR="00C256BC" w:rsidRPr="00C10A00" w:rsidRDefault="00C256BC" w:rsidP="00C256BC">
            <w:pPr>
              <w:rPr>
                <w:rFonts w:ascii="Arial" w:hAnsi="Arial" w:cs="Arial"/>
                <w:b w:val="0"/>
                <w:bCs w:val="0"/>
                <w:color w:val="000000" w:themeColor="text1"/>
                <w:sz w:val="22"/>
                <w:szCs w:val="16"/>
              </w:rPr>
            </w:pPr>
            <w:r>
              <w:rPr>
                <w:rFonts w:ascii="Arial" w:hAnsi="Arial"/>
                <w:b w:val="0"/>
                <w:color w:val="000000" w:themeColor="text1"/>
                <w:sz w:val="22"/>
              </w:rPr>
              <w:t>Final levy for van constantly used by different employees (per year)</w:t>
            </w:r>
          </w:p>
        </w:tc>
        <w:tc>
          <w:tcPr>
            <w:tcW w:w="2274" w:type="dxa"/>
          </w:tcPr>
          <w:p w14:paraId="4B401645" w14:textId="77777777" w:rsidR="00C256BC" w:rsidRPr="00C10A00" w:rsidRDefault="00C256BC" w:rsidP="00C256BC">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2"/>
                <w:szCs w:val="16"/>
              </w:rPr>
            </w:pPr>
            <w:r>
              <w:rPr>
                <w:rFonts w:ascii="Arial" w:hAnsi="Arial"/>
                <w:color w:val="000000" w:themeColor="text1"/>
                <w:sz w:val="22"/>
              </w:rPr>
              <w:t>€ 438</w:t>
            </w:r>
          </w:p>
        </w:tc>
        <w:tc>
          <w:tcPr>
            <w:tcW w:w="2274" w:type="dxa"/>
          </w:tcPr>
          <w:p w14:paraId="74A3259D" w14:textId="77777777" w:rsidR="00C256BC" w:rsidRPr="00C10A00" w:rsidRDefault="00C256BC" w:rsidP="00C256BC">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2"/>
                <w:szCs w:val="16"/>
              </w:rPr>
            </w:pPr>
            <w:r>
              <w:rPr>
                <w:rFonts w:ascii="Arial" w:hAnsi="Arial"/>
                <w:color w:val="000000" w:themeColor="text1"/>
                <w:sz w:val="22"/>
              </w:rPr>
              <w:t>€ 451</w:t>
            </w:r>
          </w:p>
        </w:tc>
      </w:tr>
      <w:tr w:rsidR="00C256BC" w:rsidRPr="00AC00D4" w14:paraId="6DA1054B" w14:textId="77777777" w:rsidTr="00C256BC">
        <w:trPr>
          <w:trHeight w:val="842"/>
        </w:trPr>
        <w:tc>
          <w:tcPr>
            <w:cnfStyle w:val="001000000000" w:firstRow="0" w:lastRow="0" w:firstColumn="1" w:lastColumn="0" w:oddVBand="0" w:evenVBand="0" w:oddHBand="0" w:evenHBand="0" w:firstRowFirstColumn="0" w:firstRowLastColumn="0" w:lastRowFirstColumn="0" w:lastRowLastColumn="0"/>
            <w:tcW w:w="4945" w:type="dxa"/>
          </w:tcPr>
          <w:p w14:paraId="00925EBE" w14:textId="77777777" w:rsidR="00C256BC" w:rsidRPr="00324535" w:rsidRDefault="00C256BC" w:rsidP="00C256BC">
            <w:pPr>
              <w:rPr>
                <w:rFonts w:ascii="Arial" w:hAnsi="Arial" w:cs="Arial"/>
                <w:b w:val="0"/>
                <w:bCs w:val="0"/>
                <w:color w:val="000000" w:themeColor="text1"/>
                <w:sz w:val="22"/>
                <w:szCs w:val="16"/>
              </w:rPr>
            </w:pPr>
            <w:r>
              <w:rPr>
                <w:rFonts w:ascii="Arial" w:hAnsi="Arial"/>
                <w:b w:val="0"/>
                <w:color w:val="000000" w:themeColor="text1"/>
                <w:sz w:val="22"/>
              </w:rPr>
              <w:t>Pseudo final levy for early retirement scheme</w:t>
            </w:r>
          </w:p>
        </w:tc>
        <w:tc>
          <w:tcPr>
            <w:tcW w:w="2274" w:type="dxa"/>
          </w:tcPr>
          <w:p w14:paraId="0A494CBC" w14:textId="77777777" w:rsidR="00C256BC" w:rsidRPr="00C10A00" w:rsidRDefault="00C256BC" w:rsidP="00C256BC">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22"/>
                <w:szCs w:val="16"/>
              </w:rPr>
            </w:pPr>
            <w:r>
              <w:rPr>
                <w:rFonts w:ascii="Arial" w:hAnsi="Arial"/>
                <w:color w:val="000000" w:themeColor="text1"/>
                <w:sz w:val="22"/>
              </w:rPr>
              <w:t>52%</w:t>
            </w:r>
          </w:p>
        </w:tc>
        <w:tc>
          <w:tcPr>
            <w:tcW w:w="2274" w:type="dxa"/>
          </w:tcPr>
          <w:p w14:paraId="39117422" w14:textId="77777777" w:rsidR="00C256BC" w:rsidRPr="00C10A00" w:rsidRDefault="00C256BC" w:rsidP="00C256BC">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22"/>
                <w:szCs w:val="16"/>
              </w:rPr>
            </w:pPr>
            <w:r>
              <w:rPr>
                <w:rFonts w:ascii="Arial" w:hAnsi="Arial"/>
                <w:color w:val="000000" w:themeColor="text1"/>
                <w:sz w:val="22"/>
              </w:rPr>
              <w:t>57.70%</w:t>
            </w:r>
          </w:p>
        </w:tc>
      </w:tr>
    </w:tbl>
    <w:p w14:paraId="0EA1B4F3" w14:textId="77777777" w:rsidR="00C256BC" w:rsidRDefault="00C256BC" w:rsidP="00F814A4">
      <w:pPr>
        <w:rPr>
          <w:rFonts w:ascii="Arial" w:eastAsiaTheme="majorEastAsia" w:hAnsi="Arial" w:cs="Arial"/>
          <w:b/>
          <w:sz w:val="22"/>
        </w:rPr>
      </w:pPr>
    </w:p>
    <w:p w14:paraId="14E51DAE" w14:textId="53A1DEE0" w:rsidR="007E5036" w:rsidRPr="007E5036" w:rsidRDefault="007E5036" w:rsidP="008F09CA">
      <w:pPr>
        <w:pStyle w:val="SRAKopje"/>
        <w:ind w:left="2124" w:hanging="2124"/>
        <w:rPr>
          <w:rFonts w:ascii="Arial" w:hAnsi="Arial" w:cs="Arial"/>
        </w:rPr>
      </w:pPr>
      <w:r>
        <w:rPr>
          <w:rFonts w:ascii="Arial" w:hAnsi="Arial"/>
        </w:rPr>
        <w:t>Table 16</w:t>
      </w:r>
      <w:r>
        <w:rPr>
          <w:rFonts w:ascii="Arial" w:hAnsi="Arial"/>
        </w:rPr>
        <w:tab/>
        <w:t>Wage expense allowances</w:t>
      </w:r>
    </w:p>
    <w:bookmarkEnd w:id="127"/>
    <w:p w14:paraId="72A9BC36" w14:textId="178DDED7" w:rsidR="00BB4AC3" w:rsidRDefault="00BB4AC3" w:rsidP="00F814A4">
      <w:pPr>
        <w:rPr>
          <w:rFonts w:ascii="Arial" w:hAnsi="Arial" w:cs="Arial"/>
          <w:sz w:val="22"/>
          <w:szCs w:val="22"/>
        </w:rPr>
      </w:pPr>
    </w:p>
    <w:p w14:paraId="17EC1766" w14:textId="77777777" w:rsidR="00E53A9F" w:rsidRDefault="00E53A9F" w:rsidP="00E53A9F">
      <w:pPr>
        <w:rPr>
          <w:rFonts w:ascii="Arial" w:hAnsi="Arial" w:cs="Arial"/>
          <w:sz w:val="22"/>
          <w:szCs w:val="22"/>
        </w:rPr>
      </w:pPr>
    </w:p>
    <w:tbl>
      <w:tblPr>
        <w:tblStyle w:val="Tabelraster"/>
        <w:tblW w:w="0" w:type="auto"/>
        <w:tblLook w:val="04A0" w:firstRow="1" w:lastRow="0" w:firstColumn="1" w:lastColumn="0" w:noHBand="0" w:noVBand="1"/>
      </w:tblPr>
      <w:tblGrid>
        <w:gridCol w:w="2760"/>
        <w:gridCol w:w="2117"/>
        <w:gridCol w:w="2512"/>
        <w:gridCol w:w="1673"/>
      </w:tblGrid>
      <w:tr w:rsidR="00E53A9F" w14:paraId="426171C0" w14:textId="77777777" w:rsidTr="006254DE">
        <w:tc>
          <w:tcPr>
            <w:tcW w:w="2760" w:type="dxa"/>
            <w:shd w:val="clear" w:color="auto" w:fill="A6A6A6" w:themeFill="background1" w:themeFillShade="A6"/>
          </w:tcPr>
          <w:p w14:paraId="574A6EAF" w14:textId="77777777" w:rsidR="00E53A9F" w:rsidRPr="00D83263" w:rsidRDefault="00E53A9F" w:rsidP="007F1094">
            <w:pPr>
              <w:rPr>
                <w:rFonts w:ascii="Arial" w:hAnsi="Arial" w:cs="Arial"/>
                <w:b/>
                <w:bCs/>
                <w:sz w:val="22"/>
                <w:szCs w:val="22"/>
              </w:rPr>
            </w:pPr>
            <w:r>
              <w:rPr>
                <w:rFonts w:ascii="Arial" w:hAnsi="Arial"/>
                <w:b/>
                <w:sz w:val="22"/>
              </w:rPr>
              <w:t>Wage expense allowance</w:t>
            </w:r>
          </w:p>
        </w:tc>
        <w:tc>
          <w:tcPr>
            <w:tcW w:w="2117" w:type="dxa"/>
            <w:shd w:val="clear" w:color="auto" w:fill="A6A6A6" w:themeFill="background1" w:themeFillShade="A6"/>
          </w:tcPr>
          <w:p w14:paraId="5D85061D" w14:textId="77777777" w:rsidR="00E53A9F" w:rsidRPr="00D83263" w:rsidRDefault="00E53A9F" w:rsidP="007F1094">
            <w:pPr>
              <w:rPr>
                <w:rFonts w:ascii="Arial" w:hAnsi="Arial" w:cs="Arial"/>
                <w:b/>
                <w:bCs/>
                <w:sz w:val="22"/>
                <w:szCs w:val="22"/>
              </w:rPr>
            </w:pPr>
            <w:r>
              <w:rPr>
                <w:rFonts w:ascii="Arial" w:hAnsi="Arial"/>
                <w:b/>
                <w:sz w:val="22"/>
              </w:rPr>
              <w:t>Amount per paid hour</w:t>
            </w:r>
          </w:p>
        </w:tc>
        <w:tc>
          <w:tcPr>
            <w:tcW w:w="2512" w:type="dxa"/>
            <w:shd w:val="clear" w:color="auto" w:fill="A6A6A6" w:themeFill="background1" w:themeFillShade="A6"/>
          </w:tcPr>
          <w:p w14:paraId="53487EDE" w14:textId="77777777" w:rsidR="00E53A9F" w:rsidRPr="00D83263" w:rsidRDefault="00E53A9F" w:rsidP="007F1094">
            <w:pPr>
              <w:rPr>
                <w:rFonts w:ascii="Arial" w:hAnsi="Arial" w:cs="Arial"/>
                <w:b/>
                <w:bCs/>
                <w:sz w:val="22"/>
                <w:szCs w:val="22"/>
              </w:rPr>
            </w:pPr>
            <w:r>
              <w:rPr>
                <w:rFonts w:ascii="Arial" w:hAnsi="Arial"/>
                <w:b/>
                <w:sz w:val="22"/>
              </w:rPr>
              <w:t>Maximum amount per year</w:t>
            </w:r>
          </w:p>
        </w:tc>
        <w:tc>
          <w:tcPr>
            <w:tcW w:w="1673" w:type="dxa"/>
            <w:shd w:val="clear" w:color="auto" w:fill="A6A6A6" w:themeFill="background1" w:themeFillShade="A6"/>
          </w:tcPr>
          <w:p w14:paraId="1F37FFEA" w14:textId="77777777" w:rsidR="00E53A9F" w:rsidRDefault="00E53A9F" w:rsidP="007F1094">
            <w:pPr>
              <w:rPr>
                <w:rFonts w:ascii="Arial" w:hAnsi="Arial" w:cs="Arial"/>
                <w:b/>
                <w:bCs/>
                <w:sz w:val="22"/>
                <w:szCs w:val="22"/>
              </w:rPr>
            </w:pPr>
            <w:r>
              <w:rPr>
                <w:rFonts w:ascii="Arial" w:hAnsi="Arial"/>
                <w:b/>
                <w:sz w:val="22"/>
              </w:rPr>
              <w:t>Maximum number of years</w:t>
            </w:r>
          </w:p>
        </w:tc>
      </w:tr>
      <w:tr w:rsidR="00E53A9F" w14:paraId="6E8E4ED0" w14:textId="77777777" w:rsidTr="006254DE">
        <w:tc>
          <w:tcPr>
            <w:tcW w:w="2760" w:type="dxa"/>
            <w:shd w:val="clear" w:color="auto" w:fill="F2F2F2" w:themeFill="background1" w:themeFillShade="F2"/>
          </w:tcPr>
          <w:p w14:paraId="406430D0" w14:textId="77777777" w:rsidR="00E53A9F" w:rsidRDefault="00E53A9F" w:rsidP="007F1094">
            <w:pPr>
              <w:rPr>
                <w:rFonts w:ascii="Arial" w:hAnsi="Arial" w:cs="Arial"/>
                <w:sz w:val="22"/>
                <w:szCs w:val="22"/>
              </w:rPr>
            </w:pPr>
            <w:r>
              <w:rPr>
                <w:rFonts w:ascii="Arial" w:hAnsi="Arial"/>
                <w:sz w:val="22"/>
              </w:rPr>
              <w:t>Older employee hired before 2024</w:t>
            </w:r>
          </w:p>
        </w:tc>
        <w:tc>
          <w:tcPr>
            <w:tcW w:w="2117" w:type="dxa"/>
            <w:shd w:val="clear" w:color="auto" w:fill="F2F2F2" w:themeFill="background1" w:themeFillShade="F2"/>
          </w:tcPr>
          <w:p w14:paraId="5EB1757A" w14:textId="77777777" w:rsidR="00E53A9F" w:rsidRDefault="00E53A9F" w:rsidP="007F1094">
            <w:pPr>
              <w:rPr>
                <w:rFonts w:ascii="Arial" w:hAnsi="Arial" w:cs="Arial"/>
                <w:sz w:val="22"/>
                <w:szCs w:val="22"/>
              </w:rPr>
            </w:pPr>
            <w:r>
              <w:rPr>
                <w:rFonts w:ascii="Arial" w:hAnsi="Arial"/>
                <w:sz w:val="22"/>
              </w:rPr>
              <w:t>€ 3.05</w:t>
            </w:r>
          </w:p>
        </w:tc>
        <w:tc>
          <w:tcPr>
            <w:tcW w:w="2512" w:type="dxa"/>
            <w:shd w:val="clear" w:color="auto" w:fill="F2F2F2" w:themeFill="background1" w:themeFillShade="F2"/>
          </w:tcPr>
          <w:p w14:paraId="58F4A1F6" w14:textId="77777777" w:rsidR="00E53A9F" w:rsidRDefault="00E53A9F" w:rsidP="007F1094">
            <w:pPr>
              <w:rPr>
                <w:rFonts w:ascii="Arial" w:hAnsi="Arial" w:cs="Arial"/>
                <w:sz w:val="22"/>
                <w:szCs w:val="22"/>
              </w:rPr>
            </w:pPr>
            <w:r>
              <w:rPr>
                <w:rFonts w:ascii="Arial" w:hAnsi="Arial"/>
                <w:sz w:val="22"/>
              </w:rPr>
              <w:t>€ 6,000</w:t>
            </w:r>
          </w:p>
        </w:tc>
        <w:tc>
          <w:tcPr>
            <w:tcW w:w="1673" w:type="dxa"/>
            <w:shd w:val="clear" w:color="auto" w:fill="F2F2F2" w:themeFill="background1" w:themeFillShade="F2"/>
          </w:tcPr>
          <w:p w14:paraId="3BF62FA3" w14:textId="77777777" w:rsidR="00E53A9F" w:rsidRDefault="00E53A9F" w:rsidP="007F1094">
            <w:pPr>
              <w:rPr>
                <w:rFonts w:ascii="Arial" w:hAnsi="Arial" w:cs="Arial"/>
                <w:sz w:val="22"/>
                <w:szCs w:val="22"/>
              </w:rPr>
            </w:pPr>
            <w:r>
              <w:rPr>
                <w:rFonts w:ascii="Arial" w:hAnsi="Arial"/>
                <w:sz w:val="22"/>
              </w:rPr>
              <w:t>3</w:t>
            </w:r>
          </w:p>
        </w:tc>
      </w:tr>
      <w:tr w:rsidR="00E53A9F" w14:paraId="18E06801" w14:textId="77777777" w:rsidTr="007F1094">
        <w:tc>
          <w:tcPr>
            <w:tcW w:w="2760" w:type="dxa"/>
          </w:tcPr>
          <w:p w14:paraId="64727028" w14:textId="77777777" w:rsidR="00E53A9F" w:rsidRDefault="00E53A9F" w:rsidP="007F1094">
            <w:pPr>
              <w:rPr>
                <w:rFonts w:ascii="Arial" w:hAnsi="Arial" w:cs="Arial"/>
                <w:sz w:val="22"/>
                <w:szCs w:val="22"/>
              </w:rPr>
            </w:pPr>
            <w:r>
              <w:rPr>
                <w:rFonts w:ascii="Arial" w:hAnsi="Arial"/>
                <w:sz w:val="22"/>
              </w:rPr>
              <w:t>Employee with an occupational disability</w:t>
            </w:r>
          </w:p>
        </w:tc>
        <w:tc>
          <w:tcPr>
            <w:tcW w:w="2117" w:type="dxa"/>
          </w:tcPr>
          <w:p w14:paraId="15458C45" w14:textId="77777777" w:rsidR="00E53A9F" w:rsidRDefault="00E53A9F" w:rsidP="007F1094">
            <w:pPr>
              <w:rPr>
                <w:rFonts w:ascii="Arial" w:hAnsi="Arial" w:cs="Arial"/>
                <w:sz w:val="22"/>
                <w:szCs w:val="22"/>
              </w:rPr>
            </w:pPr>
            <w:r>
              <w:rPr>
                <w:rFonts w:ascii="Arial" w:hAnsi="Arial"/>
                <w:sz w:val="22"/>
              </w:rPr>
              <w:t>€ 3.05</w:t>
            </w:r>
          </w:p>
        </w:tc>
        <w:tc>
          <w:tcPr>
            <w:tcW w:w="2512" w:type="dxa"/>
          </w:tcPr>
          <w:p w14:paraId="2822EF76" w14:textId="77777777" w:rsidR="00E53A9F" w:rsidRDefault="00E53A9F" w:rsidP="007F1094">
            <w:pPr>
              <w:rPr>
                <w:rFonts w:ascii="Arial" w:hAnsi="Arial" w:cs="Arial"/>
                <w:sz w:val="22"/>
                <w:szCs w:val="22"/>
              </w:rPr>
            </w:pPr>
            <w:r>
              <w:rPr>
                <w:rFonts w:ascii="Arial" w:hAnsi="Arial"/>
                <w:sz w:val="22"/>
              </w:rPr>
              <w:t>€ 6,000</w:t>
            </w:r>
          </w:p>
        </w:tc>
        <w:tc>
          <w:tcPr>
            <w:tcW w:w="1673" w:type="dxa"/>
          </w:tcPr>
          <w:p w14:paraId="5F4944C7" w14:textId="77777777" w:rsidR="00E53A9F" w:rsidRDefault="00E53A9F" w:rsidP="007F1094">
            <w:pPr>
              <w:rPr>
                <w:rFonts w:ascii="Arial" w:hAnsi="Arial" w:cs="Arial"/>
                <w:sz w:val="22"/>
                <w:szCs w:val="22"/>
              </w:rPr>
            </w:pPr>
            <w:r>
              <w:rPr>
                <w:rFonts w:ascii="Arial" w:hAnsi="Arial"/>
                <w:sz w:val="22"/>
              </w:rPr>
              <w:t>3</w:t>
            </w:r>
          </w:p>
        </w:tc>
      </w:tr>
      <w:tr w:rsidR="00E53A9F" w14:paraId="33483171" w14:textId="77777777" w:rsidTr="006254DE">
        <w:tc>
          <w:tcPr>
            <w:tcW w:w="2760" w:type="dxa"/>
            <w:shd w:val="clear" w:color="auto" w:fill="F2F2F2" w:themeFill="background1" w:themeFillShade="F2"/>
          </w:tcPr>
          <w:p w14:paraId="74029C71" w14:textId="77777777" w:rsidR="00E53A9F" w:rsidRDefault="00E53A9F" w:rsidP="007F1094">
            <w:pPr>
              <w:rPr>
                <w:rFonts w:ascii="Arial" w:hAnsi="Arial" w:cs="Arial"/>
                <w:sz w:val="22"/>
                <w:szCs w:val="22"/>
              </w:rPr>
            </w:pPr>
            <w:r>
              <w:rPr>
                <w:rFonts w:ascii="Arial" w:hAnsi="Arial"/>
                <w:sz w:val="22"/>
              </w:rPr>
              <w:t>Target group of job arrangement</w:t>
            </w:r>
          </w:p>
        </w:tc>
        <w:tc>
          <w:tcPr>
            <w:tcW w:w="2117" w:type="dxa"/>
            <w:shd w:val="clear" w:color="auto" w:fill="F2F2F2" w:themeFill="background1" w:themeFillShade="F2"/>
          </w:tcPr>
          <w:p w14:paraId="23389017" w14:textId="77777777" w:rsidR="00E53A9F" w:rsidRDefault="00E53A9F" w:rsidP="007F1094">
            <w:pPr>
              <w:rPr>
                <w:rFonts w:ascii="Arial" w:hAnsi="Arial" w:cs="Arial"/>
                <w:sz w:val="22"/>
                <w:szCs w:val="22"/>
              </w:rPr>
            </w:pPr>
            <w:r>
              <w:rPr>
                <w:rFonts w:ascii="Arial" w:hAnsi="Arial"/>
                <w:sz w:val="22"/>
              </w:rPr>
              <w:t>€ 1.01</w:t>
            </w:r>
          </w:p>
        </w:tc>
        <w:tc>
          <w:tcPr>
            <w:tcW w:w="2512" w:type="dxa"/>
            <w:shd w:val="clear" w:color="auto" w:fill="F2F2F2" w:themeFill="background1" w:themeFillShade="F2"/>
          </w:tcPr>
          <w:p w14:paraId="4BFC91B4" w14:textId="77777777" w:rsidR="00E53A9F" w:rsidRDefault="00E53A9F" w:rsidP="007F1094">
            <w:pPr>
              <w:rPr>
                <w:rFonts w:ascii="Arial" w:hAnsi="Arial" w:cs="Arial"/>
                <w:sz w:val="22"/>
                <w:szCs w:val="22"/>
              </w:rPr>
            </w:pPr>
            <w:r>
              <w:rPr>
                <w:rFonts w:ascii="Arial" w:hAnsi="Arial"/>
                <w:sz w:val="22"/>
              </w:rPr>
              <w:t>€ 2,000</w:t>
            </w:r>
          </w:p>
        </w:tc>
        <w:tc>
          <w:tcPr>
            <w:tcW w:w="1673" w:type="dxa"/>
            <w:shd w:val="clear" w:color="auto" w:fill="F2F2F2" w:themeFill="background1" w:themeFillShade="F2"/>
          </w:tcPr>
          <w:p w14:paraId="336E8DF1" w14:textId="77777777" w:rsidR="00E53A9F" w:rsidRDefault="00E53A9F" w:rsidP="007F1094">
            <w:pPr>
              <w:rPr>
                <w:rFonts w:ascii="Arial" w:hAnsi="Arial" w:cs="Arial"/>
                <w:sz w:val="22"/>
                <w:szCs w:val="22"/>
              </w:rPr>
            </w:pPr>
            <w:r>
              <w:rPr>
                <w:rFonts w:ascii="Arial" w:hAnsi="Arial"/>
                <w:sz w:val="22"/>
              </w:rPr>
              <w:t>No maximum</w:t>
            </w:r>
          </w:p>
        </w:tc>
      </w:tr>
    </w:tbl>
    <w:p w14:paraId="4A8A0422" w14:textId="77777777" w:rsidR="00C256BC" w:rsidRPr="00E91833" w:rsidRDefault="00C256BC" w:rsidP="00432308">
      <w:pPr>
        <w:rPr>
          <w:rFonts w:ascii="Arial" w:hAnsi="Arial" w:cs="Arial"/>
          <w:sz w:val="22"/>
          <w:szCs w:val="22"/>
        </w:rPr>
      </w:pPr>
    </w:p>
    <w:sectPr w:rsidR="00C256BC" w:rsidRPr="00E91833" w:rsidSect="00902446">
      <w:headerReference w:type="even" r:id="rId76"/>
      <w:headerReference w:type="default" r:id="rId77"/>
      <w:footerReference w:type="even" r:id="rId78"/>
      <w:footerReference w:type="default" r:id="rId79"/>
      <w:headerReference w:type="first" r:id="rId80"/>
      <w:pgSz w:w="11906" w:h="16838"/>
      <w:pgMar w:top="226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F9850" w14:textId="77777777" w:rsidR="0047261B" w:rsidRDefault="0047261B">
      <w:r>
        <w:separator/>
      </w:r>
    </w:p>
  </w:endnote>
  <w:endnote w:type="continuationSeparator" w:id="0">
    <w:p w14:paraId="6835B74E" w14:textId="77777777" w:rsidR="0047261B" w:rsidRDefault="0047261B">
      <w:r>
        <w:continuationSeparator/>
      </w:r>
    </w:p>
  </w:endnote>
  <w:endnote w:type="continuationNotice" w:id="1">
    <w:p w14:paraId="1ECF1256" w14:textId="77777777" w:rsidR="0047261B" w:rsidRDefault="004726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55 Roman">
    <w:altName w:val="Century Gothic"/>
    <w:charset w:val="00"/>
    <w:family w:val="swiss"/>
    <w:pitch w:val="variable"/>
    <w:sig w:usb0="00000003" w:usb1="00000000" w:usb2="00000000" w:usb3="00000000" w:csb0="00000001" w:csb1="00000000"/>
  </w:font>
  <w:font w:name="Linotype EuroFont G to P">
    <w:altName w:val="Arial Narrow"/>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66076" w14:textId="77777777" w:rsidR="008609DC" w:rsidRDefault="008609DC" w:rsidP="00FD1F9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DDF67F5" w14:textId="77777777" w:rsidR="008609DC" w:rsidRDefault="008609DC" w:rsidP="00FD1F9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64114" w14:textId="3425A92D" w:rsidR="008609DC" w:rsidRPr="00212BFB" w:rsidRDefault="008609DC" w:rsidP="00FD1F9E">
    <w:pPr>
      <w:pStyle w:val="Voettekst"/>
      <w:framePr w:wrap="around" w:vAnchor="text" w:hAnchor="margin" w:xAlign="right" w:y="1"/>
      <w:rPr>
        <w:rStyle w:val="Paginanummer"/>
        <w:rFonts w:ascii="Arial" w:hAnsi="Arial" w:cs="Arial"/>
        <w:sz w:val="16"/>
        <w:szCs w:val="16"/>
      </w:rPr>
    </w:pPr>
  </w:p>
  <w:tbl>
    <w:tblPr>
      <w:tblW w:w="0" w:type="auto"/>
      <w:tblLook w:val="00A0" w:firstRow="1" w:lastRow="0" w:firstColumn="1" w:lastColumn="0" w:noHBand="0" w:noVBand="0"/>
    </w:tblPr>
    <w:tblGrid>
      <w:gridCol w:w="7797"/>
      <w:gridCol w:w="1275"/>
    </w:tblGrid>
    <w:tr w:rsidR="008609DC" w:rsidRPr="004A3A57" w14:paraId="221C3382" w14:textId="77777777" w:rsidTr="006009D4">
      <w:tc>
        <w:tcPr>
          <w:tcW w:w="7797" w:type="dxa"/>
        </w:tcPr>
        <w:p w14:paraId="5D8B8D1B" w14:textId="24F861E7" w:rsidR="008609DC" w:rsidRPr="004A3A57" w:rsidRDefault="00124C12" w:rsidP="006009D4">
          <w:pPr>
            <w:pStyle w:val="Plattetekst"/>
            <w:spacing w:line="360" w:lineRule="auto"/>
            <w:ind w:right="-42"/>
            <w:jc w:val="center"/>
            <w:rPr>
              <w:rFonts w:ascii="Arial" w:hAnsi="Arial" w:cs="Arial"/>
              <w:spacing w:val="-4"/>
              <w:sz w:val="16"/>
            </w:rPr>
          </w:pPr>
          <w:r>
            <w:rPr>
              <w:rFonts w:ascii="Arial" w:hAnsi="Arial"/>
              <w:sz w:val="16"/>
            </w:rPr>
            <w:t>2026 Payroll Special</w:t>
          </w:r>
        </w:p>
      </w:tc>
      <w:tc>
        <w:tcPr>
          <w:tcW w:w="1275" w:type="dxa"/>
        </w:tcPr>
        <w:p w14:paraId="4DB133C7" w14:textId="4D8A9511" w:rsidR="008609DC" w:rsidRPr="004A3A57" w:rsidRDefault="008609DC" w:rsidP="006009D4">
          <w:pPr>
            <w:pStyle w:val="Plattetekst"/>
            <w:spacing w:line="360" w:lineRule="auto"/>
            <w:ind w:right="-42"/>
            <w:rPr>
              <w:rFonts w:ascii="Arial" w:hAnsi="Arial" w:cs="Arial"/>
              <w:spacing w:val="-4"/>
              <w:sz w:val="16"/>
            </w:rPr>
          </w:pPr>
          <w:r>
            <w:rPr>
              <w:rFonts w:ascii="Arial" w:hAnsi="Arial"/>
              <w:sz w:val="16"/>
            </w:rPr>
            <w:t xml:space="preserve">Page </w:t>
          </w:r>
          <w:r w:rsidRPr="004A3A57">
            <w:rPr>
              <w:rFonts w:ascii="Arial" w:hAnsi="Arial" w:cs="Arial"/>
              <w:sz w:val="16"/>
            </w:rPr>
            <w:fldChar w:fldCharType="begin"/>
          </w:r>
          <w:r w:rsidRPr="004A3A57">
            <w:rPr>
              <w:rFonts w:ascii="Arial" w:hAnsi="Arial" w:cs="Arial"/>
              <w:sz w:val="16"/>
            </w:rPr>
            <w:instrText xml:space="preserve"> PAGE </w:instrText>
          </w:r>
          <w:r w:rsidRPr="004A3A57">
            <w:rPr>
              <w:rFonts w:ascii="Arial" w:hAnsi="Arial" w:cs="Arial"/>
              <w:sz w:val="16"/>
            </w:rPr>
            <w:fldChar w:fldCharType="separate"/>
          </w:r>
          <w:r w:rsidR="00BF2C04">
            <w:rPr>
              <w:rFonts w:ascii="Arial" w:hAnsi="Arial" w:cs="Arial"/>
              <w:sz w:val="16"/>
            </w:rPr>
            <w:t>8</w:t>
          </w:r>
          <w:r w:rsidRPr="004A3A57">
            <w:rPr>
              <w:rFonts w:ascii="Arial" w:hAnsi="Arial" w:cs="Arial"/>
              <w:sz w:val="16"/>
            </w:rPr>
            <w:fldChar w:fldCharType="end"/>
          </w:r>
          <w:r>
            <w:rPr>
              <w:rFonts w:ascii="Arial" w:hAnsi="Arial"/>
              <w:sz w:val="16"/>
            </w:rPr>
            <w:t xml:space="preserve"> of </w:t>
          </w:r>
          <w:r w:rsidRPr="004A3A57">
            <w:rPr>
              <w:rFonts w:ascii="Arial" w:hAnsi="Arial" w:cs="Arial"/>
              <w:sz w:val="16"/>
            </w:rPr>
            <w:fldChar w:fldCharType="begin"/>
          </w:r>
          <w:r w:rsidRPr="004A3A57">
            <w:rPr>
              <w:rFonts w:ascii="Arial" w:hAnsi="Arial" w:cs="Arial"/>
              <w:sz w:val="16"/>
            </w:rPr>
            <w:instrText xml:space="preserve"> NUMPAGES </w:instrText>
          </w:r>
          <w:r w:rsidRPr="004A3A57">
            <w:rPr>
              <w:rFonts w:ascii="Arial" w:hAnsi="Arial" w:cs="Arial"/>
              <w:sz w:val="16"/>
            </w:rPr>
            <w:fldChar w:fldCharType="separate"/>
          </w:r>
          <w:r w:rsidR="00BF2C04">
            <w:rPr>
              <w:rFonts w:ascii="Arial" w:hAnsi="Arial" w:cs="Arial"/>
              <w:sz w:val="16"/>
            </w:rPr>
            <w:t>8</w:t>
          </w:r>
          <w:r w:rsidRPr="004A3A57">
            <w:rPr>
              <w:rFonts w:ascii="Arial" w:hAnsi="Arial" w:cs="Arial"/>
              <w:sz w:val="16"/>
            </w:rPr>
            <w:fldChar w:fldCharType="end"/>
          </w:r>
        </w:p>
      </w:tc>
    </w:tr>
  </w:tbl>
  <w:p w14:paraId="2EF0D061" w14:textId="77777777" w:rsidR="008609DC" w:rsidRDefault="008609DC" w:rsidP="008658F9">
    <w:pPr>
      <w:pStyle w:val="Voettekst"/>
      <w:tabs>
        <w:tab w:val="clear" w:pos="4536"/>
        <w:tab w:val="clear" w:pos="9072"/>
        <w:tab w:val="left" w:pos="183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468A8" w14:textId="77777777" w:rsidR="0047261B" w:rsidRDefault="0047261B">
      <w:r>
        <w:separator/>
      </w:r>
    </w:p>
  </w:footnote>
  <w:footnote w:type="continuationSeparator" w:id="0">
    <w:p w14:paraId="5AE313A9" w14:textId="77777777" w:rsidR="0047261B" w:rsidRDefault="0047261B">
      <w:r>
        <w:continuationSeparator/>
      </w:r>
    </w:p>
  </w:footnote>
  <w:footnote w:type="continuationNotice" w:id="1">
    <w:p w14:paraId="53239A40" w14:textId="77777777" w:rsidR="0047261B" w:rsidRDefault="004726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9DB7B" w14:textId="77777777" w:rsidR="008609DC" w:rsidRDefault="00B15B01">
    <w:pPr>
      <w:pStyle w:val="Koptekst"/>
    </w:pPr>
    <w:r>
      <w:pict w14:anchorId="7A3167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26" type="#_x0000_t136" style="position:absolute;margin-left:0;margin-top:0;width:497.4pt;height:142.1pt;rotation:315;z-index:-251658239;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9D197" w14:textId="691633A1" w:rsidR="00E07F75" w:rsidRDefault="00AD4A6B" w:rsidP="004168F6">
    <w:pPr>
      <w:pStyle w:val="Koptekst"/>
      <w:tabs>
        <w:tab w:val="clear" w:pos="4536"/>
        <w:tab w:val="clear" w:pos="9072"/>
      </w:tabs>
      <w:jc w:val="right"/>
      <w:rPr>
        <w:rFonts w:cs="Arial"/>
        <w:sz w:val="16"/>
        <w:szCs w:val="16"/>
      </w:rPr>
    </w:pPr>
    <w:r>
      <w:rPr>
        <w:noProof/>
      </w:rPr>
      <w:drawing>
        <wp:anchor distT="0" distB="0" distL="114300" distR="114300" simplePos="0" relativeHeight="251658242" behindDoc="0" locked="0" layoutInCell="1" allowOverlap="1" wp14:anchorId="54563DF6" wp14:editId="0632E209">
          <wp:simplePos x="0" y="0"/>
          <wp:positionH relativeFrom="column">
            <wp:align>left</wp:align>
          </wp:positionH>
          <wp:positionV relativeFrom="page">
            <wp:posOffset>482600</wp:posOffset>
          </wp:positionV>
          <wp:extent cx="718820" cy="599440"/>
          <wp:effectExtent l="0" t="0" r="0" b="0"/>
          <wp:wrapNone/>
          <wp:docPr id="623852984" name="Afbeelding 623852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8820" cy="5994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AA69DF" w14:textId="77777777" w:rsidR="008609DC" w:rsidRPr="00E07F75" w:rsidRDefault="008609DC" w:rsidP="00E07F7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05C47" w14:textId="77777777" w:rsidR="008609DC" w:rsidRDefault="00B15B01">
    <w:pPr>
      <w:pStyle w:val="Koptekst"/>
    </w:pPr>
    <w:r>
      <w:pict w14:anchorId="0B93D9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25" type="#_x0000_t136" style="position:absolute;margin-left:0;margin-top:0;width:497.4pt;height:142.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CBC59BA"/>
    <w:lvl w:ilvl="0">
      <w:start w:val="1"/>
      <w:numFmt w:val="bullet"/>
      <w:pStyle w:val="Lijstopsomteken"/>
      <w:lvlText w:val=""/>
      <w:lvlJc w:val="left"/>
      <w:pPr>
        <w:tabs>
          <w:tab w:val="num" w:pos="4318"/>
        </w:tabs>
        <w:ind w:left="4318" w:hanging="360"/>
      </w:pPr>
      <w:rPr>
        <w:rFonts w:ascii="Symbol" w:hAnsi="Symbol" w:hint="default"/>
      </w:rPr>
    </w:lvl>
  </w:abstractNum>
  <w:abstractNum w:abstractNumId="1" w15:restartNumberingAfterBreak="0">
    <w:nsid w:val="01FB29D4"/>
    <w:multiLevelType w:val="hybridMultilevel"/>
    <w:tmpl w:val="7812AEB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26C2350"/>
    <w:multiLevelType w:val="hybridMultilevel"/>
    <w:tmpl w:val="9D5A1A80"/>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5897A6C"/>
    <w:multiLevelType w:val="hybridMultilevel"/>
    <w:tmpl w:val="BA781D12"/>
    <w:lvl w:ilvl="0" w:tplc="04130005">
      <w:start w:val="1"/>
      <w:numFmt w:val="bullet"/>
      <w:lvlText w:val=""/>
      <w:lvlJc w:val="left"/>
      <w:pPr>
        <w:ind w:left="780" w:hanging="360"/>
      </w:pPr>
      <w:rPr>
        <w:rFonts w:ascii="Wingdings" w:hAnsi="Wingdings"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4" w15:restartNumberingAfterBreak="0">
    <w:nsid w:val="06814323"/>
    <w:multiLevelType w:val="multilevel"/>
    <w:tmpl w:val="50EAB50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5" w15:restartNumberingAfterBreak="0">
    <w:nsid w:val="09C87951"/>
    <w:multiLevelType w:val="singleLevel"/>
    <w:tmpl w:val="04130001"/>
    <w:lvl w:ilvl="0">
      <w:start w:val="1"/>
      <w:numFmt w:val="bullet"/>
      <w:lvlText w:val=""/>
      <w:lvlJc w:val="left"/>
      <w:pPr>
        <w:ind w:left="720" w:hanging="360"/>
      </w:pPr>
      <w:rPr>
        <w:rFonts w:ascii="Symbol" w:hAnsi="Symbol" w:hint="default"/>
      </w:rPr>
    </w:lvl>
  </w:abstractNum>
  <w:abstractNum w:abstractNumId="6" w15:restartNumberingAfterBreak="0">
    <w:nsid w:val="1E462B67"/>
    <w:multiLevelType w:val="hybridMultilevel"/>
    <w:tmpl w:val="7AC8DB54"/>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ED20370"/>
    <w:multiLevelType w:val="hybridMultilevel"/>
    <w:tmpl w:val="F83246CE"/>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2219546D"/>
    <w:multiLevelType w:val="hybridMultilevel"/>
    <w:tmpl w:val="D6F61974"/>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2B1B604C"/>
    <w:multiLevelType w:val="hybridMultilevel"/>
    <w:tmpl w:val="13B0B410"/>
    <w:lvl w:ilvl="0" w:tplc="0413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2C363CEE"/>
    <w:multiLevelType w:val="hybridMultilevel"/>
    <w:tmpl w:val="A95CABB6"/>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2D722367"/>
    <w:multiLevelType w:val="hybridMultilevel"/>
    <w:tmpl w:val="BA2EF748"/>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2E924FD2"/>
    <w:multiLevelType w:val="hybridMultilevel"/>
    <w:tmpl w:val="E1B43B1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37A27DBF"/>
    <w:multiLevelType w:val="multilevel"/>
    <w:tmpl w:val="DDAA499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398F5F42"/>
    <w:multiLevelType w:val="hybridMultilevel"/>
    <w:tmpl w:val="74B4A0DC"/>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3B056132"/>
    <w:multiLevelType w:val="multilevel"/>
    <w:tmpl w:val="6688F716"/>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3C6703B0"/>
    <w:multiLevelType w:val="hybridMultilevel"/>
    <w:tmpl w:val="91F044A8"/>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3E7A1BEE"/>
    <w:multiLevelType w:val="singleLevel"/>
    <w:tmpl w:val="04130005"/>
    <w:lvl w:ilvl="0">
      <w:start w:val="1"/>
      <w:numFmt w:val="bullet"/>
      <w:lvlText w:val=""/>
      <w:lvlJc w:val="left"/>
      <w:pPr>
        <w:ind w:left="360" w:hanging="360"/>
      </w:pPr>
      <w:rPr>
        <w:rFonts w:ascii="Wingdings" w:hAnsi="Wingdings" w:hint="default"/>
      </w:rPr>
    </w:lvl>
  </w:abstractNum>
  <w:abstractNum w:abstractNumId="18" w15:restartNumberingAfterBreak="0">
    <w:nsid w:val="3E9C26D9"/>
    <w:multiLevelType w:val="multilevel"/>
    <w:tmpl w:val="E0EA2F6A"/>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3FA56B40"/>
    <w:multiLevelType w:val="hybridMultilevel"/>
    <w:tmpl w:val="C2D4DA06"/>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40B21D9E"/>
    <w:multiLevelType w:val="hybridMultilevel"/>
    <w:tmpl w:val="5A6669FE"/>
    <w:lvl w:ilvl="0" w:tplc="66A8B07A">
      <w:start w:val="1"/>
      <w:numFmt w:val="decimal"/>
      <w:lvlText w:val="%1"/>
      <w:lvlJc w:val="left"/>
      <w:pPr>
        <w:ind w:left="720" w:hanging="360"/>
      </w:pPr>
      <w:rPr>
        <w:rFonts w:hint="default"/>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64A4955"/>
    <w:multiLevelType w:val="hybridMultilevel"/>
    <w:tmpl w:val="F7A63B04"/>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46E91D00"/>
    <w:multiLevelType w:val="hybridMultilevel"/>
    <w:tmpl w:val="F716CEAC"/>
    <w:lvl w:ilvl="0" w:tplc="04130005">
      <w:start w:val="1"/>
      <w:numFmt w:val="bullet"/>
      <w:lvlText w:val=""/>
      <w:lvlJc w:val="left"/>
      <w:pPr>
        <w:ind w:left="360" w:hanging="360"/>
      </w:pPr>
      <w:rPr>
        <w:rFonts w:ascii="Wingdings" w:hAnsi="Wingdings" w:hint="default"/>
      </w:rPr>
    </w:lvl>
    <w:lvl w:ilvl="1" w:tplc="61F0ADB6">
      <w:numFmt w:val="bullet"/>
      <w:lvlText w:val="•"/>
      <w:lvlJc w:val="left"/>
      <w:pPr>
        <w:ind w:left="1080" w:hanging="360"/>
      </w:pPr>
      <w:rPr>
        <w:rFonts w:ascii="Arial" w:eastAsia="Times New Roman" w:hAnsi="Arial" w:cs="Aria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492839A1"/>
    <w:multiLevelType w:val="hybridMultilevel"/>
    <w:tmpl w:val="AEDCC2A6"/>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49E231CA"/>
    <w:multiLevelType w:val="multilevel"/>
    <w:tmpl w:val="31260780"/>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4C6E663E"/>
    <w:multiLevelType w:val="hybridMultilevel"/>
    <w:tmpl w:val="D5DC05C8"/>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57871B4F"/>
    <w:multiLevelType w:val="multilevel"/>
    <w:tmpl w:val="0D0AA038"/>
    <w:lvl w:ilvl="0">
      <w:start w:val="1"/>
      <w:numFmt w:val="decimal"/>
      <w:pStyle w:val="Kop1"/>
      <w:lvlText w:val="%1"/>
      <w:lvlJc w:val="left"/>
      <w:pPr>
        <w:tabs>
          <w:tab w:val="num" w:pos="4543"/>
        </w:tabs>
        <w:ind w:left="0" w:firstLine="0"/>
      </w:pPr>
      <w:rPr>
        <w:rFonts w:hint="default"/>
      </w:rPr>
    </w:lvl>
    <w:lvl w:ilvl="1">
      <w:start w:val="1"/>
      <w:numFmt w:val="decimal"/>
      <w:pStyle w:val="Kop2"/>
      <w:lvlText w:val="%1.%2"/>
      <w:lvlJc w:val="left"/>
      <w:pPr>
        <w:ind w:left="283" w:firstLine="0"/>
      </w:pPr>
      <w:rPr>
        <w:rFonts w:hint="default"/>
        <w:sz w:val="24"/>
        <w:szCs w:val="24"/>
      </w:rPr>
    </w:lvl>
    <w:lvl w:ilvl="2">
      <w:start w:val="1"/>
      <w:numFmt w:val="decimal"/>
      <w:pStyle w:val="Kop3"/>
      <w:lvlText w:val="%1.%2.%3"/>
      <w:lvlJc w:val="left"/>
      <w:pPr>
        <w:tabs>
          <w:tab w:val="num" w:pos="1260"/>
        </w:tabs>
        <w:ind w:left="126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89E6324"/>
    <w:multiLevelType w:val="multilevel"/>
    <w:tmpl w:val="679A0D90"/>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59931DF9"/>
    <w:multiLevelType w:val="hybridMultilevel"/>
    <w:tmpl w:val="BD9818AA"/>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5D35136A"/>
    <w:multiLevelType w:val="hybridMultilevel"/>
    <w:tmpl w:val="C3A64B92"/>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5FEF11AC"/>
    <w:multiLevelType w:val="singleLevel"/>
    <w:tmpl w:val="04130005"/>
    <w:lvl w:ilvl="0">
      <w:start w:val="1"/>
      <w:numFmt w:val="bullet"/>
      <w:lvlText w:val=""/>
      <w:lvlJc w:val="left"/>
      <w:pPr>
        <w:ind w:left="360" w:hanging="360"/>
      </w:pPr>
      <w:rPr>
        <w:rFonts w:ascii="Wingdings" w:hAnsi="Wingdings" w:hint="default"/>
      </w:rPr>
    </w:lvl>
  </w:abstractNum>
  <w:abstractNum w:abstractNumId="31" w15:restartNumberingAfterBreak="0">
    <w:nsid w:val="60055BB4"/>
    <w:multiLevelType w:val="hybridMultilevel"/>
    <w:tmpl w:val="7E70099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632C5AD7"/>
    <w:multiLevelType w:val="hybridMultilevel"/>
    <w:tmpl w:val="C60A112E"/>
    <w:lvl w:ilvl="0" w:tplc="04130005">
      <w:start w:val="1"/>
      <w:numFmt w:val="bullet"/>
      <w:lvlText w:val=""/>
      <w:lvlJc w:val="left"/>
      <w:pPr>
        <w:ind w:left="360" w:hanging="360"/>
      </w:pPr>
      <w:rPr>
        <w:rFonts w:ascii="Wingdings" w:hAnsi="Wingdings" w:hint="default"/>
      </w:rPr>
    </w:lvl>
    <w:lvl w:ilvl="1" w:tplc="04130005">
      <w:start w:val="1"/>
      <w:numFmt w:val="bullet"/>
      <w:lvlText w:val=""/>
      <w:lvlJc w:val="left"/>
      <w:pPr>
        <w:ind w:left="1080" w:hanging="360"/>
      </w:pPr>
      <w:rPr>
        <w:rFonts w:ascii="Wingdings" w:hAnsi="Wingding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64C77988"/>
    <w:multiLevelType w:val="hybridMultilevel"/>
    <w:tmpl w:val="681C704E"/>
    <w:lvl w:ilvl="0" w:tplc="04130005">
      <w:start w:val="1"/>
      <w:numFmt w:val="bullet"/>
      <w:lvlText w:val=""/>
      <w:lvlJc w:val="left"/>
      <w:pPr>
        <w:ind w:left="360" w:hanging="360"/>
      </w:pPr>
      <w:rPr>
        <w:rFonts w:ascii="Wingdings" w:hAnsi="Wingdings" w:hint="default"/>
      </w:rPr>
    </w:lvl>
    <w:lvl w:ilvl="1" w:tplc="04130001">
      <w:start w:val="1"/>
      <w:numFmt w:val="bullet"/>
      <w:lvlText w:val=""/>
      <w:lvlJc w:val="left"/>
      <w:pPr>
        <w:ind w:left="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6CC458FE"/>
    <w:multiLevelType w:val="hybridMultilevel"/>
    <w:tmpl w:val="18AE3112"/>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6DD0112B"/>
    <w:multiLevelType w:val="multilevel"/>
    <w:tmpl w:val="669CF1A4"/>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6F06158E"/>
    <w:multiLevelType w:val="hybridMultilevel"/>
    <w:tmpl w:val="3D86BC7C"/>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6F847D04"/>
    <w:multiLevelType w:val="hybridMultilevel"/>
    <w:tmpl w:val="63509350"/>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72D52D58"/>
    <w:multiLevelType w:val="hybridMultilevel"/>
    <w:tmpl w:val="3D8468F6"/>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7AAE3B13"/>
    <w:multiLevelType w:val="hybridMultilevel"/>
    <w:tmpl w:val="55F2ABCA"/>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7EB8387F"/>
    <w:multiLevelType w:val="hybridMultilevel"/>
    <w:tmpl w:val="226ABAEC"/>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912737335">
    <w:abstractNumId w:val="26"/>
  </w:num>
  <w:num w:numId="2" w16cid:durableId="534119097">
    <w:abstractNumId w:val="0"/>
  </w:num>
  <w:num w:numId="3" w16cid:durableId="1060636804">
    <w:abstractNumId w:val="33"/>
  </w:num>
  <w:num w:numId="4" w16cid:durableId="1611084546">
    <w:abstractNumId w:val="1"/>
  </w:num>
  <w:num w:numId="5" w16cid:durableId="707952549">
    <w:abstractNumId w:val="17"/>
  </w:num>
  <w:num w:numId="6" w16cid:durableId="1378508425">
    <w:abstractNumId w:val="5"/>
  </w:num>
  <w:num w:numId="7" w16cid:durableId="658458309">
    <w:abstractNumId w:val="30"/>
  </w:num>
  <w:num w:numId="8" w16cid:durableId="1658149810">
    <w:abstractNumId w:val="26"/>
    <w:lvlOverride w:ilvl="0">
      <w:startOverride w:val="1"/>
    </w:lvlOverride>
    <w:lvlOverride w:ilvl="1">
      <w:startOverride w:val="4"/>
    </w:lvlOverride>
  </w:num>
  <w:num w:numId="9" w16cid:durableId="201982922">
    <w:abstractNumId w:val="4"/>
  </w:num>
  <w:num w:numId="10" w16cid:durableId="1253323153">
    <w:abstractNumId w:val="20"/>
  </w:num>
  <w:num w:numId="11" w16cid:durableId="1437873325">
    <w:abstractNumId w:val="3"/>
  </w:num>
  <w:num w:numId="12" w16cid:durableId="120341383">
    <w:abstractNumId w:val="22"/>
  </w:num>
  <w:num w:numId="13" w16cid:durableId="193690411">
    <w:abstractNumId w:val="27"/>
  </w:num>
  <w:num w:numId="14" w16cid:durableId="1065028524">
    <w:abstractNumId w:val="36"/>
  </w:num>
  <w:num w:numId="15" w16cid:durableId="1881626918">
    <w:abstractNumId w:val="18"/>
  </w:num>
  <w:num w:numId="16" w16cid:durableId="1397626147">
    <w:abstractNumId w:val="24"/>
  </w:num>
  <w:num w:numId="17" w16cid:durableId="111023066">
    <w:abstractNumId w:val="14"/>
  </w:num>
  <w:num w:numId="18" w16cid:durableId="807163345">
    <w:abstractNumId w:val="38"/>
  </w:num>
  <w:num w:numId="19" w16cid:durableId="1774282792">
    <w:abstractNumId w:val="6"/>
  </w:num>
  <w:num w:numId="20" w16cid:durableId="1364089401">
    <w:abstractNumId w:val="40"/>
  </w:num>
  <w:num w:numId="21" w16cid:durableId="1776749891">
    <w:abstractNumId w:val="32"/>
  </w:num>
  <w:num w:numId="22" w16cid:durableId="826089228">
    <w:abstractNumId w:val="16"/>
  </w:num>
  <w:num w:numId="23" w16cid:durableId="1945067279">
    <w:abstractNumId w:val="13"/>
  </w:num>
  <w:num w:numId="24" w16cid:durableId="1495729195">
    <w:abstractNumId w:val="2"/>
  </w:num>
  <w:num w:numId="25" w16cid:durableId="1872061545">
    <w:abstractNumId w:val="28"/>
  </w:num>
  <w:num w:numId="26" w16cid:durableId="1542744160">
    <w:abstractNumId w:val="37"/>
  </w:num>
  <w:num w:numId="27" w16cid:durableId="1436364373">
    <w:abstractNumId w:val="12"/>
  </w:num>
  <w:num w:numId="28" w16cid:durableId="1084103982">
    <w:abstractNumId w:val="7"/>
  </w:num>
  <w:num w:numId="29" w16cid:durableId="1503933492">
    <w:abstractNumId w:val="29"/>
  </w:num>
  <w:num w:numId="30" w16cid:durableId="1448769585">
    <w:abstractNumId w:val="25"/>
  </w:num>
  <w:num w:numId="31" w16cid:durableId="40250811">
    <w:abstractNumId w:val="10"/>
  </w:num>
  <w:num w:numId="32" w16cid:durableId="467357356">
    <w:abstractNumId w:val="34"/>
  </w:num>
  <w:num w:numId="33" w16cid:durableId="1758749028">
    <w:abstractNumId w:val="39"/>
  </w:num>
  <w:num w:numId="34" w16cid:durableId="1547067203">
    <w:abstractNumId w:val="23"/>
  </w:num>
  <w:num w:numId="35" w16cid:durableId="1190608969">
    <w:abstractNumId w:val="35"/>
  </w:num>
  <w:num w:numId="36" w16cid:durableId="231504929">
    <w:abstractNumId w:val="21"/>
  </w:num>
  <w:num w:numId="37" w16cid:durableId="1437292004">
    <w:abstractNumId w:val="15"/>
  </w:num>
  <w:num w:numId="38" w16cid:durableId="1041590801">
    <w:abstractNumId w:val="31"/>
  </w:num>
  <w:num w:numId="39" w16cid:durableId="1493984166">
    <w:abstractNumId w:val="8"/>
  </w:num>
  <w:num w:numId="40" w16cid:durableId="892541847">
    <w:abstractNumId w:val="11"/>
  </w:num>
  <w:num w:numId="41" w16cid:durableId="1478911417">
    <w:abstractNumId w:val="19"/>
  </w:num>
  <w:num w:numId="42" w16cid:durableId="202333737">
    <w:abstractNumId w:val="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DA2"/>
    <w:rsid w:val="00000729"/>
    <w:rsid w:val="00001081"/>
    <w:rsid w:val="00001A5F"/>
    <w:rsid w:val="00001F2B"/>
    <w:rsid w:val="00002A34"/>
    <w:rsid w:val="00003E7C"/>
    <w:rsid w:val="000056F7"/>
    <w:rsid w:val="00005A0C"/>
    <w:rsid w:val="000065F4"/>
    <w:rsid w:val="00006CE0"/>
    <w:rsid w:val="00007D47"/>
    <w:rsid w:val="00007D4A"/>
    <w:rsid w:val="00007E65"/>
    <w:rsid w:val="00007EC8"/>
    <w:rsid w:val="00007EFC"/>
    <w:rsid w:val="000104F8"/>
    <w:rsid w:val="00011614"/>
    <w:rsid w:val="000118BB"/>
    <w:rsid w:val="000127C8"/>
    <w:rsid w:val="0001320B"/>
    <w:rsid w:val="0001335D"/>
    <w:rsid w:val="00013549"/>
    <w:rsid w:val="00013787"/>
    <w:rsid w:val="00014137"/>
    <w:rsid w:val="0001416B"/>
    <w:rsid w:val="00014189"/>
    <w:rsid w:val="00015195"/>
    <w:rsid w:val="00015854"/>
    <w:rsid w:val="00016310"/>
    <w:rsid w:val="000166A3"/>
    <w:rsid w:val="00016CC4"/>
    <w:rsid w:val="000174C0"/>
    <w:rsid w:val="00017914"/>
    <w:rsid w:val="00017AB0"/>
    <w:rsid w:val="00020C14"/>
    <w:rsid w:val="00020E08"/>
    <w:rsid w:val="0002104E"/>
    <w:rsid w:val="000211F8"/>
    <w:rsid w:val="00022057"/>
    <w:rsid w:val="000220A1"/>
    <w:rsid w:val="00022A14"/>
    <w:rsid w:val="00022BA3"/>
    <w:rsid w:val="00022FE7"/>
    <w:rsid w:val="0002305B"/>
    <w:rsid w:val="000235B9"/>
    <w:rsid w:val="00023F78"/>
    <w:rsid w:val="00024F0F"/>
    <w:rsid w:val="000253F6"/>
    <w:rsid w:val="0002595E"/>
    <w:rsid w:val="00025C0B"/>
    <w:rsid w:val="00025FDE"/>
    <w:rsid w:val="000262F6"/>
    <w:rsid w:val="00026D2B"/>
    <w:rsid w:val="000279E7"/>
    <w:rsid w:val="000300EF"/>
    <w:rsid w:val="00030607"/>
    <w:rsid w:val="00030704"/>
    <w:rsid w:val="00030DA8"/>
    <w:rsid w:val="0003125E"/>
    <w:rsid w:val="00031B11"/>
    <w:rsid w:val="0003214F"/>
    <w:rsid w:val="00032BC5"/>
    <w:rsid w:val="0003397D"/>
    <w:rsid w:val="00034338"/>
    <w:rsid w:val="00034B1C"/>
    <w:rsid w:val="00035503"/>
    <w:rsid w:val="00035560"/>
    <w:rsid w:val="00035775"/>
    <w:rsid w:val="00035C9A"/>
    <w:rsid w:val="000368A1"/>
    <w:rsid w:val="00036C01"/>
    <w:rsid w:val="000377E2"/>
    <w:rsid w:val="00037B20"/>
    <w:rsid w:val="0004000E"/>
    <w:rsid w:val="00040993"/>
    <w:rsid w:val="00040A1D"/>
    <w:rsid w:val="00040BCC"/>
    <w:rsid w:val="00040F08"/>
    <w:rsid w:val="000411B7"/>
    <w:rsid w:val="00041996"/>
    <w:rsid w:val="00042370"/>
    <w:rsid w:val="0004248F"/>
    <w:rsid w:val="00042B04"/>
    <w:rsid w:val="0004344F"/>
    <w:rsid w:val="0004361D"/>
    <w:rsid w:val="00043698"/>
    <w:rsid w:val="000437C9"/>
    <w:rsid w:val="000439A6"/>
    <w:rsid w:val="000443B8"/>
    <w:rsid w:val="00044D95"/>
    <w:rsid w:val="00044FCC"/>
    <w:rsid w:val="0004571D"/>
    <w:rsid w:val="000459BB"/>
    <w:rsid w:val="00045E0E"/>
    <w:rsid w:val="0004639E"/>
    <w:rsid w:val="00046ADC"/>
    <w:rsid w:val="00046E78"/>
    <w:rsid w:val="00046F92"/>
    <w:rsid w:val="000471B4"/>
    <w:rsid w:val="000478DD"/>
    <w:rsid w:val="00047B49"/>
    <w:rsid w:val="00047C52"/>
    <w:rsid w:val="00050384"/>
    <w:rsid w:val="00050759"/>
    <w:rsid w:val="00050DEF"/>
    <w:rsid w:val="00051275"/>
    <w:rsid w:val="00052303"/>
    <w:rsid w:val="00052B85"/>
    <w:rsid w:val="0005358B"/>
    <w:rsid w:val="000536FC"/>
    <w:rsid w:val="00054A44"/>
    <w:rsid w:val="00054BF1"/>
    <w:rsid w:val="00055448"/>
    <w:rsid w:val="00055479"/>
    <w:rsid w:val="00055E7C"/>
    <w:rsid w:val="000568DC"/>
    <w:rsid w:val="000570EF"/>
    <w:rsid w:val="00057BCB"/>
    <w:rsid w:val="00060F16"/>
    <w:rsid w:val="00061831"/>
    <w:rsid w:val="000619B7"/>
    <w:rsid w:val="00061A4F"/>
    <w:rsid w:val="000623D5"/>
    <w:rsid w:val="00062587"/>
    <w:rsid w:val="00062CD4"/>
    <w:rsid w:val="0006430B"/>
    <w:rsid w:val="00064EE7"/>
    <w:rsid w:val="00065440"/>
    <w:rsid w:val="00065801"/>
    <w:rsid w:val="00066557"/>
    <w:rsid w:val="00067A51"/>
    <w:rsid w:val="00067FD6"/>
    <w:rsid w:val="00070637"/>
    <w:rsid w:val="000707AD"/>
    <w:rsid w:val="00072B41"/>
    <w:rsid w:val="00072DFB"/>
    <w:rsid w:val="000733B1"/>
    <w:rsid w:val="00073C51"/>
    <w:rsid w:val="000741CA"/>
    <w:rsid w:val="000747D7"/>
    <w:rsid w:val="0007593D"/>
    <w:rsid w:val="00075B4A"/>
    <w:rsid w:val="00076650"/>
    <w:rsid w:val="0007683C"/>
    <w:rsid w:val="00076D3C"/>
    <w:rsid w:val="00077221"/>
    <w:rsid w:val="00080738"/>
    <w:rsid w:val="00080DB7"/>
    <w:rsid w:val="00081382"/>
    <w:rsid w:val="0008150E"/>
    <w:rsid w:val="00081747"/>
    <w:rsid w:val="00081922"/>
    <w:rsid w:val="00081989"/>
    <w:rsid w:val="00081C25"/>
    <w:rsid w:val="00081F1C"/>
    <w:rsid w:val="00083464"/>
    <w:rsid w:val="00083635"/>
    <w:rsid w:val="00083BFA"/>
    <w:rsid w:val="00083FBB"/>
    <w:rsid w:val="000841A8"/>
    <w:rsid w:val="000842EF"/>
    <w:rsid w:val="0008467C"/>
    <w:rsid w:val="00085075"/>
    <w:rsid w:val="00085254"/>
    <w:rsid w:val="00085508"/>
    <w:rsid w:val="000856F1"/>
    <w:rsid w:val="00086493"/>
    <w:rsid w:val="00086DCD"/>
    <w:rsid w:val="000876EF"/>
    <w:rsid w:val="0008772E"/>
    <w:rsid w:val="00090451"/>
    <w:rsid w:val="00090589"/>
    <w:rsid w:val="000907E4"/>
    <w:rsid w:val="000908CA"/>
    <w:rsid w:val="00090DE2"/>
    <w:rsid w:val="00090FDC"/>
    <w:rsid w:val="00091498"/>
    <w:rsid w:val="000918E0"/>
    <w:rsid w:val="00091ED3"/>
    <w:rsid w:val="00092218"/>
    <w:rsid w:val="00092EE2"/>
    <w:rsid w:val="000935D5"/>
    <w:rsid w:val="00094AC3"/>
    <w:rsid w:val="00094E0D"/>
    <w:rsid w:val="00095723"/>
    <w:rsid w:val="00096A25"/>
    <w:rsid w:val="000971A5"/>
    <w:rsid w:val="00097FEB"/>
    <w:rsid w:val="000A0AA4"/>
    <w:rsid w:val="000A0AC9"/>
    <w:rsid w:val="000A0AD4"/>
    <w:rsid w:val="000A18B4"/>
    <w:rsid w:val="000A1B2F"/>
    <w:rsid w:val="000A1C74"/>
    <w:rsid w:val="000A2DCE"/>
    <w:rsid w:val="000A397F"/>
    <w:rsid w:val="000A3D1E"/>
    <w:rsid w:val="000A42DE"/>
    <w:rsid w:val="000A473C"/>
    <w:rsid w:val="000A5103"/>
    <w:rsid w:val="000A5765"/>
    <w:rsid w:val="000A5824"/>
    <w:rsid w:val="000A5CCC"/>
    <w:rsid w:val="000A5D59"/>
    <w:rsid w:val="000A6A8B"/>
    <w:rsid w:val="000A79F7"/>
    <w:rsid w:val="000A7D78"/>
    <w:rsid w:val="000B0C70"/>
    <w:rsid w:val="000B2182"/>
    <w:rsid w:val="000B3243"/>
    <w:rsid w:val="000B3B6F"/>
    <w:rsid w:val="000B4126"/>
    <w:rsid w:val="000B5A56"/>
    <w:rsid w:val="000B64CA"/>
    <w:rsid w:val="000B668D"/>
    <w:rsid w:val="000B6926"/>
    <w:rsid w:val="000B74EF"/>
    <w:rsid w:val="000B7F98"/>
    <w:rsid w:val="000C060E"/>
    <w:rsid w:val="000C0766"/>
    <w:rsid w:val="000C131A"/>
    <w:rsid w:val="000C1443"/>
    <w:rsid w:val="000C24B0"/>
    <w:rsid w:val="000C2522"/>
    <w:rsid w:val="000C2831"/>
    <w:rsid w:val="000C28DA"/>
    <w:rsid w:val="000C29C1"/>
    <w:rsid w:val="000C4F29"/>
    <w:rsid w:val="000C5996"/>
    <w:rsid w:val="000C5C8D"/>
    <w:rsid w:val="000C5E86"/>
    <w:rsid w:val="000C6729"/>
    <w:rsid w:val="000C7A5C"/>
    <w:rsid w:val="000D0427"/>
    <w:rsid w:val="000D049C"/>
    <w:rsid w:val="000D07E9"/>
    <w:rsid w:val="000D086F"/>
    <w:rsid w:val="000D0DCB"/>
    <w:rsid w:val="000D0F21"/>
    <w:rsid w:val="000D12B6"/>
    <w:rsid w:val="000D149B"/>
    <w:rsid w:val="000D203E"/>
    <w:rsid w:val="000D25DB"/>
    <w:rsid w:val="000D27AE"/>
    <w:rsid w:val="000D33D5"/>
    <w:rsid w:val="000D3EBF"/>
    <w:rsid w:val="000D3F1C"/>
    <w:rsid w:val="000D3F8B"/>
    <w:rsid w:val="000D495F"/>
    <w:rsid w:val="000D4B03"/>
    <w:rsid w:val="000D5796"/>
    <w:rsid w:val="000D5A91"/>
    <w:rsid w:val="000D61BC"/>
    <w:rsid w:val="000D6846"/>
    <w:rsid w:val="000D6A6F"/>
    <w:rsid w:val="000D76B6"/>
    <w:rsid w:val="000E0155"/>
    <w:rsid w:val="000E0301"/>
    <w:rsid w:val="000E03EA"/>
    <w:rsid w:val="000E0DEE"/>
    <w:rsid w:val="000E25B9"/>
    <w:rsid w:val="000E2796"/>
    <w:rsid w:val="000E29CB"/>
    <w:rsid w:val="000E2B24"/>
    <w:rsid w:val="000E2F0D"/>
    <w:rsid w:val="000E43EA"/>
    <w:rsid w:val="000E43EE"/>
    <w:rsid w:val="000E5D13"/>
    <w:rsid w:val="000E75FC"/>
    <w:rsid w:val="000E7C77"/>
    <w:rsid w:val="000F25EA"/>
    <w:rsid w:val="000F283E"/>
    <w:rsid w:val="000F33D5"/>
    <w:rsid w:val="000F348E"/>
    <w:rsid w:val="000F374B"/>
    <w:rsid w:val="000F4C5B"/>
    <w:rsid w:val="000F4D21"/>
    <w:rsid w:val="000F4DB1"/>
    <w:rsid w:val="000F590E"/>
    <w:rsid w:val="000F5FD9"/>
    <w:rsid w:val="000F6002"/>
    <w:rsid w:val="000F6975"/>
    <w:rsid w:val="000F6DA0"/>
    <w:rsid w:val="000F783F"/>
    <w:rsid w:val="000F7C05"/>
    <w:rsid w:val="00100E8D"/>
    <w:rsid w:val="0010243E"/>
    <w:rsid w:val="00102803"/>
    <w:rsid w:val="00102954"/>
    <w:rsid w:val="00102E0E"/>
    <w:rsid w:val="001031B1"/>
    <w:rsid w:val="00103355"/>
    <w:rsid w:val="001044D3"/>
    <w:rsid w:val="001047F9"/>
    <w:rsid w:val="00105188"/>
    <w:rsid w:val="00106066"/>
    <w:rsid w:val="0010655E"/>
    <w:rsid w:val="00106F1A"/>
    <w:rsid w:val="001072F6"/>
    <w:rsid w:val="001073BF"/>
    <w:rsid w:val="0010751E"/>
    <w:rsid w:val="001075E6"/>
    <w:rsid w:val="001079B0"/>
    <w:rsid w:val="00107BDB"/>
    <w:rsid w:val="00107F77"/>
    <w:rsid w:val="001100D2"/>
    <w:rsid w:val="001101C2"/>
    <w:rsid w:val="00112F0E"/>
    <w:rsid w:val="00113ADE"/>
    <w:rsid w:val="00113ECD"/>
    <w:rsid w:val="00114B78"/>
    <w:rsid w:val="001152D9"/>
    <w:rsid w:val="00115E28"/>
    <w:rsid w:val="00115F9C"/>
    <w:rsid w:val="0011620F"/>
    <w:rsid w:val="001162DA"/>
    <w:rsid w:val="0011637A"/>
    <w:rsid w:val="00116D23"/>
    <w:rsid w:val="001170E4"/>
    <w:rsid w:val="00117674"/>
    <w:rsid w:val="0011782A"/>
    <w:rsid w:val="00117BE7"/>
    <w:rsid w:val="00117F1F"/>
    <w:rsid w:val="00120129"/>
    <w:rsid w:val="00120A51"/>
    <w:rsid w:val="00120F24"/>
    <w:rsid w:val="00121348"/>
    <w:rsid w:val="00121A7F"/>
    <w:rsid w:val="001222E1"/>
    <w:rsid w:val="00123829"/>
    <w:rsid w:val="001241FA"/>
    <w:rsid w:val="00124B6C"/>
    <w:rsid w:val="00124C12"/>
    <w:rsid w:val="001258A4"/>
    <w:rsid w:val="00125951"/>
    <w:rsid w:val="001263CF"/>
    <w:rsid w:val="001269F7"/>
    <w:rsid w:val="00127142"/>
    <w:rsid w:val="00127505"/>
    <w:rsid w:val="00127D02"/>
    <w:rsid w:val="00130210"/>
    <w:rsid w:val="00130EFE"/>
    <w:rsid w:val="001311E2"/>
    <w:rsid w:val="00131537"/>
    <w:rsid w:val="00131C79"/>
    <w:rsid w:val="001322BC"/>
    <w:rsid w:val="00132437"/>
    <w:rsid w:val="001328E9"/>
    <w:rsid w:val="001331C5"/>
    <w:rsid w:val="00133AA7"/>
    <w:rsid w:val="00133C67"/>
    <w:rsid w:val="00133D6E"/>
    <w:rsid w:val="00133FC3"/>
    <w:rsid w:val="00135326"/>
    <w:rsid w:val="001359A6"/>
    <w:rsid w:val="00135BC7"/>
    <w:rsid w:val="00135F02"/>
    <w:rsid w:val="001365F1"/>
    <w:rsid w:val="00136D21"/>
    <w:rsid w:val="00136F35"/>
    <w:rsid w:val="00137FCC"/>
    <w:rsid w:val="00140279"/>
    <w:rsid w:val="001404FA"/>
    <w:rsid w:val="00140691"/>
    <w:rsid w:val="00140F57"/>
    <w:rsid w:val="001414A8"/>
    <w:rsid w:val="00142A8D"/>
    <w:rsid w:val="0014327A"/>
    <w:rsid w:val="00143286"/>
    <w:rsid w:val="00143682"/>
    <w:rsid w:val="00143C39"/>
    <w:rsid w:val="001440D8"/>
    <w:rsid w:val="00146674"/>
    <w:rsid w:val="0014794E"/>
    <w:rsid w:val="00147A97"/>
    <w:rsid w:val="001501BF"/>
    <w:rsid w:val="00150505"/>
    <w:rsid w:val="00150666"/>
    <w:rsid w:val="001508EA"/>
    <w:rsid w:val="00151639"/>
    <w:rsid w:val="0015163B"/>
    <w:rsid w:val="00151815"/>
    <w:rsid w:val="0015208A"/>
    <w:rsid w:val="00152762"/>
    <w:rsid w:val="00153818"/>
    <w:rsid w:val="0015449E"/>
    <w:rsid w:val="00154A69"/>
    <w:rsid w:val="00155002"/>
    <w:rsid w:val="0015518D"/>
    <w:rsid w:val="00155C9D"/>
    <w:rsid w:val="0015603D"/>
    <w:rsid w:val="00156334"/>
    <w:rsid w:val="00156816"/>
    <w:rsid w:val="00156AD6"/>
    <w:rsid w:val="00157433"/>
    <w:rsid w:val="001577E3"/>
    <w:rsid w:val="00157DCA"/>
    <w:rsid w:val="00157E82"/>
    <w:rsid w:val="0016028B"/>
    <w:rsid w:val="00160539"/>
    <w:rsid w:val="00160803"/>
    <w:rsid w:val="00160945"/>
    <w:rsid w:val="001609BA"/>
    <w:rsid w:val="001609F1"/>
    <w:rsid w:val="00160DBE"/>
    <w:rsid w:val="00161229"/>
    <w:rsid w:val="00161933"/>
    <w:rsid w:val="001619DB"/>
    <w:rsid w:val="00161DA6"/>
    <w:rsid w:val="00161E14"/>
    <w:rsid w:val="00163F96"/>
    <w:rsid w:val="0016491C"/>
    <w:rsid w:val="00164D96"/>
    <w:rsid w:val="00165072"/>
    <w:rsid w:val="00165785"/>
    <w:rsid w:val="001657DF"/>
    <w:rsid w:val="001659ED"/>
    <w:rsid w:val="00165D9E"/>
    <w:rsid w:val="00165FA0"/>
    <w:rsid w:val="00166039"/>
    <w:rsid w:val="00166246"/>
    <w:rsid w:val="0017036F"/>
    <w:rsid w:val="00171CD6"/>
    <w:rsid w:val="0017379E"/>
    <w:rsid w:val="001743D2"/>
    <w:rsid w:val="0017446A"/>
    <w:rsid w:val="001747B4"/>
    <w:rsid w:val="0017488B"/>
    <w:rsid w:val="00174B38"/>
    <w:rsid w:val="00174C31"/>
    <w:rsid w:val="00174E45"/>
    <w:rsid w:val="00175252"/>
    <w:rsid w:val="00176234"/>
    <w:rsid w:val="00176511"/>
    <w:rsid w:val="001809F9"/>
    <w:rsid w:val="00180DAF"/>
    <w:rsid w:val="00182188"/>
    <w:rsid w:val="001827AC"/>
    <w:rsid w:val="00182FA3"/>
    <w:rsid w:val="00183475"/>
    <w:rsid w:val="00183941"/>
    <w:rsid w:val="00183C84"/>
    <w:rsid w:val="00183D16"/>
    <w:rsid w:val="0018419F"/>
    <w:rsid w:val="00184D48"/>
    <w:rsid w:val="00184D98"/>
    <w:rsid w:val="00184E39"/>
    <w:rsid w:val="00185306"/>
    <w:rsid w:val="001855F8"/>
    <w:rsid w:val="001861EE"/>
    <w:rsid w:val="00186698"/>
    <w:rsid w:val="00186D37"/>
    <w:rsid w:val="00186E09"/>
    <w:rsid w:val="0018753D"/>
    <w:rsid w:val="001908CD"/>
    <w:rsid w:val="001914FE"/>
    <w:rsid w:val="001915FC"/>
    <w:rsid w:val="00191D4F"/>
    <w:rsid w:val="00192168"/>
    <w:rsid w:val="00192E8C"/>
    <w:rsid w:val="001949AB"/>
    <w:rsid w:val="00195C5C"/>
    <w:rsid w:val="00196557"/>
    <w:rsid w:val="001966E4"/>
    <w:rsid w:val="00197C32"/>
    <w:rsid w:val="001A01EB"/>
    <w:rsid w:val="001A0ACE"/>
    <w:rsid w:val="001A14E1"/>
    <w:rsid w:val="001A2166"/>
    <w:rsid w:val="001A231B"/>
    <w:rsid w:val="001A26CC"/>
    <w:rsid w:val="001A283E"/>
    <w:rsid w:val="001A2ACF"/>
    <w:rsid w:val="001A31A4"/>
    <w:rsid w:val="001A3570"/>
    <w:rsid w:val="001A36F4"/>
    <w:rsid w:val="001A39C7"/>
    <w:rsid w:val="001A474A"/>
    <w:rsid w:val="001A48E0"/>
    <w:rsid w:val="001A4D0D"/>
    <w:rsid w:val="001A55BF"/>
    <w:rsid w:val="001A56E9"/>
    <w:rsid w:val="001A5C35"/>
    <w:rsid w:val="001A5ED1"/>
    <w:rsid w:val="001A680D"/>
    <w:rsid w:val="001A6CF4"/>
    <w:rsid w:val="001A6D23"/>
    <w:rsid w:val="001A710F"/>
    <w:rsid w:val="001A74F1"/>
    <w:rsid w:val="001A751C"/>
    <w:rsid w:val="001A7ABE"/>
    <w:rsid w:val="001A7B46"/>
    <w:rsid w:val="001A7FAB"/>
    <w:rsid w:val="001B0380"/>
    <w:rsid w:val="001B0393"/>
    <w:rsid w:val="001B040C"/>
    <w:rsid w:val="001B049B"/>
    <w:rsid w:val="001B077D"/>
    <w:rsid w:val="001B0B70"/>
    <w:rsid w:val="001B0CA9"/>
    <w:rsid w:val="001B0F37"/>
    <w:rsid w:val="001B1358"/>
    <w:rsid w:val="001B2218"/>
    <w:rsid w:val="001B236C"/>
    <w:rsid w:val="001B2FE6"/>
    <w:rsid w:val="001B4A55"/>
    <w:rsid w:val="001B4C15"/>
    <w:rsid w:val="001B502C"/>
    <w:rsid w:val="001B5420"/>
    <w:rsid w:val="001B5808"/>
    <w:rsid w:val="001B5AFF"/>
    <w:rsid w:val="001B629D"/>
    <w:rsid w:val="001B73D1"/>
    <w:rsid w:val="001B73F3"/>
    <w:rsid w:val="001B7425"/>
    <w:rsid w:val="001B7557"/>
    <w:rsid w:val="001B7724"/>
    <w:rsid w:val="001C0176"/>
    <w:rsid w:val="001C01EE"/>
    <w:rsid w:val="001C10BE"/>
    <w:rsid w:val="001C1198"/>
    <w:rsid w:val="001C17A6"/>
    <w:rsid w:val="001C1E86"/>
    <w:rsid w:val="001C254C"/>
    <w:rsid w:val="001C27A7"/>
    <w:rsid w:val="001C4291"/>
    <w:rsid w:val="001C536B"/>
    <w:rsid w:val="001C561D"/>
    <w:rsid w:val="001C73B8"/>
    <w:rsid w:val="001D1DC2"/>
    <w:rsid w:val="001D2E49"/>
    <w:rsid w:val="001D30C0"/>
    <w:rsid w:val="001D403B"/>
    <w:rsid w:val="001D4148"/>
    <w:rsid w:val="001D502C"/>
    <w:rsid w:val="001D53CD"/>
    <w:rsid w:val="001D549A"/>
    <w:rsid w:val="001D54D3"/>
    <w:rsid w:val="001D5F1D"/>
    <w:rsid w:val="001D63AD"/>
    <w:rsid w:val="001D68C4"/>
    <w:rsid w:val="001D695F"/>
    <w:rsid w:val="001D6C0C"/>
    <w:rsid w:val="001D6EE4"/>
    <w:rsid w:val="001D7132"/>
    <w:rsid w:val="001D728F"/>
    <w:rsid w:val="001D7713"/>
    <w:rsid w:val="001D77B3"/>
    <w:rsid w:val="001E00BA"/>
    <w:rsid w:val="001E139D"/>
    <w:rsid w:val="001E1510"/>
    <w:rsid w:val="001E18BA"/>
    <w:rsid w:val="001E1C10"/>
    <w:rsid w:val="001E1ECD"/>
    <w:rsid w:val="001E1FB4"/>
    <w:rsid w:val="001E20B5"/>
    <w:rsid w:val="001E2330"/>
    <w:rsid w:val="001E2AD6"/>
    <w:rsid w:val="001E2C3C"/>
    <w:rsid w:val="001E3670"/>
    <w:rsid w:val="001E3732"/>
    <w:rsid w:val="001E4837"/>
    <w:rsid w:val="001E6EB9"/>
    <w:rsid w:val="001F04D8"/>
    <w:rsid w:val="001F059D"/>
    <w:rsid w:val="001F06DA"/>
    <w:rsid w:val="001F0FD3"/>
    <w:rsid w:val="001F0FEF"/>
    <w:rsid w:val="001F161C"/>
    <w:rsid w:val="001F1F7F"/>
    <w:rsid w:val="001F240A"/>
    <w:rsid w:val="001F2A4F"/>
    <w:rsid w:val="001F3F67"/>
    <w:rsid w:val="001F40CD"/>
    <w:rsid w:val="001F4DB9"/>
    <w:rsid w:val="001F57D6"/>
    <w:rsid w:val="001F5B8C"/>
    <w:rsid w:val="001F6011"/>
    <w:rsid w:val="001F62A3"/>
    <w:rsid w:val="001F62A8"/>
    <w:rsid w:val="001F64ED"/>
    <w:rsid w:val="001F74C5"/>
    <w:rsid w:val="001F7FCC"/>
    <w:rsid w:val="002000B6"/>
    <w:rsid w:val="00200CC2"/>
    <w:rsid w:val="00200E93"/>
    <w:rsid w:val="00200FD9"/>
    <w:rsid w:val="00203885"/>
    <w:rsid w:val="002038E2"/>
    <w:rsid w:val="00204AD3"/>
    <w:rsid w:val="00204E04"/>
    <w:rsid w:val="00205B22"/>
    <w:rsid w:val="00206B7A"/>
    <w:rsid w:val="00206BFE"/>
    <w:rsid w:val="00207125"/>
    <w:rsid w:val="00207639"/>
    <w:rsid w:val="00207A81"/>
    <w:rsid w:val="00207F30"/>
    <w:rsid w:val="00210BA5"/>
    <w:rsid w:val="00210BFF"/>
    <w:rsid w:val="00210C6B"/>
    <w:rsid w:val="00212246"/>
    <w:rsid w:val="002125EE"/>
    <w:rsid w:val="002128BB"/>
    <w:rsid w:val="00212994"/>
    <w:rsid w:val="00212B23"/>
    <w:rsid w:val="00213CDC"/>
    <w:rsid w:val="00213FFB"/>
    <w:rsid w:val="002142A0"/>
    <w:rsid w:val="002143D0"/>
    <w:rsid w:val="00214829"/>
    <w:rsid w:val="002148AA"/>
    <w:rsid w:val="00214BA8"/>
    <w:rsid w:val="00214CD2"/>
    <w:rsid w:val="002163F7"/>
    <w:rsid w:val="0021643B"/>
    <w:rsid w:val="00216B58"/>
    <w:rsid w:val="002205D6"/>
    <w:rsid w:val="00220689"/>
    <w:rsid w:val="00220D37"/>
    <w:rsid w:val="00220ECF"/>
    <w:rsid w:val="00220F29"/>
    <w:rsid w:val="002217CB"/>
    <w:rsid w:val="00221F7E"/>
    <w:rsid w:val="0022209A"/>
    <w:rsid w:val="0022267A"/>
    <w:rsid w:val="00222740"/>
    <w:rsid w:val="00222B52"/>
    <w:rsid w:val="00222E02"/>
    <w:rsid w:val="002237F7"/>
    <w:rsid w:val="00223C12"/>
    <w:rsid w:val="00223D42"/>
    <w:rsid w:val="00223EF5"/>
    <w:rsid w:val="00224048"/>
    <w:rsid w:val="00224234"/>
    <w:rsid w:val="0022442C"/>
    <w:rsid w:val="00224FDC"/>
    <w:rsid w:val="0022510C"/>
    <w:rsid w:val="002259CA"/>
    <w:rsid w:val="00225AE6"/>
    <w:rsid w:val="00225C84"/>
    <w:rsid w:val="002260FB"/>
    <w:rsid w:val="00226570"/>
    <w:rsid w:val="00226D5C"/>
    <w:rsid w:val="00226E76"/>
    <w:rsid w:val="00227081"/>
    <w:rsid w:val="00227107"/>
    <w:rsid w:val="002315F7"/>
    <w:rsid w:val="00231D10"/>
    <w:rsid w:val="00231F99"/>
    <w:rsid w:val="002321C7"/>
    <w:rsid w:val="002327AE"/>
    <w:rsid w:val="00232835"/>
    <w:rsid w:val="00232FF2"/>
    <w:rsid w:val="00233253"/>
    <w:rsid w:val="00233947"/>
    <w:rsid w:val="00233A23"/>
    <w:rsid w:val="00233BEB"/>
    <w:rsid w:val="002340E0"/>
    <w:rsid w:val="002341B5"/>
    <w:rsid w:val="0023427C"/>
    <w:rsid w:val="002354F3"/>
    <w:rsid w:val="00235E50"/>
    <w:rsid w:val="002360DD"/>
    <w:rsid w:val="00236C2D"/>
    <w:rsid w:val="00237081"/>
    <w:rsid w:val="0023767D"/>
    <w:rsid w:val="00240404"/>
    <w:rsid w:val="002404FA"/>
    <w:rsid w:val="0024074E"/>
    <w:rsid w:val="00240752"/>
    <w:rsid w:val="00240A97"/>
    <w:rsid w:val="00240FEF"/>
    <w:rsid w:val="0024139C"/>
    <w:rsid w:val="0024141B"/>
    <w:rsid w:val="002420CF"/>
    <w:rsid w:val="002428D4"/>
    <w:rsid w:val="00242B66"/>
    <w:rsid w:val="00242B9A"/>
    <w:rsid w:val="00243EC1"/>
    <w:rsid w:val="0024412F"/>
    <w:rsid w:val="0024488D"/>
    <w:rsid w:val="00244B22"/>
    <w:rsid w:val="00244C22"/>
    <w:rsid w:val="00245033"/>
    <w:rsid w:val="0024548E"/>
    <w:rsid w:val="00245C9D"/>
    <w:rsid w:val="0024621A"/>
    <w:rsid w:val="002471EC"/>
    <w:rsid w:val="002472CC"/>
    <w:rsid w:val="00247363"/>
    <w:rsid w:val="002479BD"/>
    <w:rsid w:val="00247DC6"/>
    <w:rsid w:val="00247F53"/>
    <w:rsid w:val="00250681"/>
    <w:rsid w:val="00251468"/>
    <w:rsid w:val="00251731"/>
    <w:rsid w:val="0025189C"/>
    <w:rsid w:val="00251BB9"/>
    <w:rsid w:val="002521C8"/>
    <w:rsid w:val="00252F49"/>
    <w:rsid w:val="0025369B"/>
    <w:rsid w:val="002541AE"/>
    <w:rsid w:val="002541C9"/>
    <w:rsid w:val="00254630"/>
    <w:rsid w:val="00255304"/>
    <w:rsid w:val="00256A7D"/>
    <w:rsid w:val="00257AE3"/>
    <w:rsid w:val="00257CBE"/>
    <w:rsid w:val="00257ED4"/>
    <w:rsid w:val="00257FAB"/>
    <w:rsid w:val="00261D02"/>
    <w:rsid w:val="00262252"/>
    <w:rsid w:val="00262572"/>
    <w:rsid w:val="002625FE"/>
    <w:rsid w:val="00262C0D"/>
    <w:rsid w:val="00263D9F"/>
    <w:rsid w:val="002659B2"/>
    <w:rsid w:val="0026648B"/>
    <w:rsid w:val="002667E7"/>
    <w:rsid w:val="00266B5C"/>
    <w:rsid w:val="00266E9E"/>
    <w:rsid w:val="00266F71"/>
    <w:rsid w:val="00267A75"/>
    <w:rsid w:val="00270780"/>
    <w:rsid w:val="00270BE5"/>
    <w:rsid w:val="00271742"/>
    <w:rsid w:val="00271BD2"/>
    <w:rsid w:val="00272A50"/>
    <w:rsid w:val="0027369D"/>
    <w:rsid w:val="00273968"/>
    <w:rsid w:val="00273984"/>
    <w:rsid w:val="00274381"/>
    <w:rsid w:val="00275790"/>
    <w:rsid w:val="00275B54"/>
    <w:rsid w:val="00275CF6"/>
    <w:rsid w:val="00275DA8"/>
    <w:rsid w:val="00275E68"/>
    <w:rsid w:val="00275ECC"/>
    <w:rsid w:val="002763EE"/>
    <w:rsid w:val="002764A1"/>
    <w:rsid w:val="00276637"/>
    <w:rsid w:val="00276E02"/>
    <w:rsid w:val="00276FBA"/>
    <w:rsid w:val="002779DB"/>
    <w:rsid w:val="00277F05"/>
    <w:rsid w:val="00280DCB"/>
    <w:rsid w:val="00280F79"/>
    <w:rsid w:val="00281245"/>
    <w:rsid w:val="002816AD"/>
    <w:rsid w:val="0028192E"/>
    <w:rsid w:val="00281E78"/>
    <w:rsid w:val="00282385"/>
    <w:rsid w:val="00282451"/>
    <w:rsid w:val="00283255"/>
    <w:rsid w:val="0028342F"/>
    <w:rsid w:val="00283E81"/>
    <w:rsid w:val="00285790"/>
    <w:rsid w:val="00285B33"/>
    <w:rsid w:val="00285D76"/>
    <w:rsid w:val="002863FF"/>
    <w:rsid w:val="0028645C"/>
    <w:rsid w:val="0028649B"/>
    <w:rsid w:val="002864B3"/>
    <w:rsid w:val="002864CF"/>
    <w:rsid w:val="00286C03"/>
    <w:rsid w:val="00286CCA"/>
    <w:rsid w:val="002873CC"/>
    <w:rsid w:val="00287466"/>
    <w:rsid w:val="002901AA"/>
    <w:rsid w:val="002907D1"/>
    <w:rsid w:val="00290A32"/>
    <w:rsid w:val="00290E2B"/>
    <w:rsid w:val="00291DE8"/>
    <w:rsid w:val="00291EB3"/>
    <w:rsid w:val="00292652"/>
    <w:rsid w:val="002927E1"/>
    <w:rsid w:val="00293516"/>
    <w:rsid w:val="0029366E"/>
    <w:rsid w:val="002938CD"/>
    <w:rsid w:val="00293DF2"/>
    <w:rsid w:val="00294CCB"/>
    <w:rsid w:val="002955D6"/>
    <w:rsid w:val="0029561D"/>
    <w:rsid w:val="00296C9D"/>
    <w:rsid w:val="00296E70"/>
    <w:rsid w:val="00296F4B"/>
    <w:rsid w:val="002979A4"/>
    <w:rsid w:val="002A0B31"/>
    <w:rsid w:val="002A1251"/>
    <w:rsid w:val="002A161C"/>
    <w:rsid w:val="002A237A"/>
    <w:rsid w:val="002A2B1D"/>
    <w:rsid w:val="002A2B98"/>
    <w:rsid w:val="002A2CA2"/>
    <w:rsid w:val="002A3321"/>
    <w:rsid w:val="002A3525"/>
    <w:rsid w:val="002A35AA"/>
    <w:rsid w:val="002A3623"/>
    <w:rsid w:val="002A3D29"/>
    <w:rsid w:val="002A431E"/>
    <w:rsid w:val="002A4482"/>
    <w:rsid w:val="002A519F"/>
    <w:rsid w:val="002A5887"/>
    <w:rsid w:val="002A5ADB"/>
    <w:rsid w:val="002A63B1"/>
    <w:rsid w:val="002A64D2"/>
    <w:rsid w:val="002A68C1"/>
    <w:rsid w:val="002B067B"/>
    <w:rsid w:val="002B120C"/>
    <w:rsid w:val="002B17B9"/>
    <w:rsid w:val="002B2475"/>
    <w:rsid w:val="002B27DA"/>
    <w:rsid w:val="002B3249"/>
    <w:rsid w:val="002B348C"/>
    <w:rsid w:val="002B366A"/>
    <w:rsid w:val="002B36EB"/>
    <w:rsid w:val="002B4833"/>
    <w:rsid w:val="002B590E"/>
    <w:rsid w:val="002B5B24"/>
    <w:rsid w:val="002B5BFD"/>
    <w:rsid w:val="002B7782"/>
    <w:rsid w:val="002C0436"/>
    <w:rsid w:val="002C1599"/>
    <w:rsid w:val="002C21CC"/>
    <w:rsid w:val="002C275F"/>
    <w:rsid w:val="002C28FE"/>
    <w:rsid w:val="002C2A2C"/>
    <w:rsid w:val="002C32F5"/>
    <w:rsid w:val="002C3574"/>
    <w:rsid w:val="002C39AC"/>
    <w:rsid w:val="002C3C60"/>
    <w:rsid w:val="002C4236"/>
    <w:rsid w:val="002C5F96"/>
    <w:rsid w:val="002C65C8"/>
    <w:rsid w:val="002C677A"/>
    <w:rsid w:val="002C6CB2"/>
    <w:rsid w:val="002C78C1"/>
    <w:rsid w:val="002D01F3"/>
    <w:rsid w:val="002D046A"/>
    <w:rsid w:val="002D04B6"/>
    <w:rsid w:val="002D04FF"/>
    <w:rsid w:val="002D1066"/>
    <w:rsid w:val="002D252A"/>
    <w:rsid w:val="002D264F"/>
    <w:rsid w:val="002D2917"/>
    <w:rsid w:val="002D2A26"/>
    <w:rsid w:val="002D42E8"/>
    <w:rsid w:val="002D43D4"/>
    <w:rsid w:val="002D515C"/>
    <w:rsid w:val="002D53F5"/>
    <w:rsid w:val="002D573F"/>
    <w:rsid w:val="002D597C"/>
    <w:rsid w:val="002D68ED"/>
    <w:rsid w:val="002D6A1B"/>
    <w:rsid w:val="002D6B06"/>
    <w:rsid w:val="002D6ECA"/>
    <w:rsid w:val="002D7152"/>
    <w:rsid w:val="002D796F"/>
    <w:rsid w:val="002D79D5"/>
    <w:rsid w:val="002D7C4F"/>
    <w:rsid w:val="002E04B3"/>
    <w:rsid w:val="002E1A55"/>
    <w:rsid w:val="002E2318"/>
    <w:rsid w:val="002E26CF"/>
    <w:rsid w:val="002E2850"/>
    <w:rsid w:val="002E2F15"/>
    <w:rsid w:val="002E37BE"/>
    <w:rsid w:val="002E3DCF"/>
    <w:rsid w:val="002E47A6"/>
    <w:rsid w:val="002E491C"/>
    <w:rsid w:val="002E493B"/>
    <w:rsid w:val="002E52F3"/>
    <w:rsid w:val="002E5424"/>
    <w:rsid w:val="002E5899"/>
    <w:rsid w:val="002E6A85"/>
    <w:rsid w:val="002E7282"/>
    <w:rsid w:val="002E7471"/>
    <w:rsid w:val="002E77AF"/>
    <w:rsid w:val="002E7C69"/>
    <w:rsid w:val="002F0439"/>
    <w:rsid w:val="002F05A3"/>
    <w:rsid w:val="002F14E2"/>
    <w:rsid w:val="002F1F11"/>
    <w:rsid w:val="002F2215"/>
    <w:rsid w:val="002F231D"/>
    <w:rsid w:val="002F233C"/>
    <w:rsid w:val="002F2975"/>
    <w:rsid w:val="002F33B0"/>
    <w:rsid w:val="002F444E"/>
    <w:rsid w:val="002F4C79"/>
    <w:rsid w:val="002F4DAF"/>
    <w:rsid w:val="002F51FF"/>
    <w:rsid w:val="002F53C1"/>
    <w:rsid w:val="002F6C1F"/>
    <w:rsid w:val="002F71B0"/>
    <w:rsid w:val="002F7843"/>
    <w:rsid w:val="002F78F3"/>
    <w:rsid w:val="002F7BAE"/>
    <w:rsid w:val="003008A3"/>
    <w:rsid w:val="00300ACB"/>
    <w:rsid w:val="00301645"/>
    <w:rsid w:val="003019E9"/>
    <w:rsid w:val="00301DC1"/>
    <w:rsid w:val="00302887"/>
    <w:rsid w:val="00302D7B"/>
    <w:rsid w:val="003036A9"/>
    <w:rsid w:val="0030468C"/>
    <w:rsid w:val="00304A36"/>
    <w:rsid w:val="00305E41"/>
    <w:rsid w:val="0030675A"/>
    <w:rsid w:val="00306AA3"/>
    <w:rsid w:val="00307DC8"/>
    <w:rsid w:val="003105A9"/>
    <w:rsid w:val="00310968"/>
    <w:rsid w:val="00310A06"/>
    <w:rsid w:val="003110A0"/>
    <w:rsid w:val="00312596"/>
    <w:rsid w:val="0031268D"/>
    <w:rsid w:val="003131A7"/>
    <w:rsid w:val="00313293"/>
    <w:rsid w:val="0031374F"/>
    <w:rsid w:val="003139EF"/>
    <w:rsid w:val="00313A6D"/>
    <w:rsid w:val="00313A73"/>
    <w:rsid w:val="00313F56"/>
    <w:rsid w:val="003142AC"/>
    <w:rsid w:val="00314598"/>
    <w:rsid w:val="003148F9"/>
    <w:rsid w:val="0031547A"/>
    <w:rsid w:val="00315813"/>
    <w:rsid w:val="003161B6"/>
    <w:rsid w:val="00316549"/>
    <w:rsid w:val="0031671E"/>
    <w:rsid w:val="00316AFA"/>
    <w:rsid w:val="00316F6F"/>
    <w:rsid w:val="0031706A"/>
    <w:rsid w:val="00320DB6"/>
    <w:rsid w:val="003218A7"/>
    <w:rsid w:val="00321A5F"/>
    <w:rsid w:val="00321E3F"/>
    <w:rsid w:val="003222D8"/>
    <w:rsid w:val="0032285C"/>
    <w:rsid w:val="00323265"/>
    <w:rsid w:val="00323E23"/>
    <w:rsid w:val="00324535"/>
    <w:rsid w:val="003246B8"/>
    <w:rsid w:val="0032533A"/>
    <w:rsid w:val="00325843"/>
    <w:rsid w:val="00325966"/>
    <w:rsid w:val="0032748B"/>
    <w:rsid w:val="00330090"/>
    <w:rsid w:val="003301B0"/>
    <w:rsid w:val="00330244"/>
    <w:rsid w:val="00330DD5"/>
    <w:rsid w:val="00331225"/>
    <w:rsid w:val="00331248"/>
    <w:rsid w:val="00331577"/>
    <w:rsid w:val="0033170C"/>
    <w:rsid w:val="00331BA9"/>
    <w:rsid w:val="00334005"/>
    <w:rsid w:val="00334707"/>
    <w:rsid w:val="00334EAB"/>
    <w:rsid w:val="00335D38"/>
    <w:rsid w:val="00336356"/>
    <w:rsid w:val="00336A29"/>
    <w:rsid w:val="00337800"/>
    <w:rsid w:val="00337897"/>
    <w:rsid w:val="00337CED"/>
    <w:rsid w:val="00337FB4"/>
    <w:rsid w:val="00340017"/>
    <w:rsid w:val="0034171F"/>
    <w:rsid w:val="0034206B"/>
    <w:rsid w:val="003423F2"/>
    <w:rsid w:val="00342FBF"/>
    <w:rsid w:val="0034357D"/>
    <w:rsid w:val="00343697"/>
    <w:rsid w:val="00343EA7"/>
    <w:rsid w:val="00344325"/>
    <w:rsid w:val="00344395"/>
    <w:rsid w:val="0034480F"/>
    <w:rsid w:val="00344E99"/>
    <w:rsid w:val="00345A3B"/>
    <w:rsid w:val="00346183"/>
    <w:rsid w:val="00346645"/>
    <w:rsid w:val="0034791A"/>
    <w:rsid w:val="00347F3A"/>
    <w:rsid w:val="00350391"/>
    <w:rsid w:val="00350426"/>
    <w:rsid w:val="00350ACC"/>
    <w:rsid w:val="00350D70"/>
    <w:rsid w:val="003535EE"/>
    <w:rsid w:val="0035363F"/>
    <w:rsid w:val="003547A1"/>
    <w:rsid w:val="00354B72"/>
    <w:rsid w:val="00354EC4"/>
    <w:rsid w:val="0035526C"/>
    <w:rsid w:val="00355B53"/>
    <w:rsid w:val="00356AB4"/>
    <w:rsid w:val="00356BEB"/>
    <w:rsid w:val="00356F67"/>
    <w:rsid w:val="003571C0"/>
    <w:rsid w:val="00360204"/>
    <w:rsid w:val="00362B18"/>
    <w:rsid w:val="00362F57"/>
    <w:rsid w:val="00363810"/>
    <w:rsid w:val="00363B58"/>
    <w:rsid w:val="00364308"/>
    <w:rsid w:val="00364BAF"/>
    <w:rsid w:val="00364BE5"/>
    <w:rsid w:val="00364EE0"/>
    <w:rsid w:val="00365E11"/>
    <w:rsid w:val="003661FE"/>
    <w:rsid w:val="003668EC"/>
    <w:rsid w:val="00366938"/>
    <w:rsid w:val="00367BD9"/>
    <w:rsid w:val="00370020"/>
    <w:rsid w:val="0037006A"/>
    <w:rsid w:val="00370336"/>
    <w:rsid w:val="003703D6"/>
    <w:rsid w:val="00371158"/>
    <w:rsid w:val="003715D3"/>
    <w:rsid w:val="00371775"/>
    <w:rsid w:val="00371D99"/>
    <w:rsid w:val="00372EEE"/>
    <w:rsid w:val="00373193"/>
    <w:rsid w:val="00373487"/>
    <w:rsid w:val="003742A2"/>
    <w:rsid w:val="003742D5"/>
    <w:rsid w:val="00374D6C"/>
    <w:rsid w:val="00374EF6"/>
    <w:rsid w:val="00376C0C"/>
    <w:rsid w:val="00376F5D"/>
    <w:rsid w:val="00377994"/>
    <w:rsid w:val="00377CF8"/>
    <w:rsid w:val="003808E1"/>
    <w:rsid w:val="0038135E"/>
    <w:rsid w:val="00381946"/>
    <w:rsid w:val="0038214A"/>
    <w:rsid w:val="00382338"/>
    <w:rsid w:val="0038264A"/>
    <w:rsid w:val="00382FB8"/>
    <w:rsid w:val="0038334D"/>
    <w:rsid w:val="00383624"/>
    <w:rsid w:val="00383FF5"/>
    <w:rsid w:val="0038404F"/>
    <w:rsid w:val="00384599"/>
    <w:rsid w:val="00384AB6"/>
    <w:rsid w:val="003854EA"/>
    <w:rsid w:val="00385A98"/>
    <w:rsid w:val="00385BEC"/>
    <w:rsid w:val="00386BC8"/>
    <w:rsid w:val="00386F7D"/>
    <w:rsid w:val="0038701A"/>
    <w:rsid w:val="0038739D"/>
    <w:rsid w:val="00387D32"/>
    <w:rsid w:val="00390293"/>
    <w:rsid w:val="003904DC"/>
    <w:rsid w:val="003905CC"/>
    <w:rsid w:val="00390763"/>
    <w:rsid w:val="00390826"/>
    <w:rsid w:val="0039089F"/>
    <w:rsid w:val="00390A66"/>
    <w:rsid w:val="00390C58"/>
    <w:rsid w:val="0039109A"/>
    <w:rsid w:val="00391757"/>
    <w:rsid w:val="00391EFA"/>
    <w:rsid w:val="00392C9E"/>
    <w:rsid w:val="00393546"/>
    <w:rsid w:val="0039387A"/>
    <w:rsid w:val="00394249"/>
    <w:rsid w:val="0039457C"/>
    <w:rsid w:val="0039498B"/>
    <w:rsid w:val="00395CEB"/>
    <w:rsid w:val="00395E3F"/>
    <w:rsid w:val="00396602"/>
    <w:rsid w:val="00397DF2"/>
    <w:rsid w:val="00397E5B"/>
    <w:rsid w:val="00397F83"/>
    <w:rsid w:val="003A00DA"/>
    <w:rsid w:val="003A0C3F"/>
    <w:rsid w:val="003A1077"/>
    <w:rsid w:val="003A168E"/>
    <w:rsid w:val="003A1882"/>
    <w:rsid w:val="003A1A66"/>
    <w:rsid w:val="003A3916"/>
    <w:rsid w:val="003A3FF2"/>
    <w:rsid w:val="003A426C"/>
    <w:rsid w:val="003A454C"/>
    <w:rsid w:val="003A52AD"/>
    <w:rsid w:val="003A57FC"/>
    <w:rsid w:val="003A5E08"/>
    <w:rsid w:val="003A6E5A"/>
    <w:rsid w:val="003A70E4"/>
    <w:rsid w:val="003A727C"/>
    <w:rsid w:val="003A74D3"/>
    <w:rsid w:val="003A75E6"/>
    <w:rsid w:val="003A767D"/>
    <w:rsid w:val="003A7874"/>
    <w:rsid w:val="003A78BB"/>
    <w:rsid w:val="003A7AB8"/>
    <w:rsid w:val="003B008A"/>
    <w:rsid w:val="003B03DD"/>
    <w:rsid w:val="003B0670"/>
    <w:rsid w:val="003B0790"/>
    <w:rsid w:val="003B1ADE"/>
    <w:rsid w:val="003B1D12"/>
    <w:rsid w:val="003B1FE1"/>
    <w:rsid w:val="003B3768"/>
    <w:rsid w:val="003B3B20"/>
    <w:rsid w:val="003B5B1F"/>
    <w:rsid w:val="003B5DA8"/>
    <w:rsid w:val="003B5DBB"/>
    <w:rsid w:val="003B5ED1"/>
    <w:rsid w:val="003B6AA8"/>
    <w:rsid w:val="003B70C5"/>
    <w:rsid w:val="003B74E8"/>
    <w:rsid w:val="003B7A8B"/>
    <w:rsid w:val="003B7D8C"/>
    <w:rsid w:val="003C02B2"/>
    <w:rsid w:val="003C04CC"/>
    <w:rsid w:val="003C0A01"/>
    <w:rsid w:val="003C11BF"/>
    <w:rsid w:val="003C1F84"/>
    <w:rsid w:val="003C22A2"/>
    <w:rsid w:val="003C28EC"/>
    <w:rsid w:val="003C2E0C"/>
    <w:rsid w:val="003C2F6D"/>
    <w:rsid w:val="003C3875"/>
    <w:rsid w:val="003C3B2E"/>
    <w:rsid w:val="003C3DD1"/>
    <w:rsid w:val="003C3F45"/>
    <w:rsid w:val="003C575F"/>
    <w:rsid w:val="003C5F34"/>
    <w:rsid w:val="003C647C"/>
    <w:rsid w:val="003C64AB"/>
    <w:rsid w:val="003C6CC0"/>
    <w:rsid w:val="003C7FFE"/>
    <w:rsid w:val="003D0101"/>
    <w:rsid w:val="003D08E8"/>
    <w:rsid w:val="003D0DD0"/>
    <w:rsid w:val="003D1578"/>
    <w:rsid w:val="003D2642"/>
    <w:rsid w:val="003D2E3F"/>
    <w:rsid w:val="003D3324"/>
    <w:rsid w:val="003D375C"/>
    <w:rsid w:val="003D3AC6"/>
    <w:rsid w:val="003D3CFF"/>
    <w:rsid w:val="003D5119"/>
    <w:rsid w:val="003D5139"/>
    <w:rsid w:val="003D5204"/>
    <w:rsid w:val="003D52A1"/>
    <w:rsid w:val="003D5433"/>
    <w:rsid w:val="003D5C39"/>
    <w:rsid w:val="003D62A0"/>
    <w:rsid w:val="003D70DD"/>
    <w:rsid w:val="003D7A60"/>
    <w:rsid w:val="003E072A"/>
    <w:rsid w:val="003E0A9C"/>
    <w:rsid w:val="003E1344"/>
    <w:rsid w:val="003E147E"/>
    <w:rsid w:val="003E1CFF"/>
    <w:rsid w:val="003E234B"/>
    <w:rsid w:val="003E2EC8"/>
    <w:rsid w:val="003E34A8"/>
    <w:rsid w:val="003E5001"/>
    <w:rsid w:val="003E5293"/>
    <w:rsid w:val="003E52B6"/>
    <w:rsid w:val="003E5309"/>
    <w:rsid w:val="003E550B"/>
    <w:rsid w:val="003E5697"/>
    <w:rsid w:val="003E5CA6"/>
    <w:rsid w:val="003E6B02"/>
    <w:rsid w:val="003E704C"/>
    <w:rsid w:val="003E7623"/>
    <w:rsid w:val="003F026B"/>
    <w:rsid w:val="003F0BBE"/>
    <w:rsid w:val="003F15D5"/>
    <w:rsid w:val="003F17C6"/>
    <w:rsid w:val="003F1836"/>
    <w:rsid w:val="003F20B8"/>
    <w:rsid w:val="003F268E"/>
    <w:rsid w:val="003F2953"/>
    <w:rsid w:val="003F2F83"/>
    <w:rsid w:val="003F3381"/>
    <w:rsid w:val="003F3ECE"/>
    <w:rsid w:val="003F41F1"/>
    <w:rsid w:val="003F4296"/>
    <w:rsid w:val="003F4858"/>
    <w:rsid w:val="003F490D"/>
    <w:rsid w:val="003F4A63"/>
    <w:rsid w:val="003F4D03"/>
    <w:rsid w:val="003F4FA8"/>
    <w:rsid w:val="003F5F65"/>
    <w:rsid w:val="003F683D"/>
    <w:rsid w:val="003F6EBA"/>
    <w:rsid w:val="00400251"/>
    <w:rsid w:val="00400ABF"/>
    <w:rsid w:val="00401D4A"/>
    <w:rsid w:val="00401DF8"/>
    <w:rsid w:val="004022A1"/>
    <w:rsid w:val="00402BE2"/>
    <w:rsid w:val="0040389D"/>
    <w:rsid w:val="004044F2"/>
    <w:rsid w:val="0040490F"/>
    <w:rsid w:val="00404BE8"/>
    <w:rsid w:val="00404CA8"/>
    <w:rsid w:val="00404CB6"/>
    <w:rsid w:val="004051C7"/>
    <w:rsid w:val="004064FB"/>
    <w:rsid w:val="00406A72"/>
    <w:rsid w:val="00406C44"/>
    <w:rsid w:val="00406E15"/>
    <w:rsid w:val="004076E3"/>
    <w:rsid w:val="00407EA3"/>
    <w:rsid w:val="0041038C"/>
    <w:rsid w:val="00410B83"/>
    <w:rsid w:val="00410FBA"/>
    <w:rsid w:val="0041168F"/>
    <w:rsid w:val="004118F7"/>
    <w:rsid w:val="00412495"/>
    <w:rsid w:val="00412B8D"/>
    <w:rsid w:val="0041300B"/>
    <w:rsid w:val="00413180"/>
    <w:rsid w:val="004134B3"/>
    <w:rsid w:val="004135E7"/>
    <w:rsid w:val="00413844"/>
    <w:rsid w:val="00413A1C"/>
    <w:rsid w:val="00414100"/>
    <w:rsid w:val="004144C7"/>
    <w:rsid w:val="004152A4"/>
    <w:rsid w:val="00415C1A"/>
    <w:rsid w:val="004164DF"/>
    <w:rsid w:val="004168F6"/>
    <w:rsid w:val="00416B89"/>
    <w:rsid w:val="00417522"/>
    <w:rsid w:val="0041789D"/>
    <w:rsid w:val="00420957"/>
    <w:rsid w:val="00420C05"/>
    <w:rsid w:val="00420CF0"/>
    <w:rsid w:val="00420D5D"/>
    <w:rsid w:val="00420E2B"/>
    <w:rsid w:val="00421C17"/>
    <w:rsid w:val="00421FC8"/>
    <w:rsid w:val="004233C3"/>
    <w:rsid w:val="0042414E"/>
    <w:rsid w:val="00424A6E"/>
    <w:rsid w:val="00424E46"/>
    <w:rsid w:val="00425363"/>
    <w:rsid w:val="004257BD"/>
    <w:rsid w:val="00426F52"/>
    <w:rsid w:val="004274FD"/>
    <w:rsid w:val="00427E0C"/>
    <w:rsid w:val="00430D35"/>
    <w:rsid w:val="00430FA6"/>
    <w:rsid w:val="004313BB"/>
    <w:rsid w:val="0043168B"/>
    <w:rsid w:val="00432308"/>
    <w:rsid w:val="004324E4"/>
    <w:rsid w:val="0043389A"/>
    <w:rsid w:val="00433CD1"/>
    <w:rsid w:val="00433EA8"/>
    <w:rsid w:val="00435177"/>
    <w:rsid w:val="00435E1A"/>
    <w:rsid w:val="004365A0"/>
    <w:rsid w:val="00436D1E"/>
    <w:rsid w:val="00436F1D"/>
    <w:rsid w:val="00437C34"/>
    <w:rsid w:val="00437DB1"/>
    <w:rsid w:val="00440110"/>
    <w:rsid w:val="004401CB"/>
    <w:rsid w:val="0044121D"/>
    <w:rsid w:val="004419E0"/>
    <w:rsid w:val="00442535"/>
    <w:rsid w:val="00442E3E"/>
    <w:rsid w:val="00444AC8"/>
    <w:rsid w:val="00445BE0"/>
    <w:rsid w:val="00445FC9"/>
    <w:rsid w:val="0044606A"/>
    <w:rsid w:val="00446E22"/>
    <w:rsid w:val="00447380"/>
    <w:rsid w:val="0044774F"/>
    <w:rsid w:val="004501B6"/>
    <w:rsid w:val="004501EF"/>
    <w:rsid w:val="0045049C"/>
    <w:rsid w:val="004506E2"/>
    <w:rsid w:val="00450BFB"/>
    <w:rsid w:val="004513C9"/>
    <w:rsid w:val="00451832"/>
    <w:rsid w:val="004518C6"/>
    <w:rsid w:val="00452FCF"/>
    <w:rsid w:val="004534AF"/>
    <w:rsid w:val="00453FCB"/>
    <w:rsid w:val="00454728"/>
    <w:rsid w:val="0045518C"/>
    <w:rsid w:val="0045518E"/>
    <w:rsid w:val="00455A20"/>
    <w:rsid w:val="00456789"/>
    <w:rsid w:val="00456F40"/>
    <w:rsid w:val="00457E4E"/>
    <w:rsid w:val="0046083C"/>
    <w:rsid w:val="00461510"/>
    <w:rsid w:val="00462ACE"/>
    <w:rsid w:val="004630E0"/>
    <w:rsid w:val="00463247"/>
    <w:rsid w:val="00463374"/>
    <w:rsid w:val="00463834"/>
    <w:rsid w:val="00463C23"/>
    <w:rsid w:val="00463C42"/>
    <w:rsid w:val="0046439F"/>
    <w:rsid w:val="004653EF"/>
    <w:rsid w:val="0046572C"/>
    <w:rsid w:val="00466ED7"/>
    <w:rsid w:val="00466EFC"/>
    <w:rsid w:val="00466F55"/>
    <w:rsid w:val="00467152"/>
    <w:rsid w:val="00467619"/>
    <w:rsid w:val="004678AA"/>
    <w:rsid w:val="00470629"/>
    <w:rsid w:val="00471EB4"/>
    <w:rsid w:val="00471F3F"/>
    <w:rsid w:val="0047261B"/>
    <w:rsid w:val="00474323"/>
    <w:rsid w:val="0047435D"/>
    <w:rsid w:val="00474BAF"/>
    <w:rsid w:val="00474BC0"/>
    <w:rsid w:val="004752EE"/>
    <w:rsid w:val="0047599E"/>
    <w:rsid w:val="00475E67"/>
    <w:rsid w:val="00476286"/>
    <w:rsid w:val="004762E9"/>
    <w:rsid w:val="004763CC"/>
    <w:rsid w:val="0047681E"/>
    <w:rsid w:val="004776FF"/>
    <w:rsid w:val="004779AB"/>
    <w:rsid w:val="00480063"/>
    <w:rsid w:val="00480EE7"/>
    <w:rsid w:val="004812D2"/>
    <w:rsid w:val="004813B2"/>
    <w:rsid w:val="00481AF8"/>
    <w:rsid w:val="00482435"/>
    <w:rsid w:val="00482499"/>
    <w:rsid w:val="004826D0"/>
    <w:rsid w:val="004827B9"/>
    <w:rsid w:val="00483263"/>
    <w:rsid w:val="00483552"/>
    <w:rsid w:val="00483B0A"/>
    <w:rsid w:val="00483CBF"/>
    <w:rsid w:val="00484BC5"/>
    <w:rsid w:val="004866C9"/>
    <w:rsid w:val="00487739"/>
    <w:rsid w:val="004902AC"/>
    <w:rsid w:val="00490934"/>
    <w:rsid w:val="0049124B"/>
    <w:rsid w:val="00491C15"/>
    <w:rsid w:val="00491E53"/>
    <w:rsid w:val="00491FF1"/>
    <w:rsid w:val="0049298F"/>
    <w:rsid w:val="0049393C"/>
    <w:rsid w:val="00493D9B"/>
    <w:rsid w:val="00493FF3"/>
    <w:rsid w:val="0049444E"/>
    <w:rsid w:val="00494538"/>
    <w:rsid w:val="00494603"/>
    <w:rsid w:val="00494B9C"/>
    <w:rsid w:val="00494E24"/>
    <w:rsid w:val="00494FBD"/>
    <w:rsid w:val="00495429"/>
    <w:rsid w:val="004955E7"/>
    <w:rsid w:val="00495DFC"/>
    <w:rsid w:val="00496F30"/>
    <w:rsid w:val="00497303"/>
    <w:rsid w:val="004A02CA"/>
    <w:rsid w:val="004A09BA"/>
    <w:rsid w:val="004A1067"/>
    <w:rsid w:val="004A1598"/>
    <w:rsid w:val="004A21F9"/>
    <w:rsid w:val="004A346E"/>
    <w:rsid w:val="004A393D"/>
    <w:rsid w:val="004A39B5"/>
    <w:rsid w:val="004A39DA"/>
    <w:rsid w:val="004A3A57"/>
    <w:rsid w:val="004A3E20"/>
    <w:rsid w:val="004A3FA2"/>
    <w:rsid w:val="004A45C7"/>
    <w:rsid w:val="004A49A8"/>
    <w:rsid w:val="004A590D"/>
    <w:rsid w:val="004A5C00"/>
    <w:rsid w:val="004A5C40"/>
    <w:rsid w:val="004A5EBE"/>
    <w:rsid w:val="004A655B"/>
    <w:rsid w:val="004A6588"/>
    <w:rsid w:val="004A6FA3"/>
    <w:rsid w:val="004A6FBD"/>
    <w:rsid w:val="004A7367"/>
    <w:rsid w:val="004A7EAF"/>
    <w:rsid w:val="004B156B"/>
    <w:rsid w:val="004B1C1E"/>
    <w:rsid w:val="004B20DD"/>
    <w:rsid w:val="004B2A29"/>
    <w:rsid w:val="004B2ADD"/>
    <w:rsid w:val="004B2F9D"/>
    <w:rsid w:val="004B3029"/>
    <w:rsid w:val="004B37E8"/>
    <w:rsid w:val="004B42A4"/>
    <w:rsid w:val="004B488D"/>
    <w:rsid w:val="004B4F39"/>
    <w:rsid w:val="004B5B51"/>
    <w:rsid w:val="004B5DA4"/>
    <w:rsid w:val="004B6727"/>
    <w:rsid w:val="004B680D"/>
    <w:rsid w:val="004B6BB9"/>
    <w:rsid w:val="004B6F56"/>
    <w:rsid w:val="004B7662"/>
    <w:rsid w:val="004C05DB"/>
    <w:rsid w:val="004C1B48"/>
    <w:rsid w:val="004C1BBD"/>
    <w:rsid w:val="004C1CDE"/>
    <w:rsid w:val="004C24DB"/>
    <w:rsid w:val="004C2648"/>
    <w:rsid w:val="004C26BC"/>
    <w:rsid w:val="004C282F"/>
    <w:rsid w:val="004C3436"/>
    <w:rsid w:val="004C35E9"/>
    <w:rsid w:val="004C37F4"/>
    <w:rsid w:val="004C39CD"/>
    <w:rsid w:val="004C3D30"/>
    <w:rsid w:val="004C411C"/>
    <w:rsid w:val="004C4633"/>
    <w:rsid w:val="004C4831"/>
    <w:rsid w:val="004C49C4"/>
    <w:rsid w:val="004C5354"/>
    <w:rsid w:val="004C59E6"/>
    <w:rsid w:val="004C5E4E"/>
    <w:rsid w:val="004C6127"/>
    <w:rsid w:val="004C6992"/>
    <w:rsid w:val="004C7251"/>
    <w:rsid w:val="004C74F3"/>
    <w:rsid w:val="004C7AA5"/>
    <w:rsid w:val="004C7CD0"/>
    <w:rsid w:val="004D0B77"/>
    <w:rsid w:val="004D13B9"/>
    <w:rsid w:val="004D1400"/>
    <w:rsid w:val="004D1F0E"/>
    <w:rsid w:val="004D2048"/>
    <w:rsid w:val="004D2BE4"/>
    <w:rsid w:val="004D2E17"/>
    <w:rsid w:val="004D2E4C"/>
    <w:rsid w:val="004D2F68"/>
    <w:rsid w:val="004D3FDF"/>
    <w:rsid w:val="004D4081"/>
    <w:rsid w:val="004D4745"/>
    <w:rsid w:val="004D4825"/>
    <w:rsid w:val="004D4AB5"/>
    <w:rsid w:val="004D4DAF"/>
    <w:rsid w:val="004D5884"/>
    <w:rsid w:val="004D6384"/>
    <w:rsid w:val="004D64CB"/>
    <w:rsid w:val="004D6B3E"/>
    <w:rsid w:val="004D76BA"/>
    <w:rsid w:val="004D78AC"/>
    <w:rsid w:val="004D7AD6"/>
    <w:rsid w:val="004D7F88"/>
    <w:rsid w:val="004E0CF7"/>
    <w:rsid w:val="004E224F"/>
    <w:rsid w:val="004E2353"/>
    <w:rsid w:val="004E2462"/>
    <w:rsid w:val="004E3402"/>
    <w:rsid w:val="004E48F7"/>
    <w:rsid w:val="004E4C9C"/>
    <w:rsid w:val="004E52F8"/>
    <w:rsid w:val="004E548D"/>
    <w:rsid w:val="004E54B3"/>
    <w:rsid w:val="004E60A8"/>
    <w:rsid w:val="004E6925"/>
    <w:rsid w:val="004E6BBC"/>
    <w:rsid w:val="004E7568"/>
    <w:rsid w:val="004F0137"/>
    <w:rsid w:val="004F08DF"/>
    <w:rsid w:val="004F0D02"/>
    <w:rsid w:val="004F1764"/>
    <w:rsid w:val="004F1D4A"/>
    <w:rsid w:val="004F1FC2"/>
    <w:rsid w:val="004F20A9"/>
    <w:rsid w:val="004F29D1"/>
    <w:rsid w:val="004F37A6"/>
    <w:rsid w:val="004F38FD"/>
    <w:rsid w:val="004F3F22"/>
    <w:rsid w:val="004F4E77"/>
    <w:rsid w:val="004F5A45"/>
    <w:rsid w:val="004F5F1F"/>
    <w:rsid w:val="004F61C3"/>
    <w:rsid w:val="004F651C"/>
    <w:rsid w:val="004F66CC"/>
    <w:rsid w:val="004F73B8"/>
    <w:rsid w:val="004F73D9"/>
    <w:rsid w:val="004F7F01"/>
    <w:rsid w:val="00500C1B"/>
    <w:rsid w:val="00500EFE"/>
    <w:rsid w:val="005010FC"/>
    <w:rsid w:val="00502252"/>
    <w:rsid w:val="00502353"/>
    <w:rsid w:val="00502BBF"/>
    <w:rsid w:val="0050352E"/>
    <w:rsid w:val="00505BD3"/>
    <w:rsid w:val="005061E5"/>
    <w:rsid w:val="005066C2"/>
    <w:rsid w:val="00507656"/>
    <w:rsid w:val="005077F7"/>
    <w:rsid w:val="00507E70"/>
    <w:rsid w:val="005103DA"/>
    <w:rsid w:val="00510573"/>
    <w:rsid w:val="00510E87"/>
    <w:rsid w:val="00511FC3"/>
    <w:rsid w:val="0051273C"/>
    <w:rsid w:val="00512A43"/>
    <w:rsid w:val="00512D78"/>
    <w:rsid w:val="0051365A"/>
    <w:rsid w:val="00513A68"/>
    <w:rsid w:val="00513E49"/>
    <w:rsid w:val="005142C8"/>
    <w:rsid w:val="00514CD5"/>
    <w:rsid w:val="0051525D"/>
    <w:rsid w:val="005152F2"/>
    <w:rsid w:val="005154BF"/>
    <w:rsid w:val="0051560D"/>
    <w:rsid w:val="005163F5"/>
    <w:rsid w:val="005164D5"/>
    <w:rsid w:val="00516DC4"/>
    <w:rsid w:val="00516DD7"/>
    <w:rsid w:val="00517F72"/>
    <w:rsid w:val="00521736"/>
    <w:rsid w:val="0052190F"/>
    <w:rsid w:val="00521B25"/>
    <w:rsid w:val="00521B68"/>
    <w:rsid w:val="00521C69"/>
    <w:rsid w:val="005235B8"/>
    <w:rsid w:val="005238C7"/>
    <w:rsid w:val="00524541"/>
    <w:rsid w:val="00525728"/>
    <w:rsid w:val="00525B1E"/>
    <w:rsid w:val="005266B0"/>
    <w:rsid w:val="00527816"/>
    <w:rsid w:val="00527BA3"/>
    <w:rsid w:val="005300FC"/>
    <w:rsid w:val="0053040A"/>
    <w:rsid w:val="00530878"/>
    <w:rsid w:val="00530937"/>
    <w:rsid w:val="00530E01"/>
    <w:rsid w:val="00532322"/>
    <w:rsid w:val="00532A59"/>
    <w:rsid w:val="00532A66"/>
    <w:rsid w:val="00533679"/>
    <w:rsid w:val="005336C3"/>
    <w:rsid w:val="005338D2"/>
    <w:rsid w:val="00533FD1"/>
    <w:rsid w:val="0053500D"/>
    <w:rsid w:val="00535171"/>
    <w:rsid w:val="00535AE5"/>
    <w:rsid w:val="005360CC"/>
    <w:rsid w:val="00536294"/>
    <w:rsid w:val="00536517"/>
    <w:rsid w:val="00537105"/>
    <w:rsid w:val="005371D2"/>
    <w:rsid w:val="00537DFF"/>
    <w:rsid w:val="00537F34"/>
    <w:rsid w:val="00540104"/>
    <w:rsid w:val="0054043A"/>
    <w:rsid w:val="00541103"/>
    <w:rsid w:val="00541D1E"/>
    <w:rsid w:val="00542186"/>
    <w:rsid w:val="005422BF"/>
    <w:rsid w:val="00542929"/>
    <w:rsid w:val="0054366A"/>
    <w:rsid w:val="0054438A"/>
    <w:rsid w:val="005445C0"/>
    <w:rsid w:val="0054474C"/>
    <w:rsid w:val="005453A0"/>
    <w:rsid w:val="005459BF"/>
    <w:rsid w:val="00545E02"/>
    <w:rsid w:val="005479E5"/>
    <w:rsid w:val="00550281"/>
    <w:rsid w:val="005504F2"/>
    <w:rsid w:val="00550520"/>
    <w:rsid w:val="005505FE"/>
    <w:rsid w:val="0055071D"/>
    <w:rsid w:val="005507A5"/>
    <w:rsid w:val="00550856"/>
    <w:rsid w:val="00550D69"/>
    <w:rsid w:val="0055244E"/>
    <w:rsid w:val="00552FD1"/>
    <w:rsid w:val="00553A22"/>
    <w:rsid w:val="00553B6F"/>
    <w:rsid w:val="00554FCF"/>
    <w:rsid w:val="005550B7"/>
    <w:rsid w:val="005554BF"/>
    <w:rsid w:val="00555E27"/>
    <w:rsid w:val="00556526"/>
    <w:rsid w:val="00556ADD"/>
    <w:rsid w:val="0055717E"/>
    <w:rsid w:val="00557D92"/>
    <w:rsid w:val="00560F90"/>
    <w:rsid w:val="005614A1"/>
    <w:rsid w:val="0056159E"/>
    <w:rsid w:val="00561675"/>
    <w:rsid w:val="005628A2"/>
    <w:rsid w:val="00562949"/>
    <w:rsid w:val="00562AED"/>
    <w:rsid w:val="00562D20"/>
    <w:rsid w:val="00562EDB"/>
    <w:rsid w:val="0056316E"/>
    <w:rsid w:val="005633AE"/>
    <w:rsid w:val="00563801"/>
    <w:rsid w:val="00563825"/>
    <w:rsid w:val="00563D2E"/>
    <w:rsid w:val="00564078"/>
    <w:rsid w:val="0056417E"/>
    <w:rsid w:val="00564270"/>
    <w:rsid w:val="0056476E"/>
    <w:rsid w:val="00564C28"/>
    <w:rsid w:val="005652F9"/>
    <w:rsid w:val="0056540D"/>
    <w:rsid w:val="0056552D"/>
    <w:rsid w:val="00565721"/>
    <w:rsid w:val="005660A8"/>
    <w:rsid w:val="00566431"/>
    <w:rsid w:val="0056753A"/>
    <w:rsid w:val="005700E0"/>
    <w:rsid w:val="00570165"/>
    <w:rsid w:val="00570B3B"/>
    <w:rsid w:val="00570CDA"/>
    <w:rsid w:val="00570F62"/>
    <w:rsid w:val="005713CE"/>
    <w:rsid w:val="00571838"/>
    <w:rsid w:val="00571AD3"/>
    <w:rsid w:val="0057210B"/>
    <w:rsid w:val="005723EF"/>
    <w:rsid w:val="00572663"/>
    <w:rsid w:val="00573341"/>
    <w:rsid w:val="00573500"/>
    <w:rsid w:val="00573DD6"/>
    <w:rsid w:val="005744D3"/>
    <w:rsid w:val="005746BA"/>
    <w:rsid w:val="00574A3F"/>
    <w:rsid w:val="00574F32"/>
    <w:rsid w:val="00575956"/>
    <w:rsid w:val="00576719"/>
    <w:rsid w:val="005769D5"/>
    <w:rsid w:val="00576A23"/>
    <w:rsid w:val="00576BDA"/>
    <w:rsid w:val="00577B01"/>
    <w:rsid w:val="00580867"/>
    <w:rsid w:val="00581875"/>
    <w:rsid w:val="005822B4"/>
    <w:rsid w:val="00582676"/>
    <w:rsid w:val="0058268E"/>
    <w:rsid w:val="00582842"/>
    <w:rsid w:val="00582855"/>
    <w:rsid w:val="00583369"/>
    <w:rsid w:val="005837E9"/>
    <w:rsid w:val="00583F18"/>
    <w:rsid w:val="005842D0"/>
    <w:rsid w:val="005843FB"/>
    <w:rsid w:val="0058457E"/>
    <w:rsid w:val="00584F3D"/>
    <w:rsid w:val="00585324"/>
    <w:rsid w:val="005855D4"/>
    <w:rsid w:val="005858CB"/>
    <w:rsid w:val="00586A71"/>
    <w:rsid w:val="00586C63"/>
    <w:rsid w:val="00586D02"/>
    <w:rsid w:val="00587A87"/>
    <w:rsid w:val="00587F40"/>
    <w:rsid w:val="0059059B"/>
    <w:rsid w:val="005907D7"/>
    <w:rsid w:val="00591966"/>
    <w:rsid w:val="00591B49"/>
    <w:rsid w:val="00592418"/>
    <w:rsid w:val="00592825"/>
    <w:rsid w:val="00593F31"/>
    <w:rsid w:val="00594924"/>
    <w:rsid w:val="00594B70"/>
    <w:rsid w:val="00594C73"/>
    <w:rsid w:val="00594EEE"/>
    <w:rsid w:val="00595151"/>
    <w:rsid w:val="005963F0"/>
    <w:rsid w:val="00596485"/>
    <w:rsid w:val="00596A59"/>
    <w:rsid w:val="00596CBC"/>
    <w:rsid w:val="005976C3"/>
    <w:rsid w:val="005977F2"/>
    <w:rsid w:val="005A0219"/>
    <w:rsid w:val="005A1244"/>
    <w:rsid w:val="005A1907"/>
    <w:rsid w:val="005A1A56"/>
    <w:rsid w:val="005A1ACB"/>
    <w:rsid w:val="005A1BBD"/>
    <w:rsid w:val="005A1DC0"/>
    <w:rsid w:val="005A2579"/>
    <w:rsid w:val="005A29B3"/>
    <w:rsid w:val="005A3489"/>
    <w:rsid w:val="005A408C"/>
    <w:rsid w:val="005A4155"/>
    <w:rsid w:val="005A474D"/>
    <w:rsid w:val="005A4C0B"/>
    <w:rsid w:val="005A50C1"/>
    <w:rsid w:val="005A56D6"/>
    <w:rsid w:val="005A58DA"/>
    <w:rsid w:val="005A5F49"/>
    <w:rsid w:val="005A5FC1"/>
    <w:rsid w:val="005A6A1E"/>
    <w:rsid w:val="005A7662"/>
    <w:rsid w:val="005A7925"/>
    <w:rsid w:val="005B04CD"/>
    <w:rsid w:val="005B060A"/>
    <w:rsid w:val="005B0B2A"/>
    <w:rsid w:val="005B1952"/>
    <w:rsid w:val="005B1ADF"/>
    <w:rsid w:val="005B1C40"/>
    <w:rsid w:val="005B1D76"/>
    <w:rsid w:val="005B26F8"/>
    <w:rsid w:val="005B2A17"/>
    <w:rsid w:val="005B2B7D"/>
    <w:rsid w:val="005B2EC6"/>
    <w:rsid w:val="005B2F2C"/>
    <w:rsid w:val="005B3416"/>
    <w:rsid w:val="005B3C1A"/>
    <w:rsid w:val="005B4C77"/>
    <w:rsid w:val="005B50DC"/>
    <w:rsid w:val="005B5900"/>
    <w:rsid w:val="005B7008"/>
    <w:rsid w:val="005B725F"/>
    <w:rsid w:val="005B733C"/>
    <w:rsid w:val="005B73D3"/>
    <w:rsid w:val="005B748E"/>
    <w:rsid w:val="005B7C31"/>
    <w:rsid w:val="005B7F46"/>
    <w:rsid w:val="005C0BB9"/>
    <w:rsid w:val="005C1DB6"/>
    <w:rsid w:val="005C21EA"/>
    <w:rsid w:val="005C2451"/>
    <w:rsid w:val="005C3D39"/>
    <w:rsid w:val="005C463C"/>
    <w:rsid w:val="005C4A50"/>
    <w:rsid w:val="005C5BDA"/>
    <w:rsid w:val="005C7087"/>
    <w:rsid w:val="005C76A5"/>
    <w:rsid w:val="005C7921"/>
    <w:rsid w:val="005D00F6"/>
    <w:rsid w:val="005D03C3"/>
    <w:rsid w:val="005D04BF"/>
    <w:rsid w:val="005D0D90"/>
    <w:rsid w:val="005D14A3"/>
    <w:rsid w:val="005D1501"/>
    <w:rsid w:val="005D18FF"/>
    <w:rsid w:val="005D1999"/>
    <w:rsid w:val="005D1DF1"/>
    <w:rsid w:val="005D2C66"/>
    <w:rsid w:val="005D2F8A"/>
    <w:rsid w:val="005D31DC"/>
    <w:rsid w:val="005D368C"/>
    <w:rsid w:val="005D3A6E"/>
    <w:rsid w:val="005D3D99"/>
    <w:rsid w:val="005D3DE6"/>
    <w:rsid w:val="005D551C"/>
    <w:rsid w:val="005D5A56"/>
    <w:rsid w:val="005D5C0D"/>
    <w:rsid w:val="005D600E"/>
    <w:rsid w:val="005D6613"/>
    <w:rsid w:val="005D6A6F"/>
    <w:rsid w:val="005D6D3A"/>
    <w:rsid w:val="005D73D7"/>
    <w:rsid w:val="005E0418"/>
    <w:rsid w:val="005E0602"/>
    <w:rsid w:val="005E25B8"/>
    <w:rsid w:val="005E2B0E"/>
    <w:rsid w:val="005E2B26"/>
    <w:rsid w:val="005E3796"/>
    <w:rsid w:val="005E398A"/>
    <w:rsid w:val="005E41C5"/>
    <w:rsid w:val="005E46CA"/>
    <w:rsid w:val="005E51D3"/>
    <w:rsid w:val="005E5540"/>
    <w:rsid w:val="005E61AC"/>
    <w:rsid w:val="005E6D7B"/>
    <w:rsid w:val="005E76B6"/>
    <w:rsid w:val="005E7891"/>
    <w:rsid w:val="005E79A1"/>
    <w:rsid w:val="005F08C0"/>
    <w:rsid w:val="005F0CD6"/>
    <w:rsid w:val="005F0FA5"/>
    <w:rsid w:val="005F151E"/>
    <w:rsid w:val="005F17D8"/>
    <w:rsid w:val="005F1F10"/>
    <w:rsid w:val="005F2188"/>
    <w:rsid w:val="005F21D0"/>
    <w:rsid w:val="005F2684"/>
    <w:rsid w:val="005F290F"/>
    <w:rsid w:val="005F2A7B"/>
    <w:rsid w:val="005F2AA6"/>
    <w:rsid w:val="005F3324"/>
    <w:rsid w:val="005F3D66"/>
    <w:rsid w:val="005F42CB"/>
    <w:rsid w:val="005F4E27"/>
    <w:rsid w:val="005F555D"/>
    <w:rsid w:val="005F56FF"/>
    <w:rsid w:val="005F577D"/>
    <w:rsid w:val="005F5981"/>
    <w:rsid w:val="005F5D38"/>
    <w:rsid w:val="005F6778"/>
    <w:rsid w:val="005F7461"/>
    <w:rsid w:val="005F7748"/>
    <w:rsid w:val="005F7783"/>
    <w:rsid w:val="005F7AC2"/>
    <w:rsid w:val="005F7C21"/>
    <w:rsid w:val="0060024E"/>
    <w:rsid w:val="0060070B"/>
    <w:rsid w:val="006009AC"/>
    <w:rsid w:val="006009D4"/>
    <w:rsid w:val="00600C5A"/>
    <w:rsid w:val="0060164C"/>
    <w:rsid w:val="00601C6A"/>
    <w:rsid w:val="00602A9E"/>
    <w:rsid w:val="00602DDA"/>
    <w:rsid w:val="0060371B"/>
    <w:rsid w:val="00603F4F"/>
    <w:rsid w:val="006041F4"/>
    <w:rsid w:val="0060446C"/>
    <w:rsid w:val="00604812"/>
    <w:rsid w:val="00604C00"/>
    <w:rsid w:val="00605023"/>
    <w:rsid w:val="006053B6"/>
    <w:rsid w:val="006059CE"/>
    <w:rsid w:val="00605DA2"/>
    <w:rsid w:val="00605ECF"/>
    <w:rsid w:val="00606A27"/>
    <w:rsid w:val="006076A3"/>
    <w:rsid w:val="00607EBE"/>
    <w:rsid w:val="00607FB0"/>
    <w:rsid w:val="00610472"/>
    <w:rsid w:val="006108DC"/>
    <w:rsid w:val="006109BA"/>
    <w:rsid w:val="00610BD7"/>
    <w:rsid w:val="00610FC6"/>
    <w:rsid w:val="0061130A"/>
    <w:rsid w:val="0061158E"/>
    <w:rsid w:val="00611F04"/>
    <w:rsid w:val="00612505"/>
    <w:rsid w:val="006130A6"/>
    <w:rsid w:val="0061326B"/>
    <w:rsid w:val="0061360A"/>
    <w:rsid w:val="006139A7"/>
    <w:rsid w:val="00613EB2"/>
    <w:rsid w:val="00614506"/>
    <w:rsid w:val="00614A8E"/>
    <w:rsid w:val="00614B81"/>
    <w:rsid w:val="00614DB9"/>
    <w:rsid w:val="006165A0"/>
    <w:rsid w:val="006168AD"/>
    <w:rsid w:val="00616ABA"/>
    <w:rsid w:val="00617270"/>
    <w:rsid w:val="00617AEE"/>
    <w:rsid w:val="00620619"/>
    <w:rsid w:val="00621DD4"/>
    <w:rsid w:val="00622915"/>
    <w:rsid w:val="00622C28"/>
    <w:rsid w:val="0062323A"/>
    <w:rsid w:val="00623A11"/>
    <w:rsid w:val="00623F87"/>
    <w:rsid w:val="006254DE"/>
    <w:rsid w:val="00625634"/>
    <w:rsid w:val="00625A74"/>
    <w:rsid w:val="00625D21"/>
    <w:rsid w:val="006265B7"/>
    <w:rsid w:val="006274DE"/>
    <w:rsid w:val="0063056D"/>
    <w:rsid w:val="00630958"/>
    <w:rsid w:val="00630E1D"/>
    <w:rsid w:val="0063130B"/>
    <w:rsid w:val="0063131A"/>
    <w:rsid w:val="006313F9"/>
    <w:rsid w:val="0063193A"/>
    <w:rsid w:val="006319E8"/>
    <w:rsid w:val="006341A3"/>
    <w:rsid w:val="00634C0C"/>
    <w:rsid w:val="006351DF"/>
    <w:rsid w:val="006355A1"/>
    <w:rsid w:val="00635CA3"/>
    <w:rsid w:val="006362A4"/>
    <w:rsid w:val="00636609"/>
    <w:rsid w:val="00637277"/>
    <w:rsid w:val="0063728D"/>
    <w:rsid w:val="00637301"/>
    <w:rsid w:val="00637430"/>
    <w:rsid w:val="00637F36"/>
    <w:rsid w:val="0064105C"/>
    <w:rsid w:val="006417A8"/>
    <w:rsid w:val="00642B8A"/>
    <w:rsid w:val="00642DF7"/>
    <w:rsid w:val="0064332C"/>
    <w:rsid w:val="00643978"/>
    <w:rsid w:val="0064424B"/>
    <w:rsid w:val="006442FC"/>
    <w:rsid w:val="00644AE9"/>
    <w:rsid w:val="00644DAC"/>
    <w:rsid w:val="00645174"/>
    <w:rsid w:val="00645A6C"/>
    <w:rsid w:val="00646004"/>
    <w:rsid w:val="006466BB"/>
    <w:rsid w:val="006467F6"/>
    <w:rsid w:val="006472FC"/>
    <w:rsid w:val="00647CBF"/>
    <w:rsid w:val="00650221"/>
    <w:rsid w:val="00651EFB"/>
    <w:rsid w:val="00652351"/>
    <w:rsid w:val="00653CC1"/>
    <w:rsid w:val="0065467E"/>
    <w:rsid w:val="00654DEC"/>
    <w:rsid w:val="00655901"/>
    <w:rsid w:val="00656BDF"/>
    <w:rsid w:val="00656D0C"/>
    <w:rsid w:val="00657141"/>
    <w:rsid w:val="00661487"/>
    <w:rsid w:val="00661935"/>
    <w:rsid w:val="00662F7E"/>
    <w:rsid w:val="006632DB"/>
    <w:rsid w:val="00663872"/>
    <w:rsid w:val="00663FE9"/>
    <w:rsid w:val="006651DC"/>
    <w:rsid w:val="006663D1"/>
    <w:rsid w:val="006671DD"/>
    <w:rsid w:val="006674E8"/>
    <w:rsid w:val="00667DA2"/>
    <w:rsid w:val="0067094A"/>
    <w:rsid w:val="00670A46"/>
    <w:rsid w:val="006716EE"/>
    <w:rsid w:val="00671B68"/>
    <w:rsid w:val="00672696"/>
    <w:rsid w:val="00672916"/>
    <w:rsid w:val="00672B21"/>
    <w:rsid w:val="00672E32"/>
    <w:rsid w:val="0067384A"/>
    <w:rsid w:val="00674007"/>
    <w:rsid w:val="00674F67"/>
    <w:rsid w:val="0067504F"/>
    <w:rsid w:val="0067531E"/>
    <w:rsid w:val="00675333"/>
    <w:rsid w:val="006755CE"/>
    <w:rsid w:val="00675613"/>
    <w:rsid w:val="00675D37"/>
    <w:rsid w:val="00675D49"/>
    <w:rsid w:val="00675F36"/>
    <w:rsid w:val="00677D4D"/>
    <w:rsid w:val="006811AC"/>
    <w:rsid w:val="006824A8"/>
    <w:rsid w:val="0068271B"/>
    <w:rsid w:val="00682C69"/>
    <w:rsid w:val="00682F85"/>
    <w:rsid w:val="00682FE5"/>
    <w:rsid w:val="006835AE"/>
    <w:rsid w:val="00683718"/>
    <w:rsid w:val="00683E01"/>
    <w:rsid w:val="006848ED"/>
    <w:rsid w:val="00685940"/>
    <w:rsid w:val="00685AED"/>
    <w:rsid w:val="006861A1"/>
    <w:rsid w:val="006861E8"/>
    <w:rsid w:val="006864BF"/>
    <w:rsid w:val="00686798"/>
    <w:rsid w:val="00686C2E"/>
    <w:rsid w:val="006876E5"/>
    <w:rsid w:val="00687809"/>
    <w:rsid w:val="006913F1"/>
    <w:rsid w:val="00691DC5"/>
    <w:rsid w:val="00692687"/>
    <w:rsid w:val="006926F6"/>
    <w:rsid w:val="00692E46"/>
    <w:rsid w:val="00694CCE"/>
    <w:rsid w:val="00694D76"/>
    <w:rsid w:val="00695D13"/>
    <w:rsid w:val="00695DCF"/>
    <w:rsid w:val="00696A14"/>
    <w:rsid w:val="00696B99"/>
    <w:rsid w:val="00696F17"/>
    <w:rsid w:val="00697067"/>
    <w:rsid w:val="0069712E"/>
    <w:rsid w:val="00697275"/>
    <w:rsid w:val="006A0D69"/>
    <w:rsid w:val="006A16D0"/>
    <w:rsid w:val="006A1A97"/>
    <w:rsid w:val="006A221F"/>
    <w:rsid w:val="006A28AB"/>
    <w:rsid w:val="006A3BB6"/>
    <w:rsid w:val="006A3EB2"/>
    <w:rsid w:val="006A4803"/>
    <w:rsid w:val="006A4A2E"/>
    <w:rsid w:val="006A4ACF"/>
    <w:rsid w:val="006A4D84"/>
    <w:rsid w:val="006A52F1"/>
    <w:rsid w:val="006A537C"/>
    <w:rsid w:val="006A55EA"/>
    <w:rsid w:val="006A5771"/>
    <w:rsid w:val="006A5CEE"/>
    <w:rsid w:val="006A62C8"/>
    <w:rsid w:val="006A7087"/>
    <w:rsid w:val="006B02FE"/>
    <w:rsid w:val="006B0490"/>
    <w:rsid w:val="006B0940"/>
    <w:rsid w:val="006B17A9"/>
    <w:rsid w:val="006B1EEA"/>
    <w:rsid w:val="006B22FE"/>
    <w:rsid w:val="006B2B6C"/>
    <w:rsid w:val="006B31B2"/>
    <w:rsid w:val="006B3228"/>
    <w:rsid w:val="006B3298"/>
    <w:rsid w:val="006B3713"/>
    <w:rsid w:val="006B37B0"/>
    <w:rsid w:val="006B3C38"/>
    <w:rsid w:val="006B3EC8"/>
    <w:rsid w:val="006B40EC"/>
    <w:rsid w:val="006B4CF7"/>
    <w:rsid w:val="006B4E72"/>
    <w:rsid w:val="006B5C84"/>
    <w:rsid w:val="006B5CC2"/>
    <w:rsid w:val="006B638D"/>
    <w:rsid w:val="006B6821"/>
    <w:rsid w:val="006B6BAD"/>
    <w:rsid w:val="006B6E58"/>
    <w:rsid w:val="006B735D"/>
    <w:rsid w:val="006B7801"/>
    <w:rsid w:val="006B7B10"/>
    <w:rsid w:val="006C0445"/>
    <w:rsid w:val="006C14A3"/>
    <w:rsid w:val="006C1747"/>
    <w:rsid w:val="006C237E"/>
    <w:rsid w:val="006C33A2"/>
    <w:rsid w:val="006C352D"/>
    <w:rsid w:val="006C36D2"/>
    <w:rsid w:val="006C4252"/>
    <w:rsid w:val="006C47E4"/>
    <w:rsid w:val="006C4F51"/>
    <w:rsid w:val="006C59C3"/>
    <w:rsid w:val="006C7447"/>
    <w:rsid w:val="006C78DB"/>
    <w:rsid w:val="006D003B"/>
    <w:rsid w:val="006D01BA"/>
    <w:rsid w:val="006D02FF"/>
    <w:rsid w:val="006D0932"/>
    <w:rsid w:val="006D0A0A"/>
    <w:rsid w:val="006D117D"/>
    <w:rsid w:val="006D17F1"/>
    <w:rsid w:val="006D181D"/>
    <w:rsid w:val="006D1BD1"/>
    <w:rsid w:val="006D2610"/>
    <w:rsid w:val="006D2BA0"/>
    <w:rsid w:val="006D2C89"/>
    <w:rsid w:val="006D2EE2"/>
    <w:rsid w:val="006D3072"/>
    <w:rsid w:val="006D3479"/>
    <w:rsid w:val="006D3DD5"/>
    <w:rsid w:val="006D4D8B"/>
    <w:rsid w:val="006D51EB"/>
    <w:rsid w:val="006D5780"/>
    <w:rsid w:val="006D5CAB"/>
    <w:rsid w:val="006D6067"/>
    <w:rsid w:val="006D664B"/>
    <w:rsid w:val="006D6BF6"/>
    <w:rsid w:val="006E0043"/>
    <w:rsid w:val="006E0B7E"/>
    <w:rsid w:val="006E128E"/>
    <w:rsid w:val="006E1719"/>
    <w:rsid w:val="006E3072"/>
    <w:rsid w:val="006E328D"/>
    <w:rsid w:val="006E4CAA"/>
    <w:rsid w:val="006E4CFF"/>
    <w:rsid w:val="006E4D34"/>
    <w:rsid w:val="006E5699"/>
    <w:rsid w:val="006E59F0"/>
    <w:rsid w:val="006E5DDE"/>
    <w:rsid w:val="006E5EE8"/>
    <w:rsid w:val="006E62C5"/>
    <w:rsid w:val="006E6550"/>
    <w:rsid w:val="006E6B18"/>
    <w:rsid w:val="006E6BA6"/>
    <w:rsid w:val="006E784F"/>
    <w:rsid w:val="006E7C81"/>
    <w:rsid w:val="006F01EA"/>
    <w:rsid w:val="006F0895"/>
    <w:rsid w:val="006F0A3D"/>
    <w:rsid w:val="006F1ED6"/>
    <w:rsid w:val="006F1EFC"/>
    <w:rsid w:val="006F1F8A"/>
    <w:rsid w:val="006F2264"/>
    <w:rsid w:val="006F2855"/>
    <w:rsid w:val="006F3133"/>
    <w:rsid w:val="006F3651"/>
    <w:rsid w:val="006F3886"/>
    <w:rsid w:val="006F38E3"/>
    <w:rsid w:val="006F3F64"/>
    <w:rsid w:val="006F4166"/>
    <w:rsid w:val="006F41D8"/>
    <w:rsid w:val="006F43A9"/>
    <w:rsid w:val="006F4D67"/>
    <w:rsid w:val="006F55C0"/>
    <w:rsid w:val="006F58B8"/>
    <w:rsid w:val="006F5AF2"/>
    <w:rsid w:val="006F7977"/>
    <w:rsid w:val="006F7992"/>
    <w:rsid w:val="006F7CAA"/>
    <w:rsid w:val="006F7EC3"/>
    <w:rsid w:val="00700217"/>
    <w:rsid w:val="00700423"/>
    <w:rsid w:val="007008E2"/>
    <w:rsid w:val="00700E94"/>
    <w:rsid w:val="007010B1"/>
    <w:rsid w:val="00701BB6"/>
    <w:rsid w:val="00701C67"/>
    <w:rsid w:val="007021BA"/>
    <w:rsid w:val="0070278C"/>
    <w:rsid w:val="0070284F"/>
    <w:rsid w:val="00702E51"/>
    <w:rsid w:val="00702FDA"/>
    <w:rsid w:val="0070380E"/>
    <w:rsid w:val="007040D9"/>
    <w:rsid w:val="007042E2"/>
    <w:rsid w:val="00704818"/>
    <w:rsid w:val="0070577E"/>
    <w:rsid w:val="00705803"/>
    <w:rsid w:val="007066E2"/>
    <w:rsid w:val="007067A3"/>
    <w:rsid w:val="00706D0D"/>
    <w:rsid w:val="00706D3B"/>
    <w:rsid w:val="00706DCB"/>
    <w:rsid w:val="00706EE7"/>
    <w:rsid w:val="00707252"/>
    <w:rsid w:val="00707504"/>
    <w:rsid w:val="007075B1"/>
    <w:rsid w:val="007100D7"/>
    <w:rsid w:val="0071012C"/>
    <w:rsid w:val="00710E2F"/>
    <w:rsid w:val="00710E71"/>
    <w:rsid w:val="00711282"/>
    <w:rsid w:val="007113E8"/>
    <w:rsid w:val="0071152D"/>
    <w:rsid w:val="00711C90"/>
    <w:rsid w:val="00712008"/>
    <w:rsid w:val="00712CFF"/>
    <w:rsid w:val="0071303B"/>
    <w:rsid w:val="007131ED"/>
    <w:rsid w:val="00713229"/>
    <w:rsid w:val="00713D69"/>
    <w:rsid w:val="00713F49"/>
    <w:rsid w:val="007140DD"/>
    <w:rsid w:val="00714E3B"/>
    <w:rsid w:val="007152DB"/>
    <w:rsid w:val="00716406"/>
    <w:rsid w:val="00716989"/>
    <w:rsid w:val="00716ADC"/>
    <w:rsid w:val="00716B63"/>
    <w:rsid w:val="00717D85"/>
    <w:rsid w:val="00720710"/>
    <w:rsid w:val="0072073A"/>
    <w:rsid w:val="00720F63"/>
    <w:rsid w:val="007219D7"/>
    <w:rsid w:val="00723220"/>
    <w:rsid w:val="00723AF1"/>
    <w:rsid w:val="00723CEA"/>
    <w:rsid w:val="007243CB"/>
    <w:rsid w:val="00724CE5"/>
    <w:rsid w:val="00725389"/>
    <w:rsid w:val="00725B4A"/>
    <w:rsid w:val="00725CDB"/>
    <w:rsid w:val="00726295"/>
    <w:rsid w:val="00726708"/>
    <w:rsid w:val="00726B96"/>
    <w:rsid w:val="00726D84"/>
    <w:rsid w:val="0072786C"/>
    <w:rsid w:val="00727989"/>
    <w:rsid w:val="007279A3"/>
    <w:rsid w:val="007320DD"/>
    <w:rsid w:val="00732CA8"/>
    <w:rsid w:val="00733218"/>
    <w:rsid w:val="00733302"/>
    <w:rsid w:val="00733B06"/>
    <w:rsid w:val="00733DD4"/>
    <w:rsid w:val="00733E32"/>
    <w:rsid w:val="00734356"/>
    <w:rsid w:val="0073447A"/>
    <w:rsid w:val="007344D5"/>
    <w:rsid w:val="00734E08"/>
    <w:rsid w:val="007350A3"/>
    <w:rsid w:val="007356C2"/>
    <w:rsid w:val="00735C5C"/>
    <w:rsid w:val="00736253"/>
    <w:rsid w:val="00740AA2"/>
    <w:rsid w:val="00740BD1"/>
    <w:rsid w:val="00741184"/>
    <w:rsid w:val="0074129E"/>
    <w:rsid w:val="00741324"/>
    <w:rsid w:val="00741848"/>
    <w:rsid w:val="00741A80"/>
    <w:rsid w:val="00741AC7"/>
    <w:rsid w:val="00741E6D"/>
    <w:rsid w:val="00741FFB"/>
    <w:rsid w:val="0074226A"/>
    <w:rsid w:val="00742287"/>
    <w:rsid w:val="00743760"/>
    <w:rsid w:val="007437AD"/>
    <w:rsid w:val="00743B8E"/>
    <w:rsid w:val="00743C3B"/>
    <w:rsid w:val="007441EE"/>
    <w:rsid w:val="00744F04"/>
    <w:rsid w:val="00745390"/>
    <w:rsid w:val="00745434"/>
    <w:rsid w:val="0074548B"/>
    <w:rsid w:val="007454C4"/>
    <w:rsid w:val="00745675"/>
    <w:rsid w:val="00746AB1"/>
    <w:rsid w:val="00746B99"/>
    <w:rsid w:val="007474A3"/>
    <w:rsid w:val="00750275"/>
    <w:rsid w:val="00750F45"/>
    <w:rsid w:val="007517CF"/>
    <w:rsid w:val="00751CC0"/>
    <w:rsid w:val="00752045"/>
    <w:rsid w:val="007520EC"/>
    <w:rsid w:val="00752BAF"/>
    <w:rsid w:val="00752CA6"/>
    <w:rsid w:val="00752DDB"/>
    <w:rsid w:val="00753059"/>
    <w:rsid w:val="00753666"/>
    <w:rsid w:val="00754442"/>
    <w:rsid w:val="00754E40"/>
    <w:rsid w:val="00754FC0"/>
    <w:rsid w:val="00755047"/>
    <w:rsid w:val="00755312"/>
    <w:rsid w:val="007559B5"/>
    <w:rsid w:val="00756896"/>
    <w:rsid w:val="00756955"/>
    <w:rsid w:val="0075716B"/>
    <w:rsid w:val="00757394"/>
    <w:rsid w:val="00757786"/>
    <w:rsid w:val="007577ED"/>
    <w:rsid w:val="00757842"/>
    <w:rsid w:val="00760278"/>
    <w:rsid w:val="0076136B"/>
    <w:rsid w:val="0076173F"/>
    <w:rsid w:val="00762136"/>
    <w:rsid w:val="007628A4"/>
    <w:rsid w:val="00762F1F"/>
    <w:rsid w:val="00763153"/>
    <w:rsid w:val="00763B9F"/>
    <w:rsid w:val="00763C34"/>
    <w:rsid w:val="00763CD0"/>
    <w:rsid w:val="00763F41"/>
    <w:rsid w:val="0076444C"/>
    <w:rsid w:val="00764495"/>
    <w:rsid w:val="00764522"/>
    <w:rsid w:val="0076488F"/>
    <w:rsid w:val="00764AFB"/>
    <w:rsid w:val="00764E4F"/>
    <w:rsid w:val="00766639"/>
    <w:rsid w:val="00766857"/>
    <w:rsid w:val="00766A58"/>
    <w:rsid w:val="00767FD2"/>
    <w:rsid w:val="0077029A"/>
    <w:rsid w:val="00770465"/>
    <w:rsid w:val="00772791"/>
    <w:rsid w:val="00772ACC"/>
    <w:rsid w:val="00772C80"/>
    <w:rsid w:val="00772DBE"/>
    <w:rsid w:val="00772FBF"/>
    <w:rsid w:val="007736E6"/>
    <w:rsid w:val="007739F7"/>
    <w:rsid w:val="00773A39"/>
    <w:rsid w:val="007745C9"/>
    <w:rsid w:val="0077523C"/>
    <w:rsid w:val="00775774"/>
    <w:rsid w:val="007764BE"/>
    <w:rsid w:val="00776C91"/>
    <w:rsid w:val="00776E68"/>
    <w:rsid w:val="00776ECE"/>
    <w:rsid w:val="00777333"/>
    <w:rsid w:val="007775AE"/>
    <w:rsid w:val="00777B1A"/>
    <w:rsid w:val="00780785"/>
    <w:rsid w:val="00781838"/>
    <w:rsid w:val="00781CD6"/>
    <w:rsid w:val="00781D49"/>
    <w:rsid w:val="007837DD"/>
    <w:rsid w:val="00783891"/>
    <w:rsid w:val="00783C03"/>
    <w:rsid w:val="00783C9F"/>
    <w:rsid w:val="00783CBF"/>
    <w:rsid w:val="0078454D"/>
    <w:rsid w:val="00784C82"/>
    <w:rsid w:val="00785E47"/>
    <w:rsid w:val="00786CBB"/>
    <w:rsid w:val="00790A3C"/>
    <w:rsid w:val="00790B4F"/>
    <w:rsid w:val="0079113B"/>
    <w:rsid w:val="007919C0"/>
    <w:rsid w:val="00792AB4"/>
    <w:rsid w:val="007930BA"/>
    <w:rsid w:val="007933B1"/>
    <w:rsid w:val="0079345E"/>
    <w:rsid w:val="007937B5"/>
    <w:rsid w:val="007942FC"/>
    <w:rsid w:val="0079460C"/>
    <w:rsid w:val="00794645"/>
    <w:rsid w:val="0079468C"/>
    <w:rsid w:val="007946F8"/>
    <w:rsid w:val="00794E90"/>
    <w:rsid w:val="00794F91"/>
    <w:rsid w:val="0079527B"/>
    <w:rsid w:val="00795815"/>
    <w:rsid w:val="007964DD"/>
    <w:rsid w:val="007969BD"/>
    <w:rsid w:val="00796C77"/>
    <w:rsid w:val="00796DE1"/>
    <w:rsid w:val="0079707F"/>
    <w:rsid w:val="0079717B"/>
    <w:rsid w:val="007A03EA"/>
    <w:rsid w:val="007A0A1F"/>
    <w:rsid w:val="007A0B3D"/>
    <w:rsid w:val="007A0EEB"/>
    <w:rsid w:val="007A142F"/>
    <w:rsid w:val="007A1D79"/>
    <w:rsid w:val="007A2720"/>
    <w:rsid w:val="007A2E57"/>
    <w:rsid w:val="007A348E"/>
    <w:rsid w:val="007A3584"/>
    <w:rsid w:val="007A371B"/>
    <w:rsid w:val="007A38D1"/>
    <w:rsid w:val="007A425B"/>
    <w:rsid w:val="007A4378"/>
    <w:rsid w:val="007A4585"/>
    <w:rsid w:val="007A4D7E"/>
    <w:rsid w:val="007A51B5"/>
    <w:rsid w:val="007A53F5"/>
    <w:rsid w:val="007A5813"/>
    <w:rsid w:val="007A64A3"/>
    <w:rsid w:val="007B0090"/>
    <w:rsid w:val="007B0D79"/>
    <w:rsid w:val="007B11D0"/>
    <w:rsid w:val="007B1C5F"/>
    <w:rsid w:val="007B1D91"/>
    <w:rsid w:val="007B372B"/>
    <w:rsid w:val="007B392C"/>
    <w:rsid w:val="007B428F"/>
    <w:rsid w:val="007B473C"/>
    <w:rsid w:val="007B4988"/>
    <w:rsid w:val="007B4C91"/>
    <w:rsid w:val="007B536E"/>
    <w:rsid w:val="007B56AE"/>
    <w:rsid w:val="007B5702"/>
    <w:rsid w:val="007B58CE"/>
    <w:rsid w:val="007B60A7"/>
    <w:rsid w:val="007B73F3"/>
    <w:rsid w:val="007B7480"/>
    <w:rsid w:val="007B7731"/>
    <w:rsid w:val="007C1C79"/>
    <w:rsid w:val="007C1D67"/>
    <w:rsid w:val="007C1D9F"/>
    <w:rsid w:val="007C1DF4"/>
    <w:rsid w:val="007C2515"/>
    <w:rsid w:val="007C2FD4"/>
    <w:rsid w:val="007C302B"/>
    <w:rsid w:val="007C485F"/>
    <w:rsid w:val="007C488D"/>
    <w:rsid w:val="007C4D03"/>
    <w:rsid w:val="007C4EBB"/>
    <w:rsid w:val="007C55AD"/>
    <w:rsid w:val="007C620E"/>
    <w:rsid w:val="007C7276"/>
    <w:rsid w:val="007C777B"/>
    <w:rsid w:val="007C7E5D"/>
    <w:rsid w:val="007D078A"/>
    <w:rsid w:val="007D0A6B"/>
    <w:rsid w:val="007D0D26"/>
    <w:rsid w:val="007D0F72"/>
    <w:rsid w:val="007D0F85"/>
    <w:rsid w:val="007D1198"/>
    <w:rsid w:val="007D137D"/>
    <w:rsid w:val="007D151A"/>
    <w:rsid w:val="007D15D2"/>
    <w:rsid w:val="007D1A27"/>
    <w:rsid w:val="007D2341"/>
    <w:rsid w:val="007D2A88"/>
    <w:rsid w:val="007D3780"/>
    <w:rsid w:val="007D3808"/>
    <w:rsid w:val="007D3B56"/>
    <w:rsid w:val="007D42A0"/>
    <w:rsid w:val="007D4355"/>
    <w:rsid w:val="007D4664"/>
    <w:rsid w:val="007D4B4A"/>
    <w:rsid w:val="007D4C33"/>
    <w:rsid w:val="007D4CAE"/>
    <w:rsid w:val="007D5261"/>
    <w:rsid w:val="007D5418"/>
    <w:rsid w:val="007D5898"/>
    <w:rsid w:val="007D5E06"/>
    <w:rsid w:val="007D6661"/>
    <w:rsid w:val="007D6ACA"/>
    <w:rsid w:val="007D6B25"/>
    <w:rsid w:val="007D6E9F"/>
    <w:rsid w:val="007D7398"/>
    <w:rsid w:val="007D7B94"/>
    <w:rsid w:val="007D7BE7"/>
    <w:rsid w:val="007E0220"/>
    <w:rsid w:val="007E13D4"/>
    <w:rsid w:val="007E183B"/>
    <w:rsid w:val="007E25B4"/>
    <w:rsid w:val="007E28F3"/>
    <w:rsid w:val="007E2C44"/>
    <w:rsid w:val="007E3813"/>
    <w:rsid w:val="007E38F5"/>
    <w:rsid w:val="007E3903"/>
    <w:rsid w:val="007E396C"/>
    <w:rsid w:val="007E3A31"/>
    <w:rsid w:val="007E5036"/>
    <w:rsid w:val="007E5714"/>
    <w:rsid w:val="007E5EBC"/>
    <w:rsid w:val="007E6674"/>
    <w:rsid w:val="007E6DC6"/>
    <w:rsid w:val="007F0A44"/>
    <w:rsid w:val="007F138A"/>
    <w:rsid w:val="007F1A15"/>
    <w:rsid w:val="007F22B9"/>
    <w:rsid w:val="007F2440"/>
    <w:rsid w:val="007F2545"/>
    <w:rsid w:val="007F2B4A"/>
    <w:rsid w:val="007F326F"/>
    <w:rsid w:val="007F3A39"/>
    <w:rsid w:val="007F3EB6"/>
    <w:rsid w:val="007F5815"/>
    <w:rsid w:val="007F617A"/>
    <w:rsid w:val="007F61DE"/>
    <w:rsid w:val="007F6488"/>
    <w:rsid w:val="007F6C34"/>
    <w:rsid w:val="007F7131"/>
    <w:rsid w:val="007F7AC5"/>
    <w:rsid w:val="007F7BD7"/>
    <w:rsid w:val="008001A7"/>
    <w:rsid w:val="008002BF"/>
    <w:rsid w:val="0080052B"/>
    <w:rsid w:val="00800CB1"/>
    <w:rsid w:val="00800FD3"/>
    <w:rsid w:val="0080169D"/>
    <w:rsid w:val="00801FA9"/>
    <w:rsid w:val="008023C9"/>
    <w:rsid w:val="008028A8"/>
    <w:rsid w:val="0080295A"/>
    <w:rsid w:val="00802974"/>
    <w:rsid w:val="00803447"/>
    <w:rsid w:val="00804218"/>
    <w:rsid w:val="0080429C"/>
    <w:rsid w:val="0080496C"/>
    <w:rsid w:val="0080497B"/>
    <w:rsid w:val="0080536C"/>
    <w:rsid w:val="00805796"/>
    <w:rsid w:val="00806531"/>
    <w:rsid w:val="008067E1"/>
    <w:rsid w:val="00806CCF"/>
    <w:rsid w:val="0081008A"/>
    <w:rsid w:val="00810747"/>
    <w:rsid w:val="00811188"/>
    <w:rsid w:val="00811740"/>
    <w:rsid w:val="008119E0"/>
    <w:rsid w:val="00811CA3"/>
    <w:rsid w:val="00812669"/>
    <w:rsid w:val="00812737"/>
    <w:rsid w:val="008129A8"/>
    <w:rsid w:val="008130D2"/>
    <w:rsid w:val="00814D89"/>
    <w:rsid w:val="00816330"/>
    <w:rsid w:val="008163A2"/>
    <w:rsid w:val="00816581"/>
    <w:rsid w:val="00816D7E"/>
    <w:rsid w:val="00820677"/>
    <w:rsid w:val="00820D43"/>
    <w:rsid w:val="00820D92"/>
    <w:rsid w:val="00820FCB"/>
    <w:rsid w:val="00822016"/>
    <w:rsid w:val="0082206F"/>
    <w:rsid w:val="00822C2D"/>
    <w:rsid w:val="00823475"/>
    <w:rsid w:val="008243F1"/>
    <w:rsid w:val="008253E7"/>
    <w:rsid w:val="00825D62"/>
    <w:rsid w:val="0082671F"/>
    <w:rsid w:val="00827046"/>
    <w:rsid w:val="008272A4"/>
    <w:rsid w:val="0082752E"/>
    <w:rsid w:val="00827B0D"/>
    <w:rsid w:val="00827E44"/>
    <w:rsid w:val="00827ED1"/>
    <w:rsid w:val="008301B5"/>
    <w:rsid w:val="008304D5"/>
    <w:rsid w:val="00830A48"/>
    <w:rsid w:val="00830CBC"/>
    <w:rsid w:val="00830D36"/>
    <w:rsid w:val="00831BB2"/>
    <w:rsid w:val="00831E79"/>
    <w:rsid w:val="0083328B"/>
    <w:rsid w:val="00833C7B"/>
    <w:rsid w:val="00833D0C"/>
    <w:rsid w:val="00834169"/>
    <w:rsid w:val="008341AF"/>
    <w:rsid w:val="00834871"/>
    <w:rsid w:val="008349BB"/>
    <w:rsid w:val="008357F7"/>
    <w:rsid w:val="0083596A"/>
    <w:rsid w:val="00835B81"/>
    <w:rsid w:val="008360A7"/>
    <w:rsid w:val="008361E4"/>
    <w:rsid w:val="008366B5"/>
    <w:rsid w:val="008367D9"/>
    <w:rsid w:val="008369AE"/>
    <w:rsid w:val="00836B83"/>
    <w:rsid w:val="00836E67"/>
    <w:rsid w:val="00837D80"/>
    <w:rsid w:val="008400AA"/>
    <w:rsid w:val="008401D8"/>
    <w:rsid w:val="00841B45"/>
    <w:rsid w:val="00843750"/>
    <w:rsid w:val="008439FD"/>
    <w:rsid w:val="00843A3A"/>
    <w:rsid w:val="00845C45"/>
    <w:rsid w:val="0084605F"/>
    <w:rsid w:val="00846340"/>
    <w:rsid w:val="00846EB6"/>
    <w:rsid w:val="00846ECB"/>
    <w:rsid w:val="0084748E"/>
    <w:rsid w:val="0085039C"/>
    <w:rsid w:val="00851907"/>
    <w:rsid w:val="00852ABF"/>
    <w:rsid w:val="00852F1C"/>
    <w:rsid w:val="00854F8F"/>
    <w:rsid w:val="00855812"/>
    <w:rsid w:val="00856909"/>
    <w:rsid w:val="00856A76"/>
    <w:rsid w:val="00856CBD"/>
    <w:rsid w:val="00856E36"/>
    <w:rsid w:val="008573C9"/>
    <w:rsid w:val="00857CFC"/>
    <w:rsid w:val="00860789"/>
    <w:rsid w:val="008609DC"/>
    <w:rsid w:val="0086165B"/>
    <w:rsid w:val="008620DC"/>
    <w:rsid w:val="008624A6"/>
    <w:rsid w:val="00862570"/>
    <w:rsid w:val="008627C7"/>
    <w:rsid w:val="00862EED"/>
    <w:rsid w:val="00863872"/>
    <w:rsid w:val="008651FE"/>
    <w:rsid w:val="008658F9"/>
    <w:rsid w:val="008659F6"/>
    <w:rsid w:val="00865BD9"/>
    <w:rsid w:val="0086640F"/>
    <w:rsid w:val="008666B6"/>
    <w:rsid w:val="00866D6F"/>
    <w:rsid w:val="00866DFF"/>
    <w:rsid w:val="0086789B"/>
    <w:rsid w:val="00867ED9"/>
    <w:rsid w:val="008704C3"/>
    <w:rsid w:val="008705F0"/>
    <w:rsid w:val="00870A36"/>
    <w:rsid w:val="00871943"/>
    <w:rsid w:val="00871FC3"/>
    <w:rsid w:val="00872203"/>
    <w:rsid w:val="008729B6"/>
    <w:rsid w:val="00873732"/>
    <w:rsid w:val="00874EC2"/>
    <w:rsid w:val="008757D6"/>
    <w:rsid w:val="00875C96"/>
    <w:rsid w:val="0087618E"/>
    <w:rsid w:val="0087751E"/>
    <w:rsid w:val="00877742"/>
    <w:rsid w:val="00877FE9"/>
    <w:rsid w:val="0088001B"/>
    <w:rsid w:val="0088005D"/>
    <w:rsid w:val="008806A7"/>
    <w:rsid w:val="008817E0"/>
    <w:rsid w:val="008823B1"/>
    <w:rsid w:val="0088318F"/>
    <w:rsid w:val="0088369F"/>
    <w:rsid w:val="00883C5C"/>
    <w:rsid w:val="008864AE"/>
    <w:rsid w:val="0088677A"/>
    <w:rsid w:val="00886DDA"/>
    <w:rsid w:val="00886F99"/>
    <w:rsid w:val="008877C6"/>
    <w:rsid w:val="00892146"/>
    <w:rsid w:val="0089216C"/>
    <w:rsid w:val="00892DE0"/>
    <w:rsid w:val="00892ED8"/>
    <w:rsid w:val="00894C73"/>
    <w:rsid w:val="00894E2C"/>
    <w:rsid w:val="008950FF"/>
    <w:rsid w:val="0089589C"/>
    <w:rsid w:val="00895B73"/>
    <w:rsid w:val="00896370"/>
    <w:rsid w:val="00896E53"/>
    <w:rsid w:val="008978FE"/>
    <w:rsid w:val="008A044A"/>
    <w:rsid w:val="008A065D"/>
    <w:rsid w:val="008A1421"/>
    <w:rsid w:val="008A150A"/>
    <w:rsid w:val="008A18E1"/>
    <w:rsid w:val="008A1CD3"/>
    <w:rsid w:val="008A1D5D"/>
    <w:rsid w:val="008A2B9C"/>
    <w:rsid w:val="008A34F1"/>
    <w:rsid w:val="008A3785"/>
    <w:rsid w:val="008A3C30"/>
    <w:rsid w:val="008A560C"/>
    <w:rsid w:val="008A5B39"/>
    <w:rsid w:val="008A602D"/>
    <w:rsid w:val="008A60F0"/>
    <w:rsid w:val="008A6836"/>
    <w:rsid w:val="008A7627"/>
    <w:rsid w:val="008B06D2"/>
    <w:rsid w:val="008B0936"/>
    <w:rsid w:val="008B1564"/>
    <w:rsid w:val="008B169A"/>
    <w:rsid w:val="008B236F"/>
    <w:rsid w:val="008B2699"/>
    <w:rsid w:val="008B288A"/>
    <w:rsid w:val="008B333F"/>
    <w:rsid w:val="008B37F5"/>
    <w:rsid w:val="008B39FC"/>
    <w:rsid w:val="008B4645"/>
    <w:rsid w:val="008B5247"/>
    <w:rsid w:val="008B5416"/>
    <w:rsid w:val="008B5ABD"/>
    <w:rsid w:val="008B608B"/>
    <w:rsid w:val="008B6EEB"/>
    <w:rsid w:val="008B6F39"/>
    <w:rsid w:val="008B77F6"/>
    <w:rsid w:val="008B7B79"/>
    <w:rsid w:val="008B7E82"/>
    <w:rsid w:val="008C078E"/>
    <w:rsid w:val="008C0A62"/>
    <w:rsid w:val="008C0BAD"/>
    <w:rsid w:val="008C0DDE"/>
    <w:rsid w:val="008C1828"/>
    <w:rsid w:val="008C1FC9"/>
    <w:rsid w:val="008C232D"/>
    <w:rsid w:val="008C3607"/>
    <w:rsid w:val="008C546B"/>
    <w:rsid w:val="008C67CF"/>
    <w:rsid w:val="008C68EC"/>
    <w:rsid w:val="008C6EB6"/>
    <w:rsid w:val="008C7194"/>
    <w:rsid w:val="008C7F10"/>
    <w:rsid w:val="008D0114"/>
    <w:rsid w:val="008D0982"/>
    <w:rsid w:val="008D10DD"/>
    <w:rsid w:val="008D1FE7"/>
    <w:rsid w:val="008D2148"/>
    <w:rsid w:val="008D291D"/>
    <w:rsid w:val="008D29E4"/>
    <w:rsid w:val="008D4B16"/>
    <w:rsid w:val="008D4D96"/>
    <w:rsid w:val="008D5403"/>
    <w:rsid w:val="008D558F"/>
    <w:rsid w:val="008D5681"/>
    <w:rsid w:val="008D595C"/>
    <w:rsid w:val="008D5A06"/>
    <w:rsid w:val="008D62CC"/>
    <w:rsid w:val="008D6A14"/>
    <w:rsid w:val="008D6FE5"/>
    <w:rsid w:val="008D6FEE"/>
    <w:rsid w:val="008D7B72"/>
    <w:rsid w:val="008D7EFE"/>
    <w:rsid w:val="008E00DB"/>
    <w:rsid w:val="008E0252"/>
    <w:rsid w:val="008E03E6"/>
    <w:rsid w:val="008E130C"/>
    <w:rsid w:val="008E1999"/>
    <w:rsid w:val="008E1BA1"/>
    <w:rsid w:val="008E3067"/>
    <w:rsid w:val="008E3F0F"/>
    <w:rsid w:val="008E41E6"/>
    <w:rsid w:val="008E4AD6"/>
    <w:rsid w:val="008E4BA9"/>
    <w:rsid w:val="008E5B1D"/>
    <w:rsid w:val="008E6E08"/>
    <w:rsid w:val="008F09CA"/>
    <w:rsid w:val="008F0A31"/>
    <w:rsid w:val="008F0F78"/>
    <w:rsid w:val="008F15BE"/>
    <w:rsid w:val="008F1867"/>
    <w:rsid w:val="008F1956"/>
    <w:rsid w:val="008F26C6"/>
    <w:rsid w:val="008F4E67"/>
    <w:rsid w:val="008F5076"/>
    <w:rsid w:val="008F51E9"/>
    <w:rsid w:val="008F56D7"/>
    <w:rsid w:val="008F5946"/>
    <w:rsid w:val="008F6091"/>
    <w:rsid w:val="008F7033"/>
    <w:rsid w:val="008F7049"/>
    <w:rsid w:val="008F7603"/>
    <w:rsid w:val="008F7730"/>
    <w:rsid w:val="008F7A94"/>
    <w:rsid w:val="008F7E0C"/>
    <w:rsid w:val="00900224"/>
    <w:rsid w:val="00900FE1"/>
    <w:rsid w:val="00901FBA"/>
    <w:rsid w:val="009022BE"/>
    <w:rsid w:val="00902446"/>
    <w:rsid w:val="00902AD7"/>
    <w:rsid w:val="00902B5A"/>
    <w:rsid w:val="00902B65"/>
    <w:rsid w:val="00902B78"/>
    <w:rsid w:val="00902BD6"/>
    <w:rsid w:val="009035E8"/>
    <w:rsid w:val="009041CB"/>
    <w:rsid w:val="00904F54"/>
    <w:rsid w:val="00905451"/>
    <w:rsid w:val="00905703"/>
    <w:rsid w:val="00905F05"/>
    <w:rsid w:val="009063D4"/>
    <w:rsid w:val="009063E8"/>
    <w:rsid w:val="0090738F"/>
    <w:rsid w:val="009078BF"/>
    <w:rsid w:val="00907D37"/>
    <w:rsid w:val="00907ED0"/>
    <w:rsid w:val="00910416"/>
    <w:rsid w:val="009104D7"/>
    <w:rsid w:val="0091068C"/>
    <w:rsid w:val="00910E51"/>
    <w:rsid w:val="009120A8"/>
    <w:rsid w:val="009120BC"/>
    <w:rsid w:val="0091279E"/>
    <w:rsid w:val="00912AF5"/>
    <w:rsid w:val="0091371B"/>
    <w:rsid w:val="00913F2F"/>
    <w:rsid w:val="00914142"/>
    <w:rsid w:val="00916195"/>
    <w:rsid w:val="00916377"/>
    <w:rsid w:val="0091705C"/>
    <w:rsid w:val="00917280"/>
    <w:rsid w:val="009203D7"/>
    <w:rsid w:val="00920699"/>
    <w:rsid w:val="00920749"/>
    <w:rsid w:val="00920826"/>
    <w:rsid w:val="00921114"/>
    <w:rsid w:val="00921148"/>
    <w:rsid w:val="009214A8"/>
    <w:rsid w:val="009215B4"/>
    <w:rsid w:val="009219B9"/>
    <w:rsid w:val="00921ED1"/>
    <w:rsid w:val="0092216F"/>
    <w:rsid w:val="009225B5"/>
    <w:rsid w:val="00922737"/>
    <w:rsid w:val="00922816"/>
    <w:rsid w:val="00922901"/>
    <w:rsid w:val="00922A40"/>
    <w:rsid w:val="00923018"/>
    <w:rsid w:val="0092364B"/>
    <w:rsid w:val="00923E9E"/>
    <w:rsid w:val="009244C0"/>
    <w:rsid w:val="00924BA1"/>
    <w:rsid w:val="00925190"/>
    <w:rsid w:val="00925415"/>
    <w:rsid w:val="009261A6"/>
    <w:rsid w:val="009264D1"/>
    <w:rsid w:val="00926EDE"/>
    <w:rsid w:val="00926F92"/>
    <w:rsid w:val="009275A6"/>
    <w:rsid w:val="00927849"/>
    <w:rsid w:val="00927E5A"/>
    <w:rsid w:val="00930140"/>
    <w:rsid w:val="00930281"/>
    <w:rsid w:val="009302BC"/>
    <w:rsid w:val="009308CF"/>
    <w:rsid w:val="00931356"/>
    <w:rsid w:val="0093135F"/>
    <w:rsid w:val="00931AF8"/>
    <w:rsid w:val="00931DD7"/>
    <w:rsid w:val="00931FD5"/>
    <w:rsid w:val="00933191"/>
    <w:rsid w:val="00933235"/>
    <w:rsid w:val="009340AB"/>
    <w:rsid w:val="0093414D"/>
    <w:rsid w:val="00934452"/>
    <w:rsid w:val="00934B11"/>
    <w:rsid w:val="00935045"/>
    <w:rsid w:val="009354EC"/>
    <w:rsid w:val="0093561A"/>
    <w:rsid w:val="009359EF"/>
    <w:rsid w:val="009364C7"/>
    <w:rsid w:val="0093661A"/>
    <w:rsid w:val="0093682B"/>
    <w:rsid w:val="00937E98"/>
    <w:rsid w:val="00940911"/>
    <w:rsid w:val="00941D33"/>
    <w:rsid w:val="009431E8"/>
    <w:rsid w:val="00943425"/>
    <w:rsid w:val="00943AC2"/>
    <w:rsid w:val="00944484"/>
    <w:rsid w:val="00944ACD"/>
    <w:rsid w:val="00944C5E"/>
    <w:rsid w:val="00945682"/>
    <w:rsid w:val="00945765"/>
    <w:rsid w:val="009457D7"/>
    <w:rsid w:val="00946439"/>
    <w:rsid w:val="00946604"/>
    <w:rsid w:val="0094690A"/>
    <w:rsid w:val="00946C4F"/>
    <w:rsid w:val="00950124"/>
    <w:rsid w:val="00950B76"/>
    <w:rsid w:val="009516A2"/>
    <w:rsid w:val="0095193E"/>
    <w:rsid w:val="0095277F"/>
    <w:rsid w:val="00953596"/>
    <w:rsid w:val="00953D49"/>
    <w:rsid w:val="00953D85"/>
    <w:rsid w:val="00954090"/>
    <w:rsid w:val="009540F1"/>
    <w:rsid w:val="009545A6"/>
    <w:rsid w:val="00954ED6"/>
    <w:rsid w:val="0095516B"/>
    <w:rsid w:val="009553CF"/>
    <w:rsid w:val="00956823"/>
    <w:rsid w:val="009568C8"/>
    <w:rsid w:val="009569F8"/>
    <w:rsid w:val="009579FA"/>
    <w:rsid w:val="00957F2F"/>
    <w:rsid w:val="009614C7"/>
    <w:rsid w:val="00961895"/>
    <w:rsid w:val="0096196D"/>
    <w:rsid w:val="0096198A"/>
    <w:rsid w:val="009619C0"/>
    <w:rsid w:val="00961AF9"/>
    <w:rsid w:val="00962A9C"/>
    <w:rsid w:val="00962C12"/>
    <w:rsid w:val="009632EC"/>
    <w:rsid w:val="00963BDB"/>
    <w:rsid w:val="009647B7"/>
    <w:rsid w:val="009649F1"/>
    <w:rsid w:val="00964E5C"/>
    <w:rsid w:val="0096530F"/>
    <w:rsid w:val="0096625D"/>
    <w:rsid w:val="0096636E"/>
    <w:rsid w:val="00966A34"/>
    <w:rsid w:val="00967538"/>
    <w:rsid w:val="00970659"/>
    <w:rsid w:val="00970BF3"/>
    <w:rsid w:val="00970D53"/>
    <w:rsid w:val="00970DA2"/>
    <w:rsid w:val="00970F86"/>
    <w:rsid w:val="00971062"/>
    <w:rsid w:val="00971877"/>
    <w:rsid w:val="0097191D"/>
    <w:rsid w:val="0097393E"/>
    <w:rsid w:val="00973BC9"/>
    <w:rsid w:val="00973DE8"/>
    <w:rsid w:val="00974728"/>
    <w:rsid w:val="00974D0A"/>
    <w:rsid w:val="00974EFD"/>
    <w:rsid w:val="0097561B"/>
    <w:rsid w:val="0097563A"/>
    <w:rsid w:val="009756F4"/>
    <w:rsid w:val="00975BAF"/>
    <w:rsid w:val="00975F1F"/>
    <w:rsid w:val="0097602A"/>
    <w:rsid w:val="00976606"/>
    <w:rsid w:val="00976CC0"/>
    <w:rsid w:val="00976D3D"/>
    <w:rsid w:val="00977038"/>
    <w:rsid w:val="00977399"/>
    <w:rsid w:val="0097776A"/>
    <w:rsid w:val="009777E3"/>
    <w:rsid w:val="00977812"/>
    <w:rsid w:val="00977E58"/>
    <w:rsid w:val="009808D0"/>
    <w:rsid w:val="00980FCA"/>
    <w:rsid w:val="009822DA"/>
    <w:rsid w:val="009827A9"/>
    <w:rsid w:val="00982C5E"/>
    <w:rsid w:val="00982E35"/>
    <w:rsid w:val="00983073"/>
    <w:rsid w:val="00983389"/>
    <w:rsid w:val="00983A40"/>
    <w:rsid w:val="00984369"/>
    <w:rsid w:val="00984C42"/>
    <w:rsid w:val="009856E8"/>
    <w:rsid w:val="00985A40"/>
    <w:rsid w:val="009869DA"/>
    <w:rsid w:val="00986E65"/>
    <w:rsid w:val="00986FD2"/>
    <w:rsid w:val="00987091"/>
    <w:rsid w:val="00987A50"/>
    <w:rsid w:val="00990BEE"/>
    <w:rsid w:val="00992510"/>
    <w:rsid w:val="00992680"/>
    <w:rsid w:val="00992D50"/>
    <w:rsid w:val="009931A0"/>
    <w:rsid w:val="009941DB"/>
    <w:rsid w:val="00994269"/>
    <w:rsid w:val="0099434E"/>
    <w:rsid w:val="00994FAE"/>
    <w:rsid w:val="00994FF3"/>
    <w:rsid w:val="00995AA5"/>
    <w:rsid w:val="00995DFB"/>
    <w:rsid w:val="0099615F"/>
    <w:rsid w:val="00996490"/>
    <w:rsid w:val="00996862"/>
    <w:rsid w:val="009968D5"/>
    <w:rsid w:val="009971BF"/>
    <w:rsid w:val="00997D39"/>
    <w:rsid w:val="009A0489"/>
    <w:rsid w:val="009A0986"/>
    <w:rsid w:val="009A1331"/>
    <w:rsid w:val="009A14B4"/>
    <w:rsid w:val="009A2477"/>
    <w:rsid w:val="009A25CE"/>
    <w:rsid w:val="009A2D3E"/>
    <w:rsid w:val="009A2FFE"/>
    <w:rsid w:val="009A36F8"/>
    <w:rsid w:val="009A3A34"/>
    <w:rsid w:val="009A3D36"/>
    <w:rsid w:val="009A40E5"/>
    <w:rsid w:val="009A4D70"/>
    <w:rsid w:val="009A5089"/>
    <w:rsid w:val="009A53B8"/>
    <w:rsid w:val="009A67D4"/>
    <w:rsid w:val="009A6874"/>
    <w:rsid w:val="009A75C6"/>
    <w:rsid w:val="009B018E"/>
    <w:rsid w:val="009B0246"/>
    <w:rsid w:val="009B0256"/>
    <w:rsid w:val="009B030A"/>
    <w:rsid w:val="009B082C"/>
    <w:rsid w:val="009B0D1E"/>
    <w:rsid w:val="009B1C77"/>
    <w:rsid w:val="009B39E7"/>
    <w:rsid w:val="009B3CD9"/>
    <w:rsid w:val="009B3E0B"/>
    <w:rsid w:val="009B3FE5"/>
    <w:rsid w:val="009B4FAF"/>
    <w:rsid w:val="009B5F8A"/>
    <w:rsid w:val="009B6408"/>
    <w:rsid w:val="009B6D03"/>
    <w:rsid w:val="009B756D"/>
    <w:rsid w:val="009B7825"/>
    <w:rsid w:val="009C0003"/>
    <w:rsid w:val="009C05F6"/>
    <w:rsid w:val="009C0C84"/>
    <w:rsid w:val="009C1129"/>
    <w:rsid w:val="009C1602"/>
    <w:rsid w:val="009C25D7"/>
    <w:rsid w:val="009C3442"/>
    <w:rsid w:val="009C4666"/>
    <w:rsid w:val="009C4F51"/>
    <w:rsid w:val="009C521C"/>
    <w:rsid w:val="009C53E9"/>
    <w:rsid w:val="009C5688"/>
    <w:rsid w:val="009C58D7"/>
    <w:rsid w:val="009C5B2B"/>
    <w:rsid w:val="009C6540"/>
    <w:rsid w:val="009C6A20"/>
    <w:rsid w:val="009C6BA8"/>
    <w:rsid w:val="009C726F"/>
    <w:rsid w:val="009C73A4"/>
    <w:rsid w:val="009C7D55"/>
    <w:rsid w:val="009D01D0"/>
    <w:rsid w:val="009D07A4"/>
    <w:rsid w:val="009D07E3"/>
    <w:rsid w:val="009D0860"/>
    <w:rsid w:val="009D128F"/>
    <w:rsid w:val="009D13C1"/>
    <w:rsid w:val="009D1463"/>
    <w:rsid w:val="009D25AD"/>
    <w:rsid w:val="009D2AE3"/>
    <w:rsid w:val="009D2BB5"/>
    <w:rsid w:val="009D315F"/>
    <w:rsid w:val="009D3807"/>
    <w:rsid w:val="009D38D8"/>
    <w:rsid w:val="009D3AFE"/>
    <w:rsid w:val="009D42E0"/>
    <w:rsid w:val="009D44E3"/>
    <w:rsid w:val="009D473D"/>
    <w:rsid w:val="009D4A07"/>
    <w:rsid w:val="009D676A"/>
    <w:rsid w:val="009D7A5E"/>
    <w:rsid w:val="009D7DB4"/>
    <w:rsid w:val="009E02B6"/>
    <w:rsid w:val="009E0AE3"/>
    <w:rsid w:val="009E0B01"/>
    <w:rsid w:val="009E15C0"/>
    <w:rsid w:val="009E19B9"/>
    <w:rsid w:val="009E1B19"/>
    <w:rsid w:val="009E1F4C"/>
    <w:rsid w:val="009E1F82"/>
    <w:rsid w:val="009E2B83"/>
    <w:rsid w:val="009E3172"/>
    <w:rsid w:val="009E3983"/>
    <w:rsid w:val="009E3FC5"/>
    <w:rsid w:val="009E518A"/>
    <w:rsid w:val="009E5983"/>
    <w:rsid w:val="009E5A02"/>
    <w:rsid w:val="009E5A67"/>
    <w:rsid w:val="009E5AEE"/>
    <w:rsid w:val="009E5B83"/>
    <w:rsid w:val="009E69BF"/>
    <w:rsid w:val="009E6E21"/>
    <w:rsid w:val="009E7033"/>
    <w:rsid w:val="009E760E"/>
    <w:rsid w:val="009F01EE"/>
    <w:rsid w:val="009F19DC"/>
    <w:rsid w:val="009F1FFF"/>
    <w:rsid w:val="009F27AF"/>
    <w:rsid w:val="009F29F8"/>
    <w:rsid w:val="009F33DA"/>
    <w:rsid w:val="009F3496"/>
    <w:rsid w:val="009F382F"/>
    <w:rsid w:val="009F3A09"/>
    <w:rsid w:val="009F433F"/>
    <w:rsid w:val="009F45C8"/>
    <w:rsid w:val="009F4B35"/>
    <w:rsid w:val="009F5663"/>
    <w:rsid w:val="009F595D"/>
    <w:rsid w:val="009F59AE"/>
    <w:rsid w:val="009F62F5"/>
    <w:rsid w:val="009F67AD"/>
    <w:rsid w:val="00A00DE2"/>
    <w:rsid w:val="00A01157"/>
    <w:rsid w:val="00A012AF"/>
    <w:rsid w:val="00A02A7F"/>
    <w:rsid w:val="00A02E38"/>
    <w:rsid w:val="00A03D5C"/>
    <w:rsid w:val="00A03FFF"/>
    <w:rsid w:val="00A04763"/>
    <w:rsid w:val="00A049D4"/>
    <w:rsid w:val="00A04B7C"/>
    <w:rsid w:val="00A04D34"/>
    <w:rsid w:val="00A05CE5"/>
    <w:rsid w:val="00A065E2"/>
    <w:rsid w:val="00A06982"/>
    <w:rsid w:val="00A07411"/>
    <w:rsid w:val="00A108FD"/>
    <w:rsid w:val="00A11799"/>
    <w:rsid w:val="00A11BE5"/>
    <w:rsid w:val="00A125D4"/>
    <w:rsid w:val="00A136A4"/>
    <w:rsid w:val="00A137CB"/>
    <w:rsid w:val="00A143D5"/>
    <w:rsid w:val="00A146A9"/>
    <w:rsid w:val="00A1494E"/>
    <w:rsid w:val="00A15304"/>
    <w:rsid w:val="00A1557E"/>
    <w:rsid w:val="00A1603F"/>
    <w:rsid w:val="00A1786E"/>
    <w:rsid w:val="00A2010E"/>
    <w:rsid w:val="00A21B82"/>
    <w:rsid w:val="00A221D0"/>
    <w:rsid w:val="00A221FA"/>
    <w:rsid w:val="00A22BF4"/>
    <w:rsid w:val="00A234A5"/>
    <w:rsid w:val="00A24369"/>
    <w:rsid w:val="00A25B19"/>
    <w:rsid w:val="00A25C0F"/>
    <w:rsid w:val="00A25E6A"/>
    <w:rsid w:val="00A2744D"/>
    <w:rsid w:val="00A27532"/>
    <w:rsid w:val="00A278EF"/>
    <w:rsid w:val="00A27A0A"/>
    <w:rsid w:val="00A27DEA"/>
    <w:rsid w:val="00A30808"/>
    <w:rsid w:val="00A3299D"/>
    <w:rsid w:val="00A329F2"/>
    <w:rsid w:val="00A32A16"/>
    <w:rsid w:val="00A335DA"/>
    <w:rsid w:val="00A3379E"/>
    <w:rsid w:val="00A33A77"/>
    <w:rsid w:val="00A33BC8"/>
    <w:rsid w:val="00A33DE5"/>
    <w:rsid w:val="00A3410F"/>
    <w:rsid w:val="00A3471A"/>
    <w:rsid w:val="00A34C7F"/>
    <w:rsid w:val="00A3588A"/>
    <w:rsid w:val="00A3592D"/>
    <w:rsid w:val="00A35BF6"/>
    <w:rsid w:val="00A35E4F"/>
    <w:rsid w:val="00A35E78"/>
    <w:rsid w:val="00A35FB8"/>
    <w:rsid w:val="00A3699D"/>
    <w:rsid w:val="00A37EA4"/>
    <w:rsid w:val="00A40168"/>
    <w:rsid w:val="00A40943"/>
    <w:rsid w:val="00A41703"/>
    <w:rsid w:val="00A41CFD"/>
    <w:rsid w:val="00A41DB5"/>
    <w:rsid w:val="00A43754"/>
    <w:rsid w:val="00A44093"/>
    <w:rsid w:val="00A45B42"/>
    <w:rsid w:val="00A46216"/>
    <w:rsid w:val="00A46381"/>
    <w:rsid w:val="00A46BD4"/>
    <w:rsid w:val="00A46C03"/>
    <w:rsid w:val="00A46C28"/>
    <w:rsid w:val="00A46DEE"/>
    <w:rsid w:val="00A46E3C"/>
    <w:rsid w:val="00A46F8D"/>
    <w:rsid w:val="00A47087"/>
    <w:rsid w:val="00A47A72"/>
    <w:rsid w:val="00A501DD"/>
    <w:rsid w:val="00A50B25"/>
    <w:rsid w:val="00A51703"/>
    <w:rsid w:val="00A51B30"/>
    <w:rsid w:val="00A52780"/>
    <w:rsid w:val="00A54281"/>
    <w:rsid w:val="00A558B0"/>
    <w:rsid w:val="00A559F5"/>
    <w:rsid w:val="00A55A0E"/>
    <w:rsid w:val="00A55A73"/>
    <w:rsid w:val="00A566AE"/>
    <w:rsid w:val="00A5672C"/>
    <w:rsid w:val="00A573EF"/>
    <w:rsid w:val="00A57AC1"/>
    <w:rsid w:val="00A57D6F"/>
    <w:rsid w:val="00A60676"/>
    <w:rsid w:val="00A6079F"/>
    <w:rsid w:val="00A6089D"/>
    <w:rsid w:val="00A608EE"/>
    <w:rsid w:val="00A620BC"/>
    <w:rsid w:val="00A6212A"/>
    <w:rsid w:val="00A6254E"/>
    <w:rsid w:val="00A6264B"/>
    <w:rsid w:val="00A62DBC"/>
    <w:rsid w:val="00A64C02"/>
    <w:rsid w:val="00A650BB"/>
    <w:rsid w:val="00A65647"/>
    <w:rsid w:val="00A656D3"/>
    <w:rsid w:val="00A65E3B"/>
    <w:rsid w:val="00A65F32"/>
    <w:rsid w:val="00A661A6"/>
    <w:rsid w:val="00A662EA"/>
    <w:rsid w:val="00A66859"/>
    <w:rsid w:val="00A66B8E"/>
    <w:rsid w:val="00A672BB"/>
    <w:rsid w:val="00A6730E"/>
    <w:rsid w:val="00A70200"/>
    <w:rsid w:val="00A70DC5"/>
    <w:rsid w:val="00A71679"/>
    <w:rsid w:val="00A71BFD"/>
    <w:rsid w:val="00A722A9"/>
    <w:rsid w:val="00A748FD"/>
    <w:rsid w:val="00A74EE0"/>
    <w:rsid w:val="00A75789"/>
    <w:rsid w:val="00A76426"/>
    <w:rsid w:val="00A766B4"/>
    <w:rsid w:val="00A76F24"/>
    <w:rsid w:val="00A7715C"/>
    <w:rsid w:val="00A77614"/>
    <w:rsid w:val="00A77B16"/>
    <w:rsid w:val="00A810E2"/>
    <w:rsid w:val="00A8194C"/>
    <w:rsid w:val="00A81D8A"/>
    <w:rsid w:val="00A835BD"/>
    <w:rsid w:val="00A84089"/>
    <w:rsid w:val="00A84679"/>
    <w:rsid w:val="00A847B8"/>
    <w:rsid w:val="00A84A23"/>
    <w:rsid w:val="00A84B42"/>
    <w:rsid w:val="00A8518A"/>
    <w:rsid w:val="00A85734"/>
    <w:rsid w:val="00A85CC6"/>
    <w:rsid w:val="00A87CC0"/>
    <w:rsid w:val="00A87CC3"/>
    <w:rsid w:val="00A90A5F"/>
    <w:rsid w:val="00A91740"/>
    <w:rsid w:val="00A91B4A"/>
    <w:rsid w:val="00A92130"/>
    <w:rsid w:val="00A92751"/>
    <w:rsid w:val="00A92F0F"/>
    <w:rsid w:val="00A94DFC"/>
    <w:rsid w:val="00A94F17"/>
    <w:rsid w:val="00A94F3A"/>
    <w:rsid w:val="00A95885"/>
    <w:rsid w:val="00A9593E"/>
    <w:rsid w:val="00A95B5D"/>
    <w:rsid w:val="00A96ED2"/>
    <w:rsid w:val="00A97CCE"/>
    <w:rsid w:val="00A97CD0"/>
    <w:rsid w:val="00AA0788"/>
    <w:rsid w:val="00AA0B60"/>
    <w:rsid w:val="00AA155A"/>
    <w:rsid w:val="00AA168F"/>
    <w:rsid w:val="00AA17AB"/>
    <w:rsid w:val="00AA1C9B"/>
    <w:rsid w:val="00AA1EC2"/>
    <w:rsid w:val="00AA24EC"/>
    <w:rsid w:val="00AA25B8"/>
    <w:rsid w:val="00AA2C86"/>
    <w:rsid w:val="00AA2D1B"/>
    <w:rsid w:val="00AA3073"/>
    <w:rsid w:val="00AA317C"/>
    <w:rsid w:val="00AA33B8"/>
    <w:rsid w:val="00AA3805"/>
    <w:rsid w:val="00AA38CB"/>
    <w:rsid w:val="00AA402F"/>
    <w:rsid w:val="00AA520B"/>
    <w:rsid w:val="00AA522A"/>
    <w:rsid w:val="00AA597E"/>
    <w:rsid w:val="00AA6087"/>
    <w:rsid w:val="00AA6945"/>
    <w:rsid w:val="00AA69AB"/>
    <w:rsid w:val="00AA6EF7"/>
    <w:rsid w:val="00AA7A95"/>
    <w:rsid w:val="00AA7EF5"/>
    <w:rsid w:val="00AB0557"/>
    <w:rsid w:val="00AB0DAE"/>
    <w:rsid w:val="00AB0FB0"/>
    <w:rsid w:val="00AB1C2F"/>
    <w:rsid w:val="00AB1C36"/>
    <w:rsid w:val="00AB1E8C"/>
    <w:rsid w:val="00AB3487"/>
    <w:rsid w:val="00AB35F6"/>
    <w:rsid w:val="00AB3BA4"/>
    <w:rsid w:val="00AB48EA"/>
    <w:rsid w:val="00AB490B"/>
    <w:rsid w:val="00AB57F1"/>
    <w:rsid w:val="00AB6A4F"/>
    <w:rsid w:val="00AB7224"/>
    <w:rsid w:val="00AB7B10"/>
    <w:rsid w:val="00AC0361"/>
    <w:rsid w:val="00AC0D08"/>
    <w:rsid w:val="00AC17CB"/>
    <w:rsid w:val="00AC1CBE"/>
    <w:rsid w:val="00AC280B"/>
    <w:rsid w:val="00AC2EA6"/>
    <w:rsid w:val="00AC3430"/>
    <w:rsid w:val="00AC38FB"/>
    <w:rsid w:val="00AC3F94"/>
    <w:rsid w:val="00AC43CE"/>
    <w:rsid w:val="00AC4B71"/>
    <w:rsid w:val="00AC550F"/>
    <w:rsid w:val="00AC645E"/>
    <w:rsid w:val="00AC738C"/>
    <w:rsid w:val="00AC7767"/>
    <w:rsid w:val="00AC7795"/>
    <w:rsid w:val="00AD0228"/>
    <w:rsid w:val="00AD0412"/>
    <w:rsid w:val="00AD0803"/>
    <w:rsid w:val="00AD150B"/>
    <w:rsid w:val="00AD2035"/>
    <w:rsid w:val="00AD2A01"/>
    <w:rsid w:val="00AD2D7D"/>
    <w:rsid w:val="00AD3A3E"/>
    <w:rsid w:val="00AD4A6B"/>
    <w:rsid w:val="00AD4CF8"/>
    <w:rsid w:val="00AD5A31"/>
    <w:rsid w:val="00AD5CE4"/>
    <w:rsid w:val="00AD5CFD"/>
    <w:rsid w:val="00AD6075"/>
    <w:rsid w:val="00AD6DA1"/>
    <w:rsid w:val="00AD7373"/>
    <w:rsid w:val="00AD770E"/>
    <w:rsid w:val="00AE086A"/>
    <w:rsid w:val="00AE0925"/>
    <w:rsid w:val="00AE232F"/>
    <w:rsid w:val="00AE23FE"/>
    <w:rsid w:val="00AE2597"/>
    <w:rsid w:val="00AE28C6"/>
    <w:rsid w:val="00AE2DC8"/>
    <w:rsid w:val="00AE3897"/>
    <w:rsid w:val="00AE5E5B"/>
    <w:rsid w:val="00AE7877"/>
    <w:rsid w:val="00AE7C33"/>
    <w:rsid w:val="00AF0F83"/>
    <w:rsid w:val="00AF14FB"/>
    <w:rsid w:val="00AF2726"/>
    <w:rsid w:val="00AF285B"/>
    <w:rsid w:val="00AF293D"/>
    <w:rsid w:val="00AF2CC9"/>
    <w:rsid w:val="00AF2DE6"/>
    <w:rsid w:val="00AF46FA"/>
    <w:rsid w:val="00AF4A89"/>
    <w:rsid w:val="00AF5324"/>
    <w:rsid w:val="00AF66DA"/>
    <w:rsid w:val="00AF67AB"/>
    <w:rsid w:val="00AF681C"/>
    <w:rsid w:val="00AF6B04"/>
    <w:rsid w:val="00AF6E65"/>
    <w:rsid w:val="00AF731A"/>
    <w:rsid w:val="00AF7F79"/>
    <w:rsid w:val="00B00037"/>
    <w:rsid w:val="00B002CA"/>
    <w:rsid w:val="00B009AF"/>
    <w:rsid w:val="00B00E33"/>
    <w:rsid w:val="00B014C3"/>
    <w:rsid w:val="00B01850"/>
    <w:rsid w:val="00B0197E"/>
    <w:rsid w:val="00B01F10"/>
    <w:rsid w:val="00B02E9D"/>
    <w:rsid w:val="00B03C6E"/>
    <w:rsid w:val="00B03C7C"/>
    <w:rsid w:val="00B03F62"/>
    <w:rsid w:val="00B04008"/>
    <w:rsid w:val="00B0414C"/>
    <w:rsid w:val="00B04988"/>
    <w:rsid w:val="00B04DDB"/>
    <w:rsid w:val="00B04DE5"/>
    <w:rsid w:val="00B0558C"/>
    <w:rsid w:val="00B0592E"/>
    <w:rsid w:val="00B05A06"/>
    <w:rsid w:val="00B05BD7"/>
    <w:rsid w:val="00B07321"/>
    <w:rsid w:val="00B07E71"/>
    <w:rsid w:val="00B07ED7"/>
    <w:rsid w:val="00B101D7"/>
    <w:rsid w:val="00B1069C"/>
    <w:rsid w:val="00B126D8"/>
    <w:rsid w:val="00B12CF6"/>
    <w:rsid w:val="00B142B2"/>
    <w:rsid w:val="00B15B01"/>
    <w:rsid w:val="00B15C24"/>
    <w:rsid w:val="00B15E0D"/>
    <w:rsid w:val="00B16626"/>
    <w:rsid w:val="00B17058"/>
    <w:rsid w:val="00B175F8"/>
    <w:rsid w:val="00B203AA"/>
    <w:rsid w:val="00B203CB"/>
    <w:rsid w:val="00B2065F"/>
    <w:rsid w:val="00B207A5"/>
    <w:rsid w:val="00B2087C"/>
    <w:rsid w:val="00B20DEE"/>
    <w:rsid w:val="00B211A8"/>
    <w:rsid w:val="00B216CA"/>
    <w:rsid w:val="00B21CB8"/>
    <w:rsid w:val="00B21E09"/>
    <w:rsid w:val="00B22B9E"/>
    <w:rsid w:val="00B23258"/>
    <w:rsid w:val="00B23A3F"/>
    <w:rsid w:val="00B23DB0"/>
    <w:rsid w:val="00B2417B"/>
    <w:rsid w:val="00B24322"/>
    <w:rsid w:val="00B24425"/>
    <w:rsid w:val="00B246BE"/>
    <w:rsid w:val="00B24B42"/>
    <w:rsid w:val="00B24F28"/>
    <w:rsid w:val="00B255EC"/>
    <w:rsid w:val="00B26058"/>
    <w:rsid w:val="00B2635D"/>
    <w:rsid w:val="00B26614"/>
    <w:rsid w:val="00B26A51"/>
    <w:rsid w:val="00B26AAF"/>
    <w:rsid w:val="00B30755"/>
    <w:rsid w:val="00B31E6E"/>
    <w:rsid w:val="00B32552"/>
    <w:rsid w:val="00B33232"/>
    <w:rsid w:val="00B337ED"/>
    <w:rsid w:val="00B338E4"/>
    <w:rsid w:val="00B34506"/>
    <w:rsid w:val="00B34670"/>
    <w:rsid w:val="00B34E65"/>
    <w:rsid w:val="00B35218"/>
    <w:rsid w:val="00B354D4"/>
    <w:rsid w:val="00B357D3"/>
    <w:rsid w:val="00B35D4A"/>
    <w:rsid w:val="00B35DF7"/>
    <w:rsid w:val="00B360C3"/>
    <w:rsid w:val="00B36645"/>
    <w:rsid w:val="00B367A6"/>
    <w:rsid w:val="00B36C7E"/>
    <w:rsid w:val="00B37007"/>
    <w:rsid w:val="00B37558"/>
    <w:rsid w:val="00B37A6D"/>
    <w:rsid w:val="00B37D49"/>
    <w:rsid w:val="00B403AC"/>
    <w:rsid w:val="00B4059E"/>
    <w:rsid w:val="00B405AF"/>
    <w:rsid w:val="00B40888"/>
    <w:rsid w:val="00B41B78"/>
    <w:rsid w:val="00B422DE"/>
    <w:rsid w:val="00B42672"/>
    <w:rsid w:val="00B42D35"/>
    <w:rsid w:val="00B438D7"/>
    <w:rsid w:val="00B4429A"/>
    <w:rsid w:val="00B44466"/>
    <w:rsid w:val="00B451FD"/>
    <w:rsid w:val="00B454EC"/>
    <w:rsid w:val="00B45E27"/>
    <w:rsid w:val="00B46D40"/>
    <w:rsid w:val="00B46DE4"/>
    <w:rsid w:val="00B47193"/>
    <w:rsid w:val="00B503E7"/>
    <w:rsid w:val="00B507B9"/>
    <w:rsid w:val="00B50B02"/>
    <w:rsid w:val="00B50C26"/>
    <w:rsid w:val="00B50FB6"/>
    <w:rsid w:val="00B5123D"/>
    <w:rsid w:val="00B53074"/>
    <w:rsid w:val="00B54A04"/>
    <w:rsid w:val="00B54EE2"/>
    <w:rsid w:val="00B557AC"/>
    <w:rsid w:val="00B55AA4"/>
    <w:rsid w:val="00B579ED"/>
    <w:rsid w:val="00B60508"/>
    <w:rsid w:val="00B60A77"/>
    <w:rsid w:val="00B60BD2"/>
    <w:rsid w:val="00B60FC8"/>
    <w:rsid w:val="00B61299"/>
    <w:rsid w:val="00B61993"/>
    <w:rsid w:val="00B61A89"/>
    <w:rsid w:val="00B61BAC"/>
    <w:rsid w:val="00B61F39"/>
    <w:rsid w:val="00B62701"/>
    <w:rsid w:val="00B627AD"/>
    <w:rsid w:val="00B628F2"/>
    <w:rsid w:val="00B6338E"/>
    <w:rsid w:val="00B6377F"/>
    <w:rsid w:val="00B63AF8"/>
    <w:rsid w:val="00B64C0B"/>
    <w:rsid w:val="00B6547B"/>
    <w:rsid w:val="00B655E2"/>
    <w:rsid w:val="00B663F1"/>
    <w:rsid w:val="00B66C54"/>
    <w:rsid w:val="00B6752E"/>
    <w:rsid w:val="00B67E04"/>
    <w:rsid w:val="00B70F69"/>
    <w:rsid w:val="00B71007"/>
    <w:rsid w:val="00B7126A"/>
    <w:rsid w:val="00B71C06"/>
    <w:rsid w:val="00B720F0"/>
    <w:rsid w:val="00B7250E"/>
    <w:rsid w:val="00B73073"/>
    <w:rsid w:val="00B73267"/>
    <w:rsid w:val="00B73DD0"/>
    <w:rsid w:val="00B74785"/>
    <w:rsid w:val="00B7580A"/>
    <w:rsid w:val="00B768D8"/>
    <w:rsid w:val="00B76DEB"/>
    <w:rsid w:val="00B7770D"/>
    <w:rsid w:val="00B80DB9"/>
    <w:rsid w:val="00B810BD"/>
    <w:rsid w:val="00B8155B"/>
    <w:rsid w:val="00B81739"/>
    <w:rsid w:val="00B81A18"/>
    <w:rsid w:val="00B82075"/>
    <w:rsid w:val="00B822E7"/>
    <w:rsid w:val="00B829A5"/>
    <w:rsid w:val="00B82CA4"/>
    <w:rsid w:val="00B82F30"/>
    <w:rsid w:val="00B83592"/>
    <w:rsid w:val="00B83C93"/>
    <w:rsid w:val="00B845B5"/>
    <w:rsid w:val="00B848F4"/>
    <w:rsid w:val="00B849E8"/>
    <w:rsid w:val="00B84D38"/>
    <w:rsid w:val="00B84F6C"/>
    <w:rsid w:val="00B85EE0"/>
    <w:rsid w:val="00B866C6"/>
    <w:rsid w:val="00B879AB"/>
    <w:rsid w:val="00B91C20"/>
    <w:rsid w:val="00B92190"/>
    <w:rsid w:val="00B92560"/>
    <w:rsid w:val="00B927C1"/>
    <w:rsid w:val="00B93CEF"/>
    <w:rsid w:val="00B9490A"/>
    <w:rsid w:val="00B94F12"/>
    <w:rsid w:val="00B95FCE"/>
    <w:rsid w:val="00B9686D"/>
    <w:rsid w:val="00B96AA7"/>
    <w:rsid w:val="00B9743F"/>
    <w:rsid w:val="00B974DF"/>
    <w:rsid w:val="00B9786C"/>
    <w:rsid w:val="00B97C51"/>
    <w:rsid w:val="00B97D09"/>
    <w:rsid w:val="00B97E8D"/>
    <w:rsid w:val="00BA0586"/>
    <w:rsid w:val="00BA06A3"/>
    <w:rsid w:val="00BA165C"/>
    <w:rsid w:val="00BA196B"/>
    <w:rsid w:val="00BA38D8"/>
    <w:rsid w:val="00BA3EB0"/>
    <w:rsid w:val="00BA4346"/>
    <w:rsid w:val="00BA4BC4"/>
    <w:rsid w:val="00BA5425"/>
    <w:rsid w:val="00BA5518"/>
    <w:rsid w:val="00BA57E2"/>
    <w:rsid w:val="00BA60DC"/>
    <w:rsid w:val="00BA653B"/>
    <w:rsid w:val="00BA6DAC"/>
    <w:rsid w:val="00BA752B"/>
    <w:rsid w:val="00BB0435"/>
    <w:rsid w:val="00BB074F"/>
    <w:rsid w:val="00BB0CED"/>
    <w:rsid w:val="00BB1575"/>
    <w:rsid w:val="00BB21D3"/>
    <w:rsid w:val="00BB280D"/>
    <w:rsid w:val="00BB2B0C"/>
    <w:rsid w:val="00BB3024"/>
    <w:rsid w:val="00BB3362"/>
    <w:rsid w:val="00BB4AC3"/>
    <w:rsid w:val="00BB4F2F"/>
    <w:rsid w:val="00BB5349"/>
    <w:rsid w:val="00BB5846"/>
    <w:rsid w:val="00BB5B72"/>
    <w:rsid w:val="00BB67DA"/>
    <w:rsid w:val="00BC0115"/>
    <w:rsid w:val="00BC02B9"/>
    <w:rsid w:val="00BC07BE"/>
    <w:rsid w:val="00BC1125"/>
    <w:rsid w:val="00BC1FEC"/>
    <w:rsid w:val="00BC204F"/>
    <w:rsid w:val="00BC274E"/>
    <w:rsid w:val="00BC2765"/>
    <w:rsid w:val="00BC3213"/>
    <w:rsid w:val="00BC37CA"/>
    <w:rsid w:val="00BC674A"/>
    <w:rsid w:val="00BC727B"/>
    <w:rsid w:val="00BC7347"/>
    <w:rsid w:val="00BC796E"/>
    <w:rsid w:val="00BC7CFC"/>
    <w:rsid w:val="00BD0172"/>
    <w:rsid w:val="00BD07DC"/>
    <w:rsid w:val="00BD1686"/>
    <w:rsid w:val="00BD20EA"/>
    <w:rsid w:val="00BD34E1"/>
    <w:rsid w:val="00BD3ADD"/>
    <w:rsid w:val="00BD3C98"/>
    <w:rsid w:val="00BD4236"/>
    <w:rsid w:val="00BD4543"/>
    <w:rsid w:val="00BD5EA3"/>
    <w:rsid w:val="00BD6044"/>
    <w:rsid w:val="00BD67BE"/>
    <w:rsid w:val="00BD72C5"/>
    <w:rsid w:val="00BD7381"/>
    <w:rsid w:val="00BD73B1"/>
    <w:rsid w:val="00BD7826"/>
    <w:rsid w:val="00BD7A0A"/>
    <w:rsid w:val="00BD7ED8"/>
    <w:rsid w:val="00BD7EEA"/>
    <w:rsid w:val="00BE0A07"/>
    <w:rsid w:val="00BE0CF5"/>
    <w:rsid w:val="00BE1685"/>
    <w:rsid w:val="00BE17D4"/>
    <w:rsid w:val="00BE1BCD"/>
    <w:rsid w:val="00BE2CA8"/>
    <w:rsid w:val="00BE3204"/>
    <w:rsid w:val="00BE3207"/>
    <w:rsid w:val="00BE3A38"/>
    <w:rsid w:val="00BE3A57"/>
    <w:rsid w:val="00BE3D8B"/>
    <w:rsid w:val="00BE42DE"/>
    <w:rsid w:val="00BE441B"/>
    <w:rsid w:val="00BE53CD"/>
    <w:rsid w:val="00BE55FE"/>
    <w:rsid w:val="00BE58D9"/>
    <w:rsid w:val="00BE5D02"/>
    <w:rsid w:val="00BE6BE1"/>
    <w:rsid w:val="00BE6C3C"/>
    <w:rsid w:val="00BE741F"/>
    <w:rsid w:val="00BE755E"/>
    <w:rsid w:val="00BE7961"/>
    <w:rsid w:val="00BF01DC"/>
    <w:rsid w:val="00BF0BA4"/>
    <w:rsid w:val="00BF101C"/>
    <w:rsid w:val="00BF1033"/>
    <w:rsid w:val="00BF1B98"/>
    <w:rsid w:val="00BF1F42"/>
    <w:rsid w:val="00BF1FD4"/>
    <w:rsid w:val="00BF20D1"/>
    <w:rsid w:val="00BF258F"/>
    <w:rsid w:val="00BF2C04"/>
    <w:rsid w:val="00BF32E5"/>
    <w:rsid w:val="00BF3C24"/>
    <w:rsid w:val="00BF4387"/>
    <w:rsid w:val="00BF4698"/>
    <w:rsid w:val="00BF4F9C"/>
    <w:rsid w:val="00BF5B00"/>
    <w:rsid w:val="00BF5EC7"/>
    <w:rsid w:val="00BF6113"/>
    <w:rsid w:val="00BF636C"/>
    <w:rsid w:val="00BF657B"/>
    <w:rsid w:val="00BF6CF0"/>
    <w:rsid w:val="00BF6DA0"/>
    <w:rsid w:val="00BF71C4"/>
    <w:rsid w:val="00C02E99"/>
    <w:rsid w:val="00C032D3"/>
    <w:rsid w:val="00C037AB"/>
    <w:rsid w:val="00C03872"/>
    <w:rsid w:val="00C04371"/>
    <w:rsid w:val="00C04877"/>
    <w:rsid w:val="00C04AB4"/>
    <w:rsid w:val="00C057E4"/>
    <w:rsid w:val="00C059F1"/>
    <w:rsid w:val="00C06026"/>
    <w:rsid w:val="00C06BBA"/>
    <w:rsid w:val="00C06C08"/>
    <w:rsid w:val="00C07A60"/>
    <w:rsid w:val="00C07D65"/>
    <w:rsid w:val="00C10202"/>
    <w:rsid w:val="00C106D0"/>
    <w:rsid w:val="00C10A00"/>
    <w:rsid w:val="00C1177F"/>
    <w:rsid w:val="00C11A41"/>
    <w:rsid w:val="00C11EC9"/>
    <w:rsid w:val="00C122A2"/>
    <w:rsid w:val="00C12504"/>
    <w:rsid w:val="00C126BF"/>
    <w:rsid w:val="00C126E5"/>
    <w:rsid w:val="00C12AF4"/>
    <w:rsid w:val="00C14158"/>
    <w:rsid w:val="00C14878"/>
    <w:rsid w:val="00C14B2D"/>
    <w:rsid w:val="00C14E31"/>
    <w:rsid w:val="00C1547A"/>
    <w:rsid w:val="00C1570F"/>
    <w:rsid w:val="00C16102"/>
    <w:rsid w:val="00C1655A"/>
    <w:rsid w:val="00C168DA"/>
    <w:rsid w:val="00C179E8"/>
    <w:rsid w:val="00C17ABD"/>
    <w:rsid w:val="00C17BAD"/>
    <w:rsid w:val="00C17EDF"/>
    <w:rsid w:val="00C17F02"/>
    <w:rsid w:val="00C20BE2"/>
    <w:rsid w:val="00C210D1"/>
    <w:rsid w:val="00C21B31"/>
    <w:rsid w:val="00C22ADB"/>
    <w:rsid w:val="00C22B8A"/>
    <w:rsid w:val="00C22EBF"/>
    <w:rsid w:val="00C22EE5"/>
    <w:rsid w:val="00C23091"/>
    <w:rsid w:val="00C231C1"/>
    <w:rsid w:val="00C2386B"/>
    <w:rsid w:val="00C249A3"/>
    <w:rsid w:val="00C24F8E"/>
    <w:rsid w:val="00C25677"/>
    <w:rsid w:val="00C256BC"/>
    <w:rsid w:val="00C2729C"/>
    <w:rsid w:val="00C2743F"/>
    <w:rsid w:val="00C27559"/>
    <w:rsid w:val="00C276C8"/>
    <w:rsid w:val="00C27E31"/>
    <w:rsid w:val="00C27F80"/>
    <w:rsid w:val="00C307E8"/>
    <w:rsid w:val="00C30BDA"/>
    <w:rsid w:val="00C30D92"/>
    <w:rsid w:val="00C3118D"/>
    <w:rsid w:val="00C32480"/>
    <w:rsid w:val="00C33131"/>
    <w:rsid w:val="00C35413"/>
    <w:rsid w:val="00C35C22"/>
    <w:rsid w:val="00C361CF"/>
    <w:rsid w:val="00C3625E"/>
    <w:rsid w:val="00C36298"/>
    <w:rsid w:val="00C36E1A"/>
    <w:rsid w:val="00C36FDD"/>
    <w:rsid w:val="00C373AE"/>
    <w:rsid w:val="00C37861"/>
    <w:rsid w:val="00C37B9D"/>
    <w:rsid w:val="00C414CA"/>
    <w:rsid w:val="00C41784"/>
    <w:rsid w:val="00C41AEE"/>
    <w:rsid w:val="00C41E92"/>
    <w:rsid w:val="00C429C4"/>
    <w:rsid w:val="00C42E53"/>
    <w:rsid w:val="00C447B0"/>
    <w:rsid w:val="00C44DC8"/>
    <w:rsid w:val="00C4589F"/>
    <w:rsid w:val="00C45D1E"/>
    <w:rsid w:val="00C46237"/>
    <w:rsid w:val="00C47195"/>
    <w:rsid w:val="00C47826"/>
    <w:rsid w:val="00C478EA"/>
    <w:rsid w:val="00C506A7"/>
    <w:rsid w:val="00C512C9"/>
    <w:rsid w:val="00C5142A"/>
    <w:rsid w:val="00C51458"/>
    <w:rsid w:val="00C5145E"/>
    <w:rsid w:val="00C51FD9"/>
    <w:rsid w:val="00C52376"/>
    <w:rsid w:val="00C52AB3"/>
    <w:rsid w:val="00C52D72"/>
    <w:rsid w:val="00C539DB"/>
    <w:rsid w:val="00C56251"/>
    <w:rsid w:val="00C57533"/>
    <w:rsid w:val="00C57FED"/>
    <w:rsid w:val="00C604F1"/>
    <w:rsid w:val="00C60A03"/>
    <w:rsid w:val="00C60D84"/>
    <w:rsid w:val="00C60EC6"/>
    <w:rsid w:val="00C61918"/>
    <w:rsid w:val="00C61A3F"/>
    <w:rsid w:val="00C61AD9"/>
    <w:rsid w:val="00C61B5D"/>
    <w:rsid w:val="00C62B6D"/>
    <w:rsid w:val="00C62D16"/>
    <w:rsid w:val="00C63408"/>
    <w:rsid w:val="00C643EB"/>
    <w:rsid w:val="00C64C39"/>
    <w:rsid w:val="00C65B55"/>
    <w:rsid w:val="00C65F12"/>
    <w:rsid w:val="00C6613F"/>
    <w:rsid w:val="00C67479"/>
    <w:rsid w:val="00C67A00"/>
    <w:rsid w:val="00C704CD"/>
    <w:rsid w:val="00C719E4"/>
    <w:rsid w:val="00C72151"/>
    <w:rsid w:val="00C72605"/>
    <w:rsid w:val="00C72C1A"/>
    <w:rsid w:val="00C733AE"/>
    <w:rsid w:val="00C739A3"/>
    <w:rsid w:val="00C74AF5"/>
    <w:rsid w:val="00C757D7"/>
    <w:rsid w:val="00C75E63"/>
    <w:rsid w:val="00C76000"/>
    <w:rsid w:val="00C7639D"/>
    <w:rsid w:val="00C76F93"/>
    <w:rsid w:val="00C77174"/>
    <w:rsid w:val="00C77516"/>
    <w:rsid w:val="00C77ABB"/>
    <w:rsid w:val="00C77D6E"/>
    <w:rsid w:val="00C8005E"/>
    <w:rsid w:val="00C80BCB"/>
    <w:rsid w:val="00C80FDA"/>
    <w:rsid w:val="00C81112"/>
    <w:rsid w:val="00C815F6"/>
    <w:rsid w:val="00C81EF6"/>
    <w:rsid w:val="00C81FAD"/>
    <w:rsid w:val="00C82057"/>
    <w:rsid w:val="00C82A35"/>
    <w:rsid w:val="00C82E75"/>
    <w:rsid w:val="00C8356D"/>
    <w:rsid w:val="00C83747"/>
    <w:rsid w:val="00C839FC"/>
    <w:rsid w:val="00C848E4"/>
    <w:rsid w:val="00C85549"/>
    <w:rsid w:val="00C85CBE"/>
    <w:rsid w:val="00C8655C"/>
    <w:rsid w:val="00C867A8"/>
    <w:rsid w:val="00C86E74"/>
    <w:rsid w:val="00C87E0B"/>
    <w:rsid w:val="00C9043E"/>
    <w:rsid w:val="00C9076A"/>
    <w:rsid w:val="00C90A01"/>
    <w:rsid w:val="00C90B57"/>
    <w:rsid w:val="00C90FEE"/>
    <w:rsid w:val="00C9189A"/>
    <w:rsid w:val="00C9197C"/>
    <w:rsid w:val="00C91CC1"/>
    <w:rsid w:val="00C91F2B"/>
    <w:rsid w:val="00C93336"/>
    <w:rsid w:val="00C9418C"/>
    <w:rsid w:val="00C9421F"/>
    <w:rsid w:val="00C94A1B"/>
    <w:rsid w:val="00C94EB9"/>
    <w:rsid w:val="00C95278"/>
    <w:rsid w:val="00C95CC0"/>
    <w:rsid w:val="00C95E04"/>
    <w:rsid w:val="00C96A0D"/>
    <w:rsid w:val="00CA0320"/>
    <w:rsid w:val="00CA0439"/>
    <w:rsid w:val="00CA0981"/>
    <w:rsid w:val="00CA1D22"/>
    <w:rsid w:val="00CA223B"/>
    <w:rsid w:val="00CA2869"/>
    <w:rsid w:val="00CA305E"/>
    <w:rsid w:val="00CA3695"/>
    <w:rsid w:val="00CA391F"/>
    <w:rsid w:val="00CA3B0C"/>
    <w:rsid w:val="00CA3D98"/>
    <w:rsid w:val="00CA4A79"/>
    <w:rsid w:val="00CA5615"/>
    <w:rsid w:val="00CA568D"/>
    <w:rsid w:val="00CA5A46"/>
    <w:rsid w:val="00CA5D6D"/>
    <w:rsid w:val="00CA5D6F"/>
    <w:rsid w:val="00CA5F13"/>
    <w:rsid w:val="00CA6703"/>
    <w:rsid w:val="00CA6F95"/>
    <w:rsid w:val="00CA7DB6"/>
    <w:rsid w:val="00CA7FF4"/>
    <w:rsid w:val="00CB05D7"/>
    <w:rsid w:val="00CB083E"/>
    <w:rsid w:val="00CB14FC"/>
    <w:rsid w:val="00CB16B9"/>
    <w:rsid w:val="00CB1F03"/>
    <w:rsid w:val="00CB2170"/>
    <w:rsid w:val="00CB33AB"/>
    <w:rsid w:val="00CB3D96"/>
    <w:rsid w:val="00CB3E25"/>
    <w:rsid w:val="00CB49E0"/>
    <w:rsid w:val="00CB4F0A"/>
    <w:rsid w:val="00CB54DE"/>
    <w:rsid w:val="00CB5E5C"/>
    <w:rsid w:val="00CB6139"/>
    <w:rsid w:val="00CB6193"/>
    <w:rsid w:val="00CC060D"/>
    <w:rsid w:val="00CC07CD"/>
    <w:rsid w:val="00CC1A38"/>
    <w:rsid w:val="00CC1EC7"/>
    <w:rsid w:val="00CC2C57"/>
    <w:rsid w:val="00CC3189"/>
    <w:rsid w:val="00CC33AF"/>
    <w:rsid w:val="00CC357B"/>
    <w:rsid w:val="00CC3B22"/>
    <w:rsid w:val="00CC4238"/>
    <w:rsid w:val="00CC56C3"/>
    <w:rsid w:val="00CC5A0D"/>
    <w:rsid w:val="00CC5BD9"/>
    <w:rsid w:val="00CC664A"/>
    <w:rsid w:val="00CC665D"/>
    <w:rsid w:val="00CC6BE7"/>
    <w:rsid w:val="00CC6D11"/>
    <w:rsid w:val="00CC7D4C"/>
    <w:rsid w:val="00CC7F57"/>
    <w:rsid w:val="00CD033B"/>
    <w:rsid w:val="00CD0657"/>
    <w:rsid w:val="00CD1015"/>
    <w:rsid w:val="00CD1073"/>
    <w:rsid w:val="00CD1178"/>
    <w:rsid w:val="00CD1827"/>
    <w:rsid w:val="00CD248E"/>
    <w:rsid w:val="00CD3B07"/>
    <w:rsid w:val="00CD45ED"/>
    <w:rsid w:val="00CD4657"/>
    <w:rsid w:val="00CD4793"/>
    <w:rsid w:val="00CD4B11"/>
    <w:rsid w:val="00CD4BFA"/>
    <w:rsid w:val="00CD5961"/>
    <w:rsid w:val="00CD59D9"/>
    <w:rsid w:val="00CD5A5C"/>
    <w:rsid w:val="00CD5B24"/>
    <w:rsid w:val="00CD62A5"/>
    <w:rsid w:val="00CD686A"/>
    <w:rsid w:val="00CD72B8"/>
    <w:rsid w:val="00CD7B6D"/>
    <w:rsid w:val="00CD7BB0"/>
    <w:rsid w:val="00CE04D0"/>
    <w:rsid w:val="00CE05E0"/>
    <w:rsid w:val="00CE0A87"/>
    <w:rsid w:val="00CE1136"/>
    <w:rsid w:val="00CE15A1"/>
    <w:rsid w:val="00CE15FA"/>
    <w:rsid w:val="00CE18AE"/>
    <w:rsid w:val="00CE1D82"/>
    <w:rsid w:val="00CE22CA"/>
    <w:rsid w:val="00CE2494"/>
    <w:rsid w:val="00CE28E9"/>
    <w:rsid w:val="00CE36E9"/>
    <w:rsid w:val="00CE3D86"/>
    <w:rsid w:val="00CE457B"/>
    <w:rsid w:val="00CE48B3"/>
    <w:rsid w:val="00CE4A10"/>
    <w:rsid w:val="00CE5113"/>
    <w:rsid w:val="00CE58B5"/>
    <w:rsid w:val="00CE591A"/>
    <w:rsid w:val="00CE591C"/>
    <w:rsid w:val="00CE5933"/>
    <w:rsid w:val="00CE613D"/>
    <w:rsid w:val="00CE643C"/>
    <w:rsid w:val="00CE6A03"/>
    <w:rsid w:val="00CE6ED0"/>
    <w:rsid w:val="00CE7B97"/>
    <w:rsid w:val="00CF04F0"/>
    <w:rsid w:val="00CF079F"/>
    <w:rsid w:val="00CF0942"/>
    <w:rsid w:val="00CF0E38"/>
    <w:rsid w:val="00CF0E8C"/>
    <w:rsid w:val="00CF0FCD"/>
    <w:rsid w:val="00CF101E"/>
    <w:rsid w:val="00CF1C70"/>
    <w:rsid w:val="00CF2458"/>
    <w:rsid w:val="00CF287F"/>
    <w:rsid w:val="00CF3240"/>
    <w:rsid w:val="00CF3623"/>
    <w:rsid w:val="00CF5334"/>
    <w:rsid w:val="00CF5AD2"/>
    <w:rsid w:val="00CF63B1"/>
    <w:rsid w:val="00CF757C"/>
    <w:rsid w:val="00CF78C0"/>
    <w:rsid w:val="00CF7EA7"/>
    <w:rsid w:val="00CF7F52"/>
    <w:rsid w:val="00D0018B"/>
    <w:rsid w:val="00D00D68"/>
    <w:rsid w:val="00D01A1C"/>
    <w:rsid w:val="00D01A5B"/>
    <w:rsid w:val="00D01F1D"/>
    <w:rsid w:val="00D022AA"/>
    <w:rsid w:val="00D02BD3"/>
    <w:rsid w:val="00D02C5D"/>
    <w:rsid w:val="00D02F58"/>
    <w:rsid w:val="00D03FDB"/>
    <w:rsid w:val="00D042E4"/>
    <w:rsid w:val="00D04815"/>
    <w:rsid w:val="00D04850"/>
    <w:rsid w:val="00D04B60"/>
    <w:rsid w:val="00D058B7"/>
    <w:rsid w:val="00D06033"/>
    <w:rsid w:val="00D0631C"/>
    <w:rsid w:val="00D06816"/>
    <w:rsid w:val="00D071A6"/>
    <w:rsid w:val="00D0779D"/>
    <w:rsid w:val="00D07DFF"/>
    <w:rsid w:val="00D10225"/>
    <w:rsid w:val="00D10A65"/>
    <w:rsid w:val="00D10B88"/>
    <w:rsid w:val="00D10CD5"/>
    <w:rsid w:val="00D10DBE"/>
    <w:rsid w:val="00D11522"/>
    <w:rsid w:val="00D118B3"/>
    <w:rsid w:val="00D11E52"/>
    <w:rsid w:val="00D11E6D"/>
    <w:rsid w:val="00D13268"/>
    <w:rsid w:val="00D138AA"/>
    <w:rsid w:val="00D140DF"/>
    <w:rsid w:val="00D149FF"/>
    <w:rsid w:val="00D14E9D"/>
    <w:rsid w:val="00D159C7"/>
    <w:rsid w:val="00D16066"/>
    <w:rsid w:val="00D1683D"/>
    <w:rsid w:val="00D16AF8"/>
    <w:rsid w:val="00D16D0F"/>
    <w:rsid w:val="00D200CE"/>
    <w:rsid w:val="00D203E2"/>
    <w:rsid w:val="00D2040D"/>
    <w:rsid w:val="00D209BD"/>
    <w:rsid w:val="00D20ED2"/>
    <w:rsid w:val="00D20FE0"/>
    <w:rsid w:val="00D210AF"/>
    <w:rsid w:val="00D215F5"/>
    <w:rsid w:val="00D21CEE"/>
    <w:rsid w:val="00D21E86"/>
    <w:rsid w:val="00D2218C"/>
    <w:rsid w:val="00D22283"/>
    <w:rsid w:val="00D22C24"/>
    <w:rsid w:val="00D2308E"/>
    <w:rsid w:val="00D2328B"/>
    <w:rsid w:val="00D23EA9"/>
    <w:rsid w:val="00D23FAD"/>
    <w:rsid w:val="00D241D4"/>
    <w:rsid w:val="00D2421B"/>
    <w:rsid w:val="00D2461F"/>
    <w:rsid w:val="00D248E8"/>
    <w:rsid w:val="00D2508D"/>
    <w:rsid w:val="00D25213"/>
    <w:rsid w:val="00D25B8B"/>
    <w:rsid w:val="00D27680"/>
    <w:rsid w:val="00D277F6"/>
    <w:rsid w:val="00D27AA6"/>
    <w:rsid w:val="00D301B3"/>
    <w:rsid w:val="00D304CF"/>
    <w:rsid w:val="00D304FA"/>
    <w:rsid w:val="00D31264"/>
    <w:rsid w:val="00D312EB"/>
    <w:rsid w:val="00D31D94"/>
    <w:rsid w:val="00D32279"/>
    <w:rsid w:val="00D32FDD"/>
    <w:rsid w:val="00D330B8"/>
    <w:rsid w:val="00D33A5D"/>
    <w:rsid w:val="00D33C10"/>
    <w:rsid w:val="00D341A3"/>
    <w:rsid w:val="00D344FE"/>
    <w:rsid w:val="00D34830"/>
    <w:rsid w:val="00D34DEB"/>
    <w:rsid w:val="00D34E39"/>
    <w:rsid w:val="00D357D1"/>
    <w:rsid w:val="00D360A5"/>
    <w:rsid w:val="00D37C03"/>
    <w:rsid w:val="00D406BF"/>
    <w:rsid w:val="00D409F0"/>
    <w:rsid w:val="00D40FF1"/>
    <w:rsid w:val="00D4170A"/>
    <w:rsid w:val="00D42864"/>
    <w:rsid w:val="00D42AF3"/>
    <w:rsid w:val="00D42E50"/>
    <w:rsid w:val="00D445DB"/>
    <w:rsid w:val="00D44A32"/>
    <w:rsid w:val="00D44B08"/>
    <w:rsid w:val="00D44E34"/>
    <w:rsid w:val="00D460C6"/>
    <w:rsid w:val="00D46F70"/>
    <w:rsid w:val="00D47053"/>
    <w:rsid w:val="00D47DEB"/>
    <w:rsid w:val="00D504B9"/>
    <w:rsid w:val="00D507B5"/>
    <w:rsid w:val="00D51D99"/>
    <w:rsid w:val="00D522B5"/>
    <w:rsid w:val="00D5291D"/>
    <w:rsid w:val="00D52A0A"/>
    <w:rsid w:val="00D5303E"/>
    <w:rsid w:val="00D539E8"/>
    <w:rsid w:val="00D53FDF"/>
    <w:rsid w:val="00D5463D"/>
    <w:rsid w:val="00D54965"/>
    <w:rsid w:val="00D54A3D"/>
    <w:rsid w:val="00D553D9"/>
    <w:rsid w:val="00D554D9"/>
    <w:rsid w:val="00D5562F"/>
    <w:rsid w:val="00D55BBB"/>
    <w:rsid w:val="00D5715A"/>
    <w:rsid w:val="00D579A7"/>
    <w:rsid w:val="00D57FC7"/>
    <w:rsid w:val="00D600D0"/>
    <w:rsid w:val="00D6088E"/>
    <w:rsid w:val="00D60F9B"/>
    <w:rsid w:val="00D629AF"/>
    <w:rsid w:val="00D62EA0"/>
    <w:rsid w:val="00D6307E"/>
    <w:rsid w:val="00D636F9"/>
    <w:rsid w:val="00D63845"/>
    <w:rsid w:val="00D642D4"/>
    <w:rsid w:val="00D643E3"/>
    <w:rsid w:val="00D64BE3"/>
    <w:rsid w:val="00D650D6"/>
    <w:rsid w:val="00D67272"/>
    <w:rsid w:val="00D672B4"/>
    <w:rsid w:val="00D675BB"/>
    <w:rsid w:val="00D67975"/>
    <w:rsid w:val="00D67E27"/>
    <w:rsid w:val="00D7060E"/>
    <w:rsid w:val="00D706DE"/>
    <w:rsid w:val="00D70920"/>
    <w:rsid w:val="00D70F4D"/>
    <w:rsid w:val="00D723D4"/>
    <w:rsid w:val="00D72AB4"/>
    <w:rsid w:val="00D73452"/>
    <w:rsid w:val="00D735DD"/>
    <w:rsid w:val="00D74ADB"/>
    <w:rsid w:val="00D75925"/>
    <w:rsid w:val="00D76199"/>
    <w:rsid w:val="00D76ACB"/>
    <w:rsid w:val="00D77130"/>
    <w:rsid w:val="00D774DB"/>
    <w:rsid w:val="00D77B01"/>
    <w:rsid w:val="00D802AA"/>
    <w:rsid w:val="00D812CC"/>
    <w:rsid w:val="00D81668"/>
    <w:rsid w:val="00D82771"/>
    <w:rsid w:val="00D82958"/>
    <w:rsid w:val="00D83263"/>
    <w:rsid w:val="00D84CB1"/>
    <w:rsid w:val="00D84CD5"/>
    <w:rsid w:val="00D862E5"/>
    <w:rsid w:val="00D87D80"/>
    <w:rsid w:val="00D9001F"/>
    <w:rsid w:val="00D904DA"/>
    <w:rsid w:val="00D90C13"/>
    <w:rsid w:val="00D90C17"/>
    <w:rsid w:val="00D91591"/>
    <w:rsid w:val="00D92576"/>
    <w:rsid w:val="00D92A20"/>
    <w:rsid w:val="00D92C3D"/>
    <w:rsid w:val="00D93ED2"/>
    <w:rsid w:val="00D94178"/>
    <w:rsid w:val="00D9433E"/>
    <w:rsid w:val="00D95B65"/>
    <w:rsid w:val="00D9663D"/>
    <w:rsid w:val="00D96D1D"/>
    <w:rsid w:val="00DA056B"/>
    <w:rsid w:val="00DA0CAD"/>
    <w:rsid w:val="00DA134F"/>
    <w:rsid w:val="00DA1DB3"/>
    <w:rsid w:val="00DA1E1F"/>
    <w:rsid w:val="00DA205A"/>
    <w:rsid w:val="00DA4998"/>
    <w:rsid w:val="00DA5249"/>
    <w:rsid w:val="00DA5D62"/>
    <w:rsid w:val="00DA637C"/>
    <w:rsid w:val="00DA6519"/>
    <w:rsid w:val="00DA6A67"/>
    <w:rsid w:val="00DA7761"/>
    <w:rsid w:val="00DA7C69"/>
    <w:rsid w:val="00DA7E1F"/>
    <w:rsid w:val="00DB09AF"/>
    <w:rsid w:val="00DB0B75"/>
    <w:rsid w:val="00DB0B98"/>
    <w:rsid w:val="00DB0DAA"/>
    <w:rsid w:val="00DB0E7E"/>
    <w:rsid w:val="00DB1734"/>
    <w:rsid w:val="00DB22B4"/>
    <w:rsid w:val="00DB2E52"/>
    <w:rsid w:val="00DB3326"/>
    <w:rsid w:val="00DB41AB"/>
    <w:rsid w:val="00DB541D"/>
    <w:rsid w:val="00DB6051"/>
    <w:rsid w:val="00DB60E8"/>
    <w:rsid w:val="00DB6127"/>
    <w:rsid w:val="00DB63BA"/>
    <w:rsid w:val="00DB6D9C"/>
    <w:rsid w:val="00DB7605"/>
    <w:rsid w:val="00DB799E"/>
    <w:rsid w:val="00DC04A3"/>
    <w:rsid w:val="00DC090A"/>
    <w:rsid w:val="00DC0D95"/>
    <w:rsid w:val="00DC1172"/>
    <w:rsid w:val="00DC11D2"/>
    <w:rsid w:val="00DC1370"/>
    <w:rsid w:val="00DC14E1"/>
    <w:rsid w:val="00DC20BA"/>
    <w:rsid w:val="00DC2223"/>
    <w:rsid w:val="00DC2268"/>
    <w:rsid w:val="00DC25E6"/>
    <w:rsid w:val="00DC2E23"/>
    <w:rsid w:val="00DC32F8"/>
    <w:rsid w:val="00DC3354"/>
    <w:rsid w:val="00DC36E5"/>
    <w:rsid w:val="00DC3AED"/>
    <w:rsid w:val="00DC3F6D"/>
    <w:rsid w:val="00DC42D8"/>
    <w:rsid w:val="00DC4669"/>
    <w:rsid w:val="00DC49DF"/>
    <w:rsid w:val="00DC4AF3"/>
    <w:rsid w:val="00DC4D1E"/>
    <w:rsid w:val="00DC68E8"/>
    <w:rsid w:val="00DC691E"/>
    <w:rsid w:val="00DC7149"/>
    <w:rsid w:val="00DC7887"/>
    <w:rsid w:val="00DC7AFB"/>
    <w:rsid w:val="00DD003F"/>
    <w:rsid w:val="00DD00E4"/>
    <w:rsid w:val="00DD13D3"/>
    <w:rsid w:val="00DD15A9"/>
    <w:rsid w:val="00DD1915"/>
    <w:rsid w:val="00DD2283"/>
    <w:rsid w:val="00DD2663"/>
    <w:rsid w:val="00DD3AB4"/>
    <w:rsid w:val="00DD3B59"/>
    <w:rsid w:val="00DD4196"/>
    <w:rsid w:val="00DD5CE7"/>
    <w:rsid w:val="00DD61B2"/>
    <w:rsid w:val="00DD698E"/>
    <w:rsid w:val="00DD7F65"/>
    <w:rsid w:val="00DE0011"/>
    <w:rsid w:val="00DE1A34"/>
    <w:rsid w:val="00DE1AE6"/>
    <w:rsid w:val="00DE1B05"/>
    <w:rsid w:val="00DE1FFF"/>
    <w:rsid w:val="00DE3481"/>
    <w:rsid w:val="00DE3688"/>
    <w:rsid w:val="00DE3816"/>
    <w:rsid w:val="00DE5069"/>
    <w:rsid w:val="00DE55A3"/>
    <w:rsid w:val="00DE5A72"/>
    <w:rsid w:val="00DE661C"/>
    <w:rsid w:val="00DE6A67"/>
    <w:rsid w:val="00DE7015"/>
    <w:rsid w:val="00DE7BB1"/>
    <w:rsid w:val="00DF043A"/>
    <w:rsid w:val="00DF057C"/>
    <w:rsid w:val="00DF060C"/>
    <w:rsid w:val="00DF076C"/>
    <w:rsid w:val="00DF1632"/>
    <w:rsid w:val="00DF18EE"/>
    <w:rsid w:val="00DF1C90"/>
    <w:rsid w:val="00DF28E4"/>
    <w:rsid w:val="00DF2FC7"/>
    <w:rsid w:val="00DF3732"/>
    <w:rsid w:val="00DF3887"/>
    <w:rsid w:val="00DF453B"/>
    <w:rsid w:val="00DF47FF"/>
    <w:rsid w:val="00DF48C7"/>
    <w:rsid w:val="00DF5332"/>
    <w:rsid w:val="00DF56B2"/>
    <w:rsid w:val="00DF6C62"/>
    <w:rsid w:val="00DF7209"/>
    <w:rsid w:val="00DF726F"/>
    <w:rsid w:val="00DF7A86"/>
    <w:rsid w:val="00DF7B07"/>
    <w:rsid w:val="00E0087A"/>
    <w:rsid w:val="00E01451"/>
    <w:rsid w:val="00E01460"/>
    <w:rsid w:val="00E019B3"/>
    <w:rsid w:val="00E02554"/>
    <w:rsid w:val="00E026E9"/>
    <w:rsid w:val="00E02AE2"/>
    <w:rsid w:val="00E02F9B"/>
    <w:rsid w:val="00E03105"/>
    <w:rsid w:val="00E033EE"/>
    <w:rsid w:val="00E034F8"/>
    <w:rsid w:val="00E0422A"/>
    <w:rsid w:val="00E04BE2"/>
    <w:rsid w:val="00E054D3"/>
    <w:rsid w:val="00E05DBA"/>
    <w:rsid w:val="00E06B93"/>
    <w:rsid w:val="00E06E61"/>
    <w:rsid w:val="00E07105"/>
    <w:rsid w:val="00E07474"/>
    <w:rsid w:val="00E077C5"/>
    <w:rsid w:val="00E07951"/>
    <w:rsid w:val="00E07F75"/>
    <w:rsid w:val="00E1005D"/>
    <w:rsid w:val="00E10348"/>
    <w:rsid w:val="00E11ADE"/>
    <w:rsid w:val="00E11BDD"/>
    <w:rsid w:val="00E11EAA"/>
    <w:rsid w:val="00E120E1"/>
    <w:rsid w:val="00E1283E"/>
    <w:rsid w:val="00E129CA"/>
    <w:rsid w:val="00E13036"/>
    <w:rsid w:val="00E1336A"/>
    <w:rsid w:val="00E133C1"/>
    <w:rsid w:val="00E15DD3"/>
    <w:rsid w:val="00E16ECA"/>
    <w:rsid w:val="00E17971"/>
    <w:rsid w:val="00E202E7"/>
    <w:rsid w:val="00E2079F"/>
    <w:rsid w:val="00E23108"/>
    <w:rsid w:val="00E2314A"/>
    <w:rsid w:val="00E235C9"/>
    <w:rsid w:val="00E24230"/>
    <w:rsid w:val="00E2423D"/>
    <w:rsid w:val="00E24669"/>
    <w:rsid w:val="00E24733"/>
    <w:rsid w:val="00E24C7A"/>
    <w:rsid w:val="00E24CF6"/>
    <w:rsid w:val="00E24D12"/>
    <w:rsid w:val="00E25F68"/>
    <w:rsid w:val="00E26191"/>
    <w:rsid w:val="00E263FB"/>
    <w:rsid w:val="00E26725"/>
    <w:rsid w:val="00E26865"/>
    <w:rsid w:val="00E27BF4"/>
    <w:rsid w:val="00E300C5"/>
    <w:rsid w:val="00E30212"/>
    <w:rsid w:val="00E307B7"/>
    <w:rsid w:val="00E310A5"/>
    <w:rsid w:val="00E313AB"/>
    <w:rsid w:val="00E31438"/>
    <w:rsid w:val="00E32446"/>
    <w:rsid w:val="00E3264E"/>
    <w:rsid w:val="00E331B6"/>
    <w:rsid w:val="00E33231"/>
    <w:rsid w:val="00E33C1D"/>
    <w:rsid w:val="00E34188"/>
    <w:rsid w:val="00E34285"/>
    <w:rsid w:val="00E34801"/>
    <w:rsid w:val="00E358E7"/>
    <w:rsid w:val="00E35DEE"/>
    <w:rsid w:val="00E35E6A"/>
    <w:rsid w:val="00E36C3A"/>
    <w:rsid w:val="00E36C6E"/>
    <w:rsid w:val="00E37AFB"/>
    <w:rsid w:val="00E37DD2"/>
    <w:rsid w:val="00E405AD"/>
    <w:rsid w:val="00E40E16"/>
    <w:rsid w:val="00E41947"/>
    <w:rsid w:val="00E421A6"/>
    <w:rsid w:val="00E4294A"/>
    <w:rsid w:val="00E42CA7"/>
    <w:rsid w:val="00E42D7F"/>
    <w:rsid w:val="00E4351C"/>
    <w:rsid w:val="00E440C0"/>
    <w:rsid w:val="00E4442C"/>
    <w:rsid w:val="00E4552C"/>
    <w:rsid w:val="00E460F6"/>
    <w:rsid w:val="00E46104"/>
    <w:rsid w:val="00E46238"/>
    <w:rsid w:val="00E46538"/>
    <w:rsid w:val="00E46C36"/>
    <w:rsid w:val="00E46D6B"/>
    <w:rsid w:val="00E47468"/>
    <w:rsid w:val="00E50AE8"/>
    <w:rsid w:val="00E50FF8"/>
    <w:rsid w:val="00E517BB"/>
    <w:rsid w:val="00E51CF6"/>
    <w:rsid w:val="00E520EA"/>
    <w:rsid w:val="00E5231B"/>
    <w:rsid w:val="00E5233F"/>
    <w:rsid w:val="00E52389"/>
    <w:rsid w:val="00E5255E"/>
    <w:rsid w:val="00E52835"/>
    <w:rsid w:val="00E52925"/>
    <w:rsid w:val="00E52F48"/>
    <w:rsid w:val="00E536C4"/>
    <w:rsid w:val="00E53A9F"/>
    <w:rsid w:val="00E55B64"/>
    <w:rsid w:val="00E56EAC"/>
    <w:rsid w:val="00E572B0"/>
    <w:rsid w:val="00E576E4"/>
    <w:rsid w:val="00E57804"/>
    <w:rsid w:val="00E57BAB"/>
    <w:rsid w:val="00E57CF2"/>
    <w:rsid w:val="00E60A3D"/>
    <w:rsid w:val="00E61326"/>
    <w:rsid w:val="00E61937"/>
    <w:rsid w:val="00E62561"/>
    <w:rsid w:val="00E626E2"/>
    <w:rsid w:val="00E629C6"/>
    <w:rsid w:val="00E62C85"/>
    <w:rsid w:val="00E63B96"/>
    <w:rsid w:val="00E63BB8"/>
    <w:rsid w:val="00E63F34"/>
    <w:rsid w:val="00E64294"/>
    <w:rsid w:val="00E642AA"/>
    <w:rsid w:val="00E65473"/>
    <w:rsid w:val="00E65D2C"/>
    <w:rsid w:val="00E66269"/>
    <w:rsid w:val="00E6681D"/>
    <w:rsid w:val="00E66A3B"/>
    <w:rsid w:val="00E67379"/>
    <w:rsid w:val="00E677D7"/>
    <w:rsid w:val="00E67DC0"/>
    <w:rsid w:val="00E70470"/>
    <w:rsid w:val="00E71C5C"/>
    <w:rsid w:val="00E72AC0"/>
    <w:rsid w:val="00E737D9"/>
    <w:rsid w:val="00E737EC"/>
    <w:rsid w:val="00E73AA6"/>
    <w:rsid w:val="00E73CFE"/>
    <w:rsid w:val="00E75827"/>
    <w:rsid w:val="00E75A3F"/>
    <w:rsid w:val="00E766E5"/>
    <w:rsid w:val="00E76BF0"/>
    <w:rsid w:val="00E77369"/>
    <w:rsid w:val="00E779E7"/>
    <w:rsid w:val="00E77A2A"/>
    <w:rsid w:val="00E77AA5"/>
    <w:rsid w:val="00E77DCD"/>
    <w:rsid w:val="00E808B6"/>
    <w:rsid w:val="00E809A7"/>
    <w:rsid w:val="00E81675"/>
    <w:rsid w:val="00E81A6A"/>
    <w:rsid w:val="00E81E96"/>
    <w:rsid w:val="00E81EAC"/>
    <w:rsid w:val="00E82CA3"/>
    <w:rsid w:val="00E835B0"/>
    <w:rsid w:val="00E83AE9"/>
    <w:rsid w:val="00E83DA1"/>
    <w:rsid w:val="00E849FE"/>
    <w:rsid w:val="00E84BE1"/>
    <w:rsid w:val="00E84D9E"/>
    <w:rsid w:val="00E85839"/>
    <w:rsid w:val="00E86CA0"/>
    <w:rsid w:val="00E86CA3"/>
    <w:rsid w:val="00E87061"/>
    <w:rsid w:val="00E87774"/>
    <w:rsid w:val="00E87880"/>
    <w:rsid w:val="00E87AD1"/>
    <w:rsid w:val="00E90DDB"/>
    <w:rsid w:val="00E9121A"/>
    <w:rsid w:val="00E915C2"/>
    <w:rsid w:val="00E9182A"/>
    <w:rsid w:val="00E91833"/>
    <w:rsid w:val="00E91A96"/>
    <w:rsid w:val="00E92837"/>
    <w:rsid w:val="00E93432"/>
    <w:rsid w:val="00E9409E"/>
    <w:rsid w:val="00E9443B"/>
    <w:rsid w:val="00E945F4"/>
    <w:rsid w:val="00E952A8"/>
    <w:rsid w:val="00E9580C"/>
    <w:rsid w:val="00E95831"/>
    <w:rsid w:val="00E9716E"/>
    <w:rsid w:val="00E9726A"/>
    <w:rsid w:val="00EA0970"/>
    <w:rsid w:val="00EA1D3C"/>
    <w:rsid w:val="00EA431E"/>
    <w:rsid w:val="00EA5C47"/>
    <w:rsid w:val="00EA5F26"/>
    <w:rsid w:val="00EA6075"/>
    <w:rsid w:val="00EA670C"/>
    <w:rsid w:val="00EA678B"/>
    <w:rsid w:val="00EA6AA6"/>
    <w:rsid w:val="00EA7042"/>
    <w:rsid w:val="00EA7332"/>
    <w:rsid w:val="00EA74FF"/>
    <w:rsid w:val="00EA7DA1"/>
    <w:rsid w:val="00EB0F3D"/>
    <w:rsid w:val="00EB115E"/>
    <w:rsid w:val="00EB1162"/>
    <w:rsid w:val="00EB2971"/>
    <w:rsid w:val="00EB3C32"/>
    <w:rsid w:val="00EB3C69"/>
    <w:rsid w:val="00EB3D29"/>
    <w:rsid w:val="00EB41DB"/>
    <w:rsid w:val="00EB4436"/>
    <w:rsid w:val="00EB57A7"/>
    <w:rsid w:val="00EB5967"/>
    <w:rsid w:val="00EB6033"/>
    <w:rsid w:val="00EB6869"/>
    <w:rsid w:val="00EB6AE2"/>
    <w:rsid w:val="00EB6F3A"/>
    <w:rsid w:val="00EB7368"/>
    <w:rsid w:val="00EB739B"/>
    <w:rsid w:val="00EB7465"/>
    <w:rsid w:val="00EB747F"/>
    <w:rsid w:val="00EC060E"/>
    <w:rsid w:val="00EC08A8"/>
    <w:rsid w:val="00EC09B7"/>
    <w:rsid w:val="00EC0FB6"/>
    <w:rsid w:val="00EC1383"/>
    <w:rsid w:val="00EC14A9"/>
    <w:rsid w:val="00EC1C95"/>
    <w:rsid w:val="00EC414C"/>
    <w:rsid w:val="00EC55AF"/>
    <w:rsid w:val="00EC61F3"/>
    <w:rsid w:val="00EC6248"/>
    <w:rsid w:val="00EC624E"/>
    <w:rsid w:val="00EC6DF8"/>
    <w:rsid w:val="00EC6EEB"/>
    <w:rsid w:val="00ED06D5"/>
    <w:rsid w:val="00ED10BA"/>
    <w:rsid w:val="00ED13E3"/>
    <w:rsid w:val="00ED2266"/>
    <w:rsid w:val="00ED232E"/>
    <w:rsid w:val="00ED253A"/>
    <w:rsid w:val="00ED2644"/>
    <w:rsid w:val="00ED2C85"/>
    <w:rsid w:val="00ED2F5E"/>
    <w:rsid w:val="00ED3180"/>
    <w:rsid w:val="00ED3333"/>
    <w:rsid w:val="00ED37AD"/>
    <w:rsid w:val="00ED396F"/>
    <w:rsid w:val="00ED3EB3"/>
    <w:rsid w:val="00ED4BA2"/>
    <w:rsid w:val="00ED4E16"/>
    <w:rsid w:val="00ED4EF0"/>
    <w:rsid w:val="00ED577E"/>
    <w:rsid w:val="00ED6221"/>
    <w:rsid w:val="00ED68C3"/>
    <w:rsid w:val="00ED6C82"/>
    <w:rsid w:val="00ED6C85"/>
    <w:rsid w:val="00EE1167"/>
    <w:rsid w:val="00EE2FC7"/>
    <w:rsid w:val="00EE40AD"/>
    <w:rsid w:val="00EE4101"/>
    <w:rsid w:val="00EE42E4"/>
    <w:rsid w:val="00EE450F"/>
    <w:rsid w:val="00EE47A7"/>
    <w:rsid w:val="00EE4B3B"/>
    <w:rsid w:val="00EE4DC5"/>
    <w:rsid w:val="00EE4ED8"/>
    <w:rsid w:val="00EE52B3"/>
    <w:rsid w:val="00EE534C"/>
    <w:rsid w:val="00EE5906"/>
    <w:rsid w:val="00EE5A64"/>
    <w:rsid w:val="00EE5D23"/>
    <w:rsid w:val="00EE64B7"/>
    <w:rsid w:val="00EE692A"/>
    <w:rsid w:val="00EE7135"/>
    <w:rsid w:val="00EE7147"/>
    <w:rsid w:val="00EE7F7F"/>
    <w:rsid w:val="00EF019B"/>
    <w:rsid w:val="00EF0D3D"/>
    <w:rsid w:val="00EF1EEA"/>
    <w:rsid w:val="00EF2405"/>
    <w:rsid w:val="00EF3164"/>
    <w:rsid w:val="00EF3B1D"/>
    <w:rsid w:val="00EF3D2A"/>
    <w:rsid w:val="00EF3EBB"/>
    <w:rsid w:val="00EF4325"/>
    <w:rsid w:val="00EF4950"/>
    <w:rsid w:val="00EF58EB"/>
    <w:rsid w:val="00EF5AD2"/>
    <w:rsid w:val="00EF6431"/>
    <w:rsid w:val="00EF6683"/>
    <w:rsid w:val="00EF74A6"/>
    <w:rsid w:val="00F011BF"/>
    <w:rsid w:val="00F0136E"/>
    <w:rsid w:val="00F02445"/>
    <w:rsid w:val="00F026F5"/>
    <w:rsid w:val="00F03664"/>
    <w:rsid w:val="00F03797"/>
    <w:rsid w:val="00F03AD5"/>
    <w:rsid w:val="00F03EAA"/>
    <w:rsid w:val="00F041AD"/>
    <w:rsid w:val="00F04411"/>
    <w:rsid w:val="00F048BD"/>
    <w:rsid w:val="00F04E0A"/>
    <w:rsid w:val="00F065B1"/>
    <w:rsid w:val="00F07767"/>
    <w:rsid w:val="00F078DD"/>
    <w:rsid w:val="00F07E81"/>
    <w:rsid w:val="00F10C99"/>
    <w:rsid w:val="00F12C85"/>
    <w:rsid w:val="00F130DA"/>
    <w:rsid w:val="00F131FA"/>
    <w:rsid w:val="00F133D9"/>
    <w:rsid w:val="00F13A2C"/>
    <w:rsid w:val="00F13A45"/>
    <w:rsid w:val="00F13B4A"/>
    <w:rsid w:val="00F14A3D"/>
    <w:rsid w:val="00F14A52"/>
    <w:rsid w:val="00F15C27"/>
    <w:rsid w:val="00F162A9"/>
    <w:rsid w:val="00F16CB3"/>
    <w:rsid w:val="00F17DDD"/>
    <w:rsid w:val="00F201F9"/>
    <w:rsid w:val="00F20DDF"/>
    <w:rsid w:val="00F22365"/>
    <w:rsid w:val="00F22954"/>
    <w:rsid w:val="00F22B2A"/>
    <w:rsid w:val="00F22BB3"/>
    <w:rsid w:val="00F22CEB"/>
    <w:rsid w:val="00F2374C"/>
    <w:rsid w:val="00F25096"/>
    <w:rsid w:val="00F2533D"/>
    <w:rsid w:val="00F25C7B"/>
    <w:rsid w:val="00F25D00"/>
    <w:rsid w:val="00F25FF4"/>
    <w:rsid w:val="00F265C9"/>
    <w:rsid w:val="00F266F3"/>
    <w:rsid w:val="00F269C2"/>
    <w:rsid w:val="00F26CCD"/>
    <w:rsid w:val="00F272F4"/>
    <w:rsid w:val="00F27366"/>
    <w:rsid w:val="00F27C2C"/>
    <w:rsid w:val="00F27EBA"/>
    <w:rsid w:val="00F3008F"/>
    <w:rsid w:val="00F305CE"/>
    <w:rsid w:val="00F30D7C"/>
    <w:rsid w:val="00F320E1"/>
    <w:rsid w:val="00F32179"/>
    <w:rsid w:val="00F3275E"/>
    <w:rsid w:val="00F33044"/>
    <w:rsid w:val="00F33D7D"/>
    <w:rsid w:val="00F345B8"/>
    <w:rsid w:val="00F34C4E"/>
    <w:rsid w:val="00F35A59"/>
    <w:rsid w:val="00F367F0"/>
    <w:rsid w:val="00F36EF4"/>
    <w:rsid w:val="00F374EC"/>
    <w:rsid w:val="00F403C0"/>
    <w:rsid w:val="00F40401"/>
    <w:rsid w:val="00F410B5"/>
    <w:rsid w:val="00F4113B"/>
    <w:rsid w:val="00F412D1"/>
    <w:rsid w:val="00F416B9"/>
    <w:rsid w:val="00F418E5"/>
    <w:rsid w:val="00F41D93"/>
    <w:rsid w:val="00F41E1C"/>
    <w:rsid w:val="00F424B5"/>
    <w:rsid w:val="00F4279F"/>
    <w:rsid w:val="00F4314C"/>
    <w:rsid w:val="00F43938"/>
    <w:rsid w:val="00F43CE5"/>
    <w:rsid w:val="00F43DCC"/>
    <w:rsid w:val="00F43EF6"/>
    <w:rsid w:val="00F43FB2"/>
    <w:rsid w:val="00F44AA6"/>
    <w:rsid w:val="00F44C8D"/>
    <w:rsid w:val="00F45A86"/>
    <w:rsid w:val="00F45D46"/>
    <w:rsid w:val="00F460E2"/>
    <w:rsid w:val="00F469BD"/>
    <w:rsid w:val="00F46B77"/>
    <w:rsid w:val="00F475C3"/>
    <w:rsid w:val="00F47D6F"/>
    <w:rsid w:val="00F50506"/>
    <w:rsid w:val="00F517ED"/>
    <w:rsid w:val="00F52345"/>
    <w:rsid w:val="00F526C2"/>
    <w:rsid w:val="00F527DF"/>
    <w:rsid w:val="00F528A2"/>
    <w:rsid w:val="00F52C32"/>
    <w:rsid w:val="00F53701"/>
    <w:rsid w:val="00F537A3"/>
    <w:rsid w:val="00F53E9A"/>
    <w:rsid w:val="00F53FC1"/>
    <w:rsid w:val="00F57A04"/>
    <w:rsid w:val="00F60A77"/>
    <w:rsid w:val="00F60DB8"/>
    <w:rsid w:val="00F6247C"/>
    <w:rsid w:val="00F64CEF"/>
    <w:rsid w:val="00F65164"/>
    <w:rsid w:val="00F65A9B"/>
    <w:rsid w:val="00F66373"/>
    <w:rsid w:val="00F66521"/>
    <w:rsid w:val="00F66710"/>
    <w:rsid w:val="00F66908"/>
    <w:rsid w:val="00F66E27"/>
    <w:rsid w:val="00F67045"/>
    <w:rsid w:val="00F67327"/>
    <w:rsid w:val="00F67868"/>
    <w:rsid w:val="00F67B21"/>
    <w:rsid w:val="00F700CB"/>
    <w:rsid w:val="00F70407"/>
    <w:rsid w:val="00F706E4"/>
    <w:rsid w:val="00F70B45"/>
    <w:rsid w:val="00F72297"/>
    <w:rsid w:val="00F7288E"/>
    <w:rsid w:val="00F7299B"/>
    <w:rsid w:val="00F74339"/>
    <w:rsid w:val="00F7435F"/>
    <w:rsid w:val="00F74FA1"/>
    <w:rsid w:val="00F75240"/>
    <w:rsid w:val="00F753C2"/>
    <w:rsid w:val="00F75814"/>
    <w:rsid w:val="00F76303"/>
    <w:rsid w:val="00F76355"/>
    <w:rsid w:val="00F768A8"/>
    <w:rsid w:val="00F76D82"/>
    <w:rsid w:val="00F77BCF"/>
    <w:rsid w:val="00F77E78"/>
    <w:rsid w:val="00F77F28"/>
    <w:rsid w:val="00F803A7"/>
    <w:rsid w:val="00F8070B"/>
    <w:rsid w:val="00F80994"/>
    <w:rsid w:val="00F809C8"/>
    <w:rsid w:val="00F814A4"/>
    <w:rsid w:val="00F815B8"/>
    <w:rsid w:val="00F817D6"/>
    <w:rsid w:val="00F823B4"/>
    <w:rsid w:val="00F829D9"/>
    <w:rsid w:val="00F82DEE"/>
    <w:rsid w:val="00F83E7B"/>
    <w:rsid w:val="00F840AD"/>
    <w:rsid w:val="00F8462D"/>
    <w:rsid w:val="00F84B59"/>
    <w:rsid w:val="00F84E68"/>
    <w:rsid w:val="00F8555C"/>
    <w:rsid w:val="00F85567"/>
    <w:rsid w:val="00F85A9A"/>
    <w:rsid w:val="00F85AF9"/>
    <w:rsid w:val="00F85B54"/>
    <w:rsid w:val="00F86910"/>
    <w:rsid w:val="00F86AFD"/>
    <w:rsid w:val="00F87C83"/>
    <w:rsid w:val="00F90B2A"/>
    <w:rsid w:val="00F911B9"/>
    <w:rsid w:val="00F91AD6"/>
    <w:rsid w:val="00F934D2"/>
    <w:rsid w:val="00F93611"/>
    <w:rsid w:val="00F93812"/>
    <w:rsid w:val="00F93A94"/>
    <w:rsid w:val="00F94C07"/>
    <w:rsid w:val="00F95204"/>
    <w:rsid w:val="00F95929"/>
    <w:rsid w:val="00F967C2"/>
    <w:rsid w:val="00F96F61"/>
    <w:rsid w:val="00F9702D"/>
    <w:rsid w:val="00F97140"/>
    <w:rsid w:val="00F976CB"/>
    <w:rsid w:val="00F97F53"/>
    <w:rsid w:val="00FA0F51"/>
    <w:rsid w:val="00FA19BE"/>
    <w:rsid w:val="00FA26AD"/>
    <w:rsid w:val="00FA292A"/>
    <w:rsid w:val="00FA2AD8"/>
    <w:rsid w:val="00FA36F2"/>
    <w:rsid w:val="00FA38B5"/>
    <w:rsid w:val="00FA4301"/>
    <w:rsid w:val="00FA4B00"/>
    <w:rsid w:val="00FA5321"/>
    <w:rsid w:val="00FA58F4"/>
    <w:rsid w:val="00FA5EAC"/>
    <w:rsid w:val="00FA5EDB"/>
    <w:rsid w:val="00FA6701"/>
    <w:rsid w:val="00FA686B"/>
    <w:rsid w:val="00FA6E50"/>
    <w:rsid w:val="00FA7972"/>
    <w:rsid w:val="00FA7E4E"/>
    <w:rsid w:val="00FB064B"/>
    <w:rsid w:val="00FB07C5"/>
    <w:rsid w:val="00FB081A"/>
    <w:rsid w:val="00FB26E3"/>
    <w:rsid w:val="00FB2E98"/>
    <w:rsid w:val="00FB3CCB"/>
    <w:rsid w:val="00FB4749"/>
    <w:rsid w:val="00FB4B9E"/>
    <w:rsid w:val="00FB5086"/>
    <w:rsid w:val="00FB591B"/>
    <w:rsid w:val="00FB6102"/>
    <w:rsid w:val="00FB63CE"/>
    <w:rsid w:val="00FB65C1"/>
    <w:rsid w:val="00FB73A8"/>
    <w:rsid w:val="00FB78DD"/>
    <w:rsid w:val="00FC0708"/>
    <w:rsid w:val="00FC0883"/>
    <w:rsid w:val="00FC1AAB"/>
    <w:rsid w:val="00FC2284"/>
    <w:rsid w:val="00FC231E"/>
    <w:rsid w:val="00FC285C"/>
    <w:rsid w:val="00FC287D"/>
    <w:rsid w:val="00FC2A26"/>
    <w:rsid w:val="00FC2E6B"/>
    <w:rsid w:val="00FC2EDC"/>
    <w:rsid w:val="00FC3D9F"/>
    <w:rsid w:val="00FC474F"/>
    <w:rsid w:val="00FC5478"/>
    <w:rsid w:val="00FC58DD"/>
    <w:rsid w:val="00FC61AC"/>
    <w:rsid w:val="00FC6406"/>
    <w:rsid w:val="00FC6A05"/>
    <w:rsid w:val="00FC6DCC"/>
    <w:rsid w:val="00FC7505"/>
    <w:rsid w:val="00FD0129"/>
    <w:rsid w:val="00FD0297"/>
    <w:rsid w:val="00FD139A"/>
    <w:rsid w:val="00FD1AA0"/>
    <w:rsid w:val="00FD1BCE"/>
    <w:rsid w:val="00FD1F9E"/>
    <w:rsid w:val="00FD2C83"/>
    <w:rsid w:val="00FD370A"/>
    <w:rsid w:val="00FD3873"/>
    <w:rsid w:val="00FD3D77"/>
    <w:rsid w:val="00FD4052"/>
    <w:rsid w:val="00FD51E1"/>
    <w:rsid w:val="00FD56B0"/>
    <w:rsid w:val="00FD5A55"/>
    <w:rsid w:val="00FD5FC9"/>
    <w:rsid w:val="00FD620F"/>
    <w:rsid w:val="00FD67EE"/>
    <w:rsid w:val="00FD6897"/>
    <w:rsid w:val="00FD692B"/>
    <w:rsid w:val="00FD7212"/>
    <w:rsid w:val="00FD7398"/>
    <w:rsid w:val="00FD7FA0"/>
    <w:rsid w:val="00FE01BA"/>
    <w:rsid w:val="00FE0858"/>
    <w:rsid w:val="00FE0AC2"/>
    <w:rsid w:val="00FE0B2A"/>
    <w:rsid w:val="00FE0FFF"/>
    <w:rsid w:val="00FE1020"/>
    <w:rsid w:val="00FE19B2"/>
    <w:rsid w:val="00FE22B8"/>
    <w:rsid w:val="00FE271F"/>
    <w:rsid w:val="00FE2917"/>
    <w:rsid w:val="00FE2AD5"/>
    <w:rsid w:val="00FE2D0F"/>
    <w:rsid w:val="00FE34D9"/>
    <w:rsid w:val="00FE3712"/>
    <w:rsid w:val="00FE378F"/>
    <w:rsid w:val="00FE44B4"/>
    <w:rsid w:val="00FE466E"/>
    <w:rsid w:val="00FE4C2E"/>
    <w:rsid w:val="00FE64F5"/>
    <w:rsid w:val="00FE67BF"/>
    <w:rsid w:val="00FE6D3E"/>
    <w:rsid w:val="00FE7038"/>
    <w:rsid w:val="00FE7AA8"/>
    <w:rsid w:val="00FF1945"/>
    <w:rsid w:val="00FF1D03"/>
    <w:rsid w:val="00FF1EF6"/>
    <w:rsid w:val="00FF2315"/>
    <w:rsid w:val="00FF24C4"/>
    <w:rsid w:val="00FF26BD"/>
    <w:rsid w:val="00FF3164"/>
    <w:rsid w:val="00FF35D0"/>
    <w:rsid w:val="00FF38E6"/>
    <w:rsid w:val="00FF3C1F"/>
    <w:rsid w:val="00FF4268"/>
    <w:rsid w:val="00FF5479"/>
    <w:rsid w:val="00FF58E3"/>
    <w:rsid w:val="00FF5A16"/>
    <w:rsid w:val="00FF5E25"/>
    <w:rsid w:val="00FF6B7E"/>
    <w:rsid w:val="00FF6C5B"/>
    <w:rsid w:val="00FF71CE"/>
    <w:rsid w:val="00FF756F"/>
    <w:rsid w:val="00FF7F01"/>
    <w:rsid w:val="0DCF1B18"/>
    <w:rsid w:val="1DCC1685"/>
    <w:rsid w:val="258BD887"/>
    <w:rsid w:val="2D210484"/>
    <w:rsid w:val="3058A546"/>
    <w:rsid w:val="617D98C0"/>
    <w:rsid w:val="6BBB4D9D"/>
    <w:rsid w:val="75A5F7E2"/>
    <w:rsid w:val="7C153966"/>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CD511D"/>
  <w15:chartTrackingRefBased/>
  <w15:docId w15:val="{5132627E-5D31-4399-9EC3-C2DE0E7A8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6274DE"/>
    <w:rPr>
      <w:sz w:val="24"/>
      <w:szCs w:val="24"/>
    </w:rPr>
  </w:style>
  <w:style w:type="paragraph" w:styleId="Kop1">
    <w:name w:val="heading 1"/>
    <w:basedOn w:val="Standaard"/>
    <w:next w:val="Standaard"/>
    <w:link w:val="Kop1Char"/>
    <w:qFormat/>
    <w:rsid w:val="007D7BE7"/>
    <w:pPr>
      <w:keepNext/>
      <w:numPr>
        <w:numId w:val="1"/>
      </w:numPr>
      <w:tabs>
        <w:tab w:val="left" w:pos="539"/>
      </w:tabs>
      <w:outlineLvl w:val="0"/>
    </w:pPr>
    <w:rPr>
      <w:rFonts w:ascii="Arial" w:hAnsi="Arial"/>
      <w:b/>
      <w:bCs/>
      <w:sz w:val="28"/>
    </w:rPr>
  </w:style>
  <w:style w:type="paragraph" w:styleId="Kop2">
    <w:name w:val="heading 2"/>
    <w:basedOn w:val="Standaard"/>
    <w:next w:val="Standaard"/>
    <w:link w:val="Kop2Char"/>
    <w:qFormat/>
    <w:rsid w:val="007D7BE7"/>
    <w:pPr>
      <w:keepNext/>
      <w:numPr>
        <w:ilvl w:val="1"/>
        <w:numId w:val="1"/>
      </w:numPr>
      <w:tabs>
        <w:tab w:val="left" w:pos="539"/>
      </w:tabs>
      <w:outlineLvl w:val="1"/>
    </w:pPr>
    <w:rPr>
      <w:rFonts w:ascii="Arial" w:hAnsi="Arial"/>
      <w:b/>
      <w:iCs/>
      <w:szCs w:val="22"/>
    </w:rPr>
  </w:style>
  <w:style w:type="paragraph" w:styleId="Kop3">
    <w:name w:val="heading 3"/>
    <w:basedOn w:val="Standaard"/>
    <w:next w:val="Standaard"/>
    <w:qFormat/>
    <w:rsid w:val="007D7BE7"/>
    <w:pPr>
      <w:keepNext/>
      <w:numPr>
        <w:ilvl w:val="2"/>
        <w:numId w:val="1"/>
      </w:numPr>
      <w:tabs>
        <w:tab w:val="left" w:pos="539"/>
      </w:tabs>
      <w:spacing w:before="240" w:after="60"/>
      <w:outlineLvl w:val="2"/>
    </w:pPr>
    <w:rPr>
      <w:rFonts w:ascii="Arial" w:hAnsi="Arial" w:cs="Arial"/>
      <w:b/>
      <w:bCs/>
      <w:sz w:val="20"/>
      <w:szCs w:val="26"/>
    </w:rPr>
  </w:style>
  <w:style w:type="paragraph" w:styleId="Kop4">
    <w:name w:val="heading 4"/>
    <w:basedOn w:val="Standaard"/>
    <w:next w:val="Standaard"/>
    <w:qFormat/>
    <w:rsid w:val="007D7BE7"/>
    <w:pPr>
      <w:keepNext/>
      <w:numPr>
        <w:ilvl w:val="3"/>
        <w:numId w:val="1"/>
      </w:numPr>
      <w:spacing w:before="240" w:after="60"/>
      <w:outlineLvl w:val="3"/>
    </w:pPr>
    <w:rPr>
      <w:b/>
      <w:bCs/>
      <w:sz w:val="28"/>
      <w:szCs w:val="28"/>
    </w:rPr>
  </w:style>
  <w:style w:type="paragraph" w:styleId="Kop5">
    <w:name w:val="heading 5"/>
    <w:basedOn w:val="Standaard"/>
    <w:next w:val="Standaard"/>
    <w:qFormat/>
    <w:rsid w:val="007D7BE7"/>
    <w:pPr>
      <w:spacing w:before="240" w:after="60"/>
      <w:outlineLvl w:val="4"/>
    </w:pPr>
    <w:rPr>
      <w:b/>
      <w:bCs/>
      <w:i/>
      <w:iCs/>
      <w:sz w:val="26"/>
      <w:szCs w:val="26"/>
    </w:rPr>
  </w:style>
  <w:style w:type="paragraph" w:styleId="Kop6">
    <w:name w:val="heading 6"/>
    <w:basedOn w:val="Standaard"/>
    <w:next w:val="Standaard"/>
    <w:qFormat/>
    <w:rsid w:val="007D7BE7"/>
    <w:pPr>
      <w:spacing w:before="240" w:after="60"/>
      <w:outlineLvl w:val="5"/>
    </w:pPr>
    <w:rPr>
      <w:b/>
      <w:bCs/>
      <w:sz w:val="22"/>
      <w:szCs w:val="22"/>
    </w:rPr>
  </w:style>
  <w:style w:type="paragraph" w:styleId="Kop7">
    <w:name w:val="heading 7"/>
    <w:basedOn w:val="Standaard"/>
    <w:next w:val="Standaard"/>
    <w:qFormat/>
    <w:rsid w:val="007D7BE7"/>
    <w:pPr>
      <w:spacing w:before="240" w:after="60"/>
      <w:outlineLvl w:val="6"/>
    </w:pPr>
  </w:style>
  <w:style w:type="paragraph" w:styleId="Kop8">
    <w:name w:val="heading 8"/>
    <w:basedOn w:val="Standaard"/>
    <w:next w:val="Standaard"/>
    <w:qFormat/>
    <w:rsid w:val="007D7BE7"/>
    <w:pPr>
      <w:spacing w:before="240" w:after="60"/>
      <w:outlineLvl w:val="7"/>
    </w:pPr>
    <w:rPr>
      <w:i/>
      <w:iCs/>
    </w:rPr>
  </w:style>
  <w:style w:type="paragraph" w:styleId="Kop9">
    <w:name w:val="heading 9"/>
    <w:basedOn w:val="Standaard"/>
    <w:next w:val="Standaard"/>
    <w:qFormat/>
    <w:rsid w:val="007D7BE7"/>
    <w:p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semiHidden/>
    <w:rsid w:val="007D7BE7"/>
    <w:rPr>
      <w:sz w:val="20"/>
      <w:szCs w:val="20"/>
    </w:rPr>
  </w:style>
  <w:style w:type="character" w:styleId="Voetnootmarkering">
    <w:name w:val="footnote reference"/>
    <w:semiHidden/>
    <w:rsid w:val="007D7BE7"/>
    <w:rPr>
      <w:vertAlign w:val="superscript"/>
    </w:rPr>
  </w:style>
  <w:style w:type="paragraph" w:styleId="Documentstructuur">
    <w:name w:val="Document Map"/>
    <w:basedOn w:val="Standaard"/>
    <w:semiHidden/>
    <w:rsid w:val="007D7BE7"/>
    <w:pPr>
      <w:shd w:val="clear" w:color="auto" w:fill="000080"/>
    </w:pPr>
    <w:rPr>
      <w:rFonts w:ascii="Tahoma" w:hAnsi="Tahoma" w:cs="Tahoma"/>
      <w:sz w:val="20"/>
      <w:szCs w:val="20"/>
    </w:rPr>
  </w:style>
  <w:style w:type="paragraph" w:customStyle="1" w:styleId="KopNHopen">
    <w:name w:val="Kop NH open"/>
    <w:basedOn w:val="Standaard"/>
    <w:rsid w:val="007D7BE7"/>
    <w:pPr>
      <w:pBdr>
        <w:bottom w:val="single" w:sz="12" w:space="1" w:color="808080"/>
      </w:pBdr>
    </w:pPr>
    <w:rPr>
      <w:rFonts w:ascii="Arial" w:hAnsi="Arial"/>
      <w:b/>
      <w:sz w:val="20"/>
      <w:szCs w:val="20"/>
    </w:rPr>
  </w:style>
  <w:style w:type="paragraph" w:styleId="Ballontekst">
    <w:name w:val="Balloon Text"/>
    <w:basedOn w:val="Standaard"/>
    <w:semiHidden/>
    <w:rsid w:val="007D7BE7"/>
    <w:rPr>
      <w:rFonts w:ascii="Tahoma" w:hAnsi="Tahoma" w:cs="Tahoma"/>
      <w:sz w:val="16"/>
      <w:szCs w:val="16"/>
    </w:rPr>
  </w:style>
  <w:style w:type="paragraph" w:customStyle="1" w:styleId="Default">
    <w:name w:val="Default"/>
    <w:rsid w:val="007D7BE7"/>
    <w:pPr>
      <w:widowControl w:val="0"/>
      <w:autoSpaceDE w:val="0"/>
      <w:autoSpaceDN w:val="0"/>
      <w:adjustRightInd w:val="0"/>
    </w:pPr>
    <w:rPr>
      <w:rFonts w:ascii="Arial" w:hAnsi="Arial" w:cs="Arial"/>
      <w:color w:val="000000"/>
      <w:sz w:val="24"/>
      <w:szCs w:val="24"/>
    </w:rPr>
  </w:style>
  <w:style w:type="paragraph" w:styleId="Inhopg1">
    <w:name w:val="toc 1"/>
    <w:basedOn w:val="Standaard"/>
    <w:next w:val="Standaard"/>
    <w:autoRedefine/>
    <w:uiPriority w:val="39"/>
    <w:rsid w:val="007B58CE"/>
    <w:pPr>
      <w:tabs>
        <w:tab w:val="left" w:pos="480"/>
        <w:tab w:val="right" w:leader="dot" w:pos="9062"/>
      </w:tabs>
    </w:pPr>
    <w:rPr>
      <w:rFonts w:ascii="Arial" w:hAnsi="Arial" w:cs="Arial"/>
      <w:b/>
      <w:noProof/>
    </w:rPr>
  </w:style>
  <w:style w:type="paragraph" w:styleId="Inhopg2">
    <w:name w:val="toc 2"/>
    <w:basedOn w:val="Standaard"/>
    <w:next w:val="Standaard"/>
    <w:autoRedefine/>
    <w:uiPriority w:val="39"/>
    <w:rsid w:val="00A3588A"/>
    <w:pPr>
      <w:tabs>
        <w:tab w:val="left" w:pos="851"/>
        <w:tab w:val="right" w:leader="dot" w:pos="9062"/>
      </w:tabs>
      <w:ind w:left="851" w:hanging="611"/>
    </w:pPr>
    <w:rPr>
      <w:rFonts w:ascii="Arial" w:hAnsi="Arial"/>
      <w:sz w:val="22"/>
    </w:rPr>
  </w:style>
  <w:style w:type="character" w:styleId="Hyperlink">
    <w:name w:val="Hyperlink"/>
    <w:uiPriority w:val="99"/>
    <w:rsid w:val="007D7BE7"/>
    <w:rPr>
      <w:color w:val="0000FF"/>
      <w:u w:val="single"/>
    </w:rPr>
  </w:style>
  <w:style w:type="paragraph" w:styleId="Koptekst">
    <w:name w:val="header"/>
    <w:basedOn w:val="Standaard"/>
    <w:rsid w:val="007D7BE7"/>
    <w:pPr>
      <w:tabs>
        <w:tab w:val="center" w:pos="4536"/>
        <w:tab w:val="right" w:pos="9072"/>
      </w:tabs>
    </w:pPr>
  </w:style>
  <w:style w:type="paragraph" w:styleId="Voettekst">
    <w:name w:val="footer"/>
    <w:basedOn w:val="Standaard"/>
    <w:rsid w:val="007D7BE7"/>
    <w:pPr>
      <w:tabs>
        <w:tab w:val="center" w:pos="4536"/>
        <w:tab w:val="right" w:pos="9072"/>
      </w:tabs>
    </w:pPr>
  </w:style>
  <w:style w:type="character" w:styleId="Paginanummer">
    <w:name w:val="page number"/>
    <w:basedOn w:val="Standaardalinea-lettertype"/>
    <w:rsid w:val="007D7BE7"/>
  </w:style>
  <w:style w:type="table" w:styleId="Tabelraster">
    <w:name w:val="Table Grid"/>
    <w:basedOn w:val="Standaardtabel"/>
    <w:uiPriority w:val="39"/>
    <w:rsid w:val="007D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uiPriority w:val="99"/>
    <w:semiHidden/>
    <w:rsid w:val="007D7BE7"/>
    <w:rPr>
      <w:sz w:val="16"/>
      <w:szCs w:val="16"/>
    </w:rPr>
  </w:style>
  <w:style w:type="paragraph" w:styleId="Tekstopmerking">
    <w:name w:val="annotation text"/>
    <w:basedOn w:val="Standaard"/>
    <w:link w:val="TekstopmerkingChar"/>
    <w:uiPriority w:val="99"/>
    <w:rsid w:val="007D7BE7"/>
    <w:rPr>
      <w:sz w:val="20"/>
      <w:szCs w:val="20"/>
    </w:rPr>
  </w:style>
  <w:style w:type="paragraph" w:styleId="Onderwerpvanopmerking">
    <w:name w:val="annotation subject"/>
    <w:basedOn w:val="Tekstopmerking"/>
    <w:next w:val="Tekstopmerking"/>
    <w:semiHidden/>
    <w:rsid w:val="007D7BE7"/>
    <w:rPr>
      <w:b/>
      <w:bCs/>
    </w:rPr>
  </w:style>
  <w:style w:type="paragraph" w:styleId="Inhopg3">
    <w:name w:val="toc 3"/>
    <w:basedOn w:val="Standaard"/>
    <w:next w:val="Standaard"/>
    <w:autoRedefine/>
    <w:uiPriority w:val="39"/>
    <w:rsid w:val="007D7BE7"/>
    <w:pPr>
      <w:ind w:left="480"/>
    </w:pPr>
  </w:style>
  <w:style w:type="paragraph" w:styleId="Plattetekstinspringen2">
    <w:name w:val="Body Text Indent 2"/>
    <w:basedOn w:val="Standaard"/>
    <w:rsid w:val="007D7BE7"/>
    <w:pPr>
      <w:tabs>
        <w:tab w:val="left" w:pos="900"/>
      </w:tabs>
      <w:ind w:left="900"/>
    </w:pPr>
    <w:rPr>
      <w:rFonts w:ascii="Arial" w:hAnsi="Arial" w:cs="Arial"/>
      <w:sz w:val="20"/>
    </w:rPr>
  </w:style>
  <w:style w:type="paragraph" w:styleId="Lijstopsomteken">
    <w:name w:val="List Bullet"/>
    <w:basedOn w:val="Standaard"/>
    <w:rsid w:val="007D7BE7"/>
    <w:pPr>
      <w:numPr>
        <w:numId w:val="2"/>
      </w:numPr>
    </w:pPr>
  </w:style>
  <w:style w:type="paragraph" w:styleId="Normaalweb">
    <w:name w:val="Normal (Web)"/>
    <w:basedOn w:val="Standaard"/>
    <w:uiPriority w:val="99"/>
    <w:rsid w:val="007D7BE7"/>
    <w:pPr>
      <w:spacing w:before="100" w:beforeAutospacing="1" w:after="100" w:afterAutospacing="1"/>
    </w:pPr>
    <w:rPr>
      <w:lang w:eastAsia="en-US"/>
    </w:rPr>
  </w:style>
  <w:style w:type="paragraph" w:customStyle="1" w:styleId="voorbeeld">
    <w:name w:val="voorbeeld"/>
    <w:basedOn w:val="Standaard"/>
    <w:rsid w:val="007D7BE7"/>
    <w:pPr>
      <w:pBdr>
        <w:top w:val="single" w:sz="4" w:space="1" w:color="auto"/>
        <w:left w:val="single" w:sz="4" w:space="4" w:color="auto"/>
        <w:bottom w:val="single" w:sz="4" w:space="1" w:color="auto"/>
        <w:right w:val="single" w:sz="4" w:space="4" w:color="auto"/>
      </w:pBdr>
      <w:spacing w:line="280" w:lineRule="exact"/>
    </w:pPr>
    <w:rPr>
      <w:rFonts w:cs="Arial"/>
      <w:sz w:val="22"/>
      <w:szCs w:val="20"/>
    </w:rPr>
  </w:style>
  <w:style w:type="paragraph" w:customStyle="1" w:styleId="KLuwerStandaard">
    <w:name w:val="KLuwerStandaard"/>
    <w:rsid w:val="00330075"/>
    <w:pPr>
      <w:overflowPunct w:val="0"/>
      <w:autoSpaceDE w:val="0"/>
      <w:autoSpaceDN w:val="0"/>
      <w:adjustRightInd w:val="0"/>
      <w:textAlignment w:val="baseline"/>
    </w:pPr>
    <w:rPr>
      <w:rFonts w:ascii="Helvetica 55 Roman" w:hAnsi="Helvetica 55 Roman"/>
    </w:rPr>
  </w:style>
  <w:style w:type="paragraph" w:customStyle="1" w:styleId="KluwerVoettekst">
    <w:name w:val="KluwerVoettekst"/>
    <w:basedOn w:val="KLuwerStandaard"/>
    <w:rsid w:val="00604FF6"/>
    <w:pPr>
      <w:tabs>
        <w:tab w:val="right" w:pos="9639"/>
      </w:tabs>
      <w:spacing w:line="160" w:lineRule="exact"/>
    </w:pPr>
    <w:rPr>
      <w:noProof/>
      <w:sz w:val="12"/>
    </w:rPr>
  </w:style>
  <w:style w:type="paragraph" w:customStyle="1" w:styleId="KluwerKoptekst">
    <w:name w:val="KluwerKoptekst"/>
    <w:basedOn w:val="KLuwerStandaard"/>
    <w:rsid w:val="00604FF6"/>
    <w:pPr>
      <w:tabs>
        <w:tab w:val="left" w:pos="5387"/>
        <w:tab w:val="left" w:pos="7796"/>
        <w:tab w:val="right" w:pos="9639"/>
      </w:tabs>
    </w:pPr>
    <w:rPr>
      <w:sz w:val="16"/>
    </w:rPr>
  </w:style>
  <w:style w:type="paragraph" w:customStyle="1" w:styleId="AlineaMetZwevendeKantlijn">
    <w:name w:val="AlineaMetZwevendeKantlijn"/>
    <w:basedOn w:val="KLuwerStandaard"/>
    <w:rsid w:val="00604FF6"/>
    <w:pPr>
      <w:tabs>
        <w:tab w:val="left" w:pos="567"/>
        <w:tab w:val="left" w:pos="1134"/>
        <w:tab w:val="left" w:pos="1701"/>
        <w:tab w:val="left" w:pos="2268"/>
      </w:tabs>
      <w:ind w:left="567"/>
    </w:pPr>
  </w:style>
  <w:style w:type="paragraph" w:customStyle="1" w:styleId="Opsomletters">
    <w:name w:val="Opsomletters"/>
    <w:basedOn w:val="KLuwerStandaard"/>
    <w:rsid w:val="00604FF6"/>
    <w:pPr>
      <w:tabs>
        <w:tab w:val="left" w:pos="567"/>
        <w:tab w:val="left" w:pos="1134"/>
        <w:tab w:val="left" w:pos="1701"/>
        <w:tab w:val="left" w:pos="2268"/>
      </w:tabs>
      <w:ind w:left="567" w:hanging="567"/>
    </w:pPr>
  </w:style>
  <w:style w:type="paragraph" w:customStyle="1" w:styleId="OpsomlettersZwevendeKantlijn">
    <w:name w:val="OpsomlettersZwevendeKantlijn"/>
    <w:basedOn w:val="Opsomletters"/>
    <w:rsid w:val="00604FF6"/>
    <w:pPr>
      <w:ind w:left="1134"/>
    </w:pPr>
  </w:style>
  <w:style w:type="paragraph" w:customStyle="1" w:styleId="Opsomnummers">
    <w:name w:val="Opsomnummers"/>
    <w:basedOn w:val="KLuwerStandaard"/>
    <w:rsid w:val="00604FF6"/>
    <w:pPr>
      <w:tabs>
        <w:tab w:val="left" w:pos="567"/>
        <w:tab w:val="left" w:pos="1134"/>
        <w:tab w:val="left" w:pos="1701"/>
        <w:tab w:val="left" w:pos="2268"/>
      </w:tabs>
      <w:ind w:left="567" w:hanging="567"/>
    </w:pPr>
  </w:style>
  <w:style w:type="paragraph" w:customStyle="1" w:styleId="OpsomnummerZwevendeKantlijn">
    <w:name w:val="OpsomnummerZwevendeKantlijn"/>
    <w:basedOn w:val="KLuwerStandaard"/>
    <w:rsid w:val="00604FF6"/>
    <w:pPr>
      <w:tabs>
        <w:tab w:val="left" w:pos="567"/>
        <w:tab w:val="left" w:pos="1134"/>
        <w:tab w:val="left" w:pos="1701"/>
        <w:tab w:val="left" w:pos="2268"/>
      </w:tabs>
      <w:ind w:left="1134" w:hanging="567"/>
    </w:pPr>
  </w:style>
  <w:style w:type="paragraph" w:customStyle="1" w:styleId="Opsomstreepjes">
    <w:name w:val="Opsomstreepjes"/>
    <w:basedOn w:val="KLuwerStandaard"/>
    <w:rsid w:val="00604FF6"/>
    <w:pPr>
      <w:tabs>
        <w:tab w:val="left" w:pos="567"/>
        <w:tab w:val="left" w:pos="1134"/>
        <w:tab w:val="left" w:pos="1701"/>
        <w:tab w:val="left" w:pos="2268"/>
      </w:tabs>
      <w:ind w:left="567" w:hanging="567"/>
    </w:pPr>
  </w:style>
  <w:style w:type="paragraph" w:customStyle="1" w:styleId="OpsomstreepjesZwevendeKantlijn">
    <w:name w:val="OpsomstreepjesZwevendeKantlijn"/>
    <w:basedOn w:val="KLuwerStandaard"/>
    <w:rsid w:val="00604FF6"/>
    <w:pPr>
      <w:tabs>
        <w:tab w:val="left" w:pos="567"/>
        <w:tab w:val="left" w:pos="1134"/>
        <w:tab w:val="left" w:pos="1701"/>
        <w:tab w:val="left" w:pos="2268"/>
      </w:tabs>
      <w:ind w:left="1134" w:hanging="567"/>
    </w:pPr>
  </w:style>
  <w:style w:type="character" w:customStyle="1" w:styleId="KluwerEuroteken">
    <w:name w:val="KluwerEuroteken"/>
    <w:rsid w:val="00604FF6"/>
    <w:rPr>
      <w:rFonts w:ascii="Linotype EuroFont G to P" w:hAnsi="Linotype EuroFont G to P"/>
    </w:rPr>
  </w:style>
  <w:style w:type="paragraph" w:customStyle="1" w:styleId="Geenafstand1">
    <w:name w:val="Geen afstand1"/>
    <w:uiPriority w:val="99"/>
    <w:qFormat/>
    <w:rsid w:val="00604FF6"/>
    <w:rPr>
      <w:rFonts w:ascii="Calibri" w:eastAsia="Calibri" w:hAnsi="Calibri"/>
      <w:sz w:val="22"/>
      <w:szCs w:val="22"/>
      <w:lang w:eastAsia="en-US"/>
    </w:rPr>
  </w:style>
  <w:style w:type="character" w:customStyle="1" w:styleId="apple-converted-space">
    <w:name w:val="apple-converted-space"/>
    <w:basedOn w:val="Standaardalinea-lettertype"/>
    <w:rsid w:val="008F6A13"/>
  </w:style>
  <w:style w:type="paragraph" w:styleId="Geenafstand">
    <w:name w:val="No Spacing"/>
    <w:link w:val="GeenafstandChar"/>
    <w:uiPriority w:val="1"/>
    <w:qFormat/>
    <w:rsid w:val="008F7E0C"/>
    <w:rPr>
      <w:sz w:val="24"/>
      <w:szCs w:val="24"/>
    </w:rPr>
  </w:style>
  <w:style w:type="character" w:styleId="Zwaar">
    <w:name w:val="Strong"/>
    <w:uiPriority w:val="22"/>
    <w:qFormat/>
    <w:rsid w:val="00F17DDD"/>
    <w:rPr>
      <w:b/>
      <w:bCs/>
    </w:rPr>
  </w:style>
  <w:style w:type="paragraph" w:styleId="Plattetekst">
    <w:name w:val="Body Text"/>
    <w:basedOn w:val="Standaard"/>
    <w:rsid w:val="008658F9"/>
    <w:pPr>
      <w:spacing w:after="120"/>
    </w:pPr>
  </w:style>
  <w:style w:type="paragraph" w:styleId="Kopvaninhoudsopgave">
    <w:name w:val="TOC Heading"/>
    <w:basedOn w:val="Kop1"/>
    <w:next w:val="Standaard"/>
    <w:uiPriority w:val="39"/>
    <w:unhideWhenUsed/>
    <w:qFormat/>
    <w:rsid w:val="00F272F4"/>
    <w:pPr>
      <w:keepLines/>
      <w:numPr>
        <w:numId w:val="0"/>
      </w:numPr>
      <w:tabs>
        <w:tab w:val="clear" w:pos="539"/>
      </w:tabs>
      <w:spacing w:before="240" w:line="259" w:lineRule="auto"/>
      <w:outlineLvl w:val="9"/>
    </w:pPr>
    <w:rPr>
      <w:rFonts w:ascii="Calibri Light" w:hAnsi="Calibri Light"/>
      <w:b w:val="0"/>
      <w:bCs w:val="0"/>
      <w:color w:val="2E74B5"/>
      <w:sz w:val="32"/>
      <w:szCs w:val="32"/>
    </w:rPr>
  </w:style>
  <w:style w:type="table" w:customStyle="1" w:styleId="Tabelraster1">
    <w:name w:val="Tabelraster1"/>
    <w:basedOn w:val="Standaardtabel"/>
    <w:next w:val="Tabelraster"/>
    <w:rsid w:val="00806CCF"/>
    <w:pPr>
      <w:overflowPunct w:val="0"/>
      <w:autoSpaceDE w:val="0"/>
      <w:autoSpaceDN w:val="0"/>
      <w:adjustRightInd w:val="0"/>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rsid w:val="00E72AC0"/>
    <w:pPr>
      <w:overflowPunct w:val="0"/>
      <w:autoSpaceDE w:val="0"/>
      <w:autoSpaceDN w:val="0"/>
      <w:adjustRightInd w:val="0"/>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eenafstandChar">
    <w:name w:val="Geen afstand Char"/>
    <w:link w:val="Geenafstand"/>
    <w:uiPriority w:val="1"/>
    <w:rsid w:val="007D3B56"/>
    <w:rPr>
      <w:sz w:val="24"/>
      <w:szCs w:val="24"/>
    </w:rPr>
  </w:style>
  <w:style w:type="character" w:customStyle="1" w:styleId="Kop2Char">
    <w:name w:val="Kop 2 Char"/>
    <w:link w:val="Kop2"/>
    <w:rsid w:val="00FD2C83"/>
    <w:rPr>
      <w:rFonts w:ascii="Arial" w:hAnsi="Arial"/>
      <w:b/>
      <w:iCs/>
      <w:sz w:val="24"/>
      <w:szCs w:val="22"/>
    </w:rPr>
  </w:style>
  <w:style w:type="paragraph" w:styleId="Lijstalinea">
    <w:name w:val="List Paragraph"/>
    <w:basedOn w:val="Standaard"/>
    <w:uiPriority w:val="34"/>
    <w:qFormat/>
    <w:rsid w:val="009215B4"/>
    <w:pPr>
      <w:spacing w:line="259" w:lineRule="auto"/>
      <w:ind w:left="720"/>
      <w:contextualSpacing/>
    </w:pPr>
    <w:rPr>
      <w:rFonts w:ascii="Calibri" w:eastAsia="Calibri" w:hAnsi="Calibri"/>
      <w:sz w:val="22"/>
      <w:szCs w:val="22"/>
      <w:lang w:eastAsia="en-US"/>
    </w:rPr>
  </w:style>
  <w:style w:type="table" w:customStyle="1" w:styleId="Tabelraster2">
    <w:name w:val="Tabelraster2"/>
    <w:basedOn w:val="Standaardtabel"/>
    <w:next w:val="Tabelraster"/>
    <w:rsid w:val="00AC1CBE"/>
    <w:pPr>
      <w:overflowPunct w:val="0"/>
      <w:autoSpaceDE w:val="0"/>
      <w:autoSpaceDN w:val="0"/>
      <w:adjustRightInd w:val="0"/>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nder-contact-card--job-title">
    <w:name w:val="render-contact-card--job-title"/>
    <w:basedOn w:val="Standaardalinea-lettertype"/>
    <w:rsid w:val="00CA5D6D"/>
  </w:style>
  <w:style w:type="character" w:customStyle="1" w:styleId="button--mini">
    <w:name w:val="button--mini"/>
    <w:basedOn w:val="Standaardalinea-lettertype"/>
    <w:rsid w:val="00CA5D6D"/>
  </w:style>
  <w:style w:type="character" w:customStyle="1" w:styleId="socialsharetitle">
    <w:name w:val="social__share__title"/>
    <w:basedOn w:val="Standaardalinea-lettertype"/>
    <w:rsid w:val="00CA5D6D"/>
  </w:style>
  <w:style w:type="character" w:customStyle="1" w:styleId="Kop1Char">
    <w:name w:val="Kop 1 Char"/>
    <w:link w:val="Kop1"/>
    <w:rsid w:val="00B73267"/>
    <w:rPr>
      <w:rFonts w:ascii="Arial" w:hAnsi="Arial"/>
      <w:b/>
      <w:bCs/>
      <w:sz w:val="28"/>
      <w:szCs w:val="24"/>
    </w:rPr>
  </w:style>
  <w:style w:type="character" w:styleId="Onopgelostemelding">
    <w:name w:val="Unresolved Mention"/>
    <w:uiPriority w:val="99"/>
    <w:semiHidden/>
    <w:unhideWhenUsed/>
    <w:rsid w:val="00E83AE9"/>
    <w:rPr>
      <w:color w:val="605E5C"/>
      <w:shd w:val="clear" w:color="auto" w:fill="E1DFDD"/>
    </w:rPr>
  </w:style>
  <w:style w:type="paragraph" w:styleId="Revisie">
    <w:name w:val="Revision"/>
    <w:hidden/>
    <w:uiPriority w:val="99"/>
    <w:semiHidden/>
    <w:rsid w:val="00F70407"/>
    <w:rPr>
      <w:sz w:val="24"/>
      <w:szCs w:val="24"/>
    </w:rPr>
  </w:style>
  <w:style w:type="paragraph" w:customStyle="1" w:styleId="JLOpsomming">
    <w:name w:val="JL_Opsomming"/>
    <w:basedOn w:val="Standaard"/>
    <w:rsid w:val="00670A46"/>
    <w:rPr>
      <w:rFonts w:ascii="Arial" w:hAnsi="Arial"/>
      <w:sz w:val="18"/>
      <w:szCs w:val="20"/>
    </w:rPr>
  </w:style>
  <w:style w:type="paragraph" w:customStyle="1" w:styleId="wat">
    <w:name w:val="wat"/>
    <w:basedOn w:val="Standaard"/>
    <w:rsid w:val="007D078A"/>
    <w:pPr>
      <w:spacing w:before="100" w:beforeAutospacing="1" w:after="100" w:afterAutospacing="1"/>
    </w:pPr>
  </w:style>
  <w:style w:type="character" w:customStyle="1" w:styleId="nr">
    <w:name w:val="nr"/>
    <w:basedOn w:val="Standaardalinea-lettertype"/>
    <w:rsid w:val="007D078A"/>
  </w:style>
  <w:style w:type="character" w:styleId="GevolgdeHyperlink">
    <w:name w:val="FollowedHyperlink"/>
    <w:rsid w:val="00EE7135"/>
    <w:rPr>
      <w:color w:val="954F72"/>
      <w:u w:val="single"/>
    </w:rPr>
  </w:style>
  <w:style w:type="paragraph" w:customStyle="1" w:styleId="SaMostandaard">
    <w:name w:val="SaMo standaard"/>
    <w:basedOn w:val="Standaard"/>
    <w:qFormat/>
    <w:rsid w:val="00AD6075"/>
    <w:pPr>
      <w:tabs>
        <w:tab w:val="left" w:pos="-1440"/>
        <w:tab w:val="left" w:pos="-720"/>
      </w:tabs>
      <w:jc w:val="both"/>
    </w:pPr>
    <w:rPr>
      <w:spacing w:val="10"/>
      <w:sz w:val="20"/>
      <w:szCs w:val="20"/>
    </w:rPr>
  </w:style>
  <w:style w:type="paragraph" w:customStyle="1" w:styleId="paragraph">
    <w:name w:val="paragraph"/>
    <w:basedOn w:val="Standaard"/>
    <w:rsid w:val="0056540D"/>
    <w:pPr>
      <w:spacing w:before="100" w:beforeAutospacing="1" w:after="100" w:afterAutospacing="1"/>
    </w:pPr>
  </w:style>
  <w:style w:type="character" w:customStyle="1" w:styleId="normaltextrun">
    <w:name w:val="normaltextrun"/>
    <w:basedOn w:val="Standaardalinea-lettertype"/>
    <w:rsid w:val="0056540D"/>
  </w:style>
  <w:style w:type="character" w:customStyle="1" w:styleId="eop">
    <w:name w:val="eop"/>
    <w:basedOn w:val="Standaardalinea-lettertype"/>
    <w:rsid w:val="0056540D"/>
  </w:style>
  <w:style w:type="paragraph" w:styleId="Inhopg4">
    <w:name w:val="toc 4"/>
    <w:basedOn w:val="Standaard"/>
    <w:next w:val="Standaard"/>
    <w:autoRedefine/>
    <w:uiPriority w:val="39"/>
    <w:unhideWhenUsed/>
    <w:rsid w:val="007D6E9F"/>
    <w:pPr>
      <w:spacing w:after="100" w:line="259" w:lineRule="auto"/>
      <w:ind w:left="660"/>
    </w:pPr>
    <w:rPr>
      <w:rFonts w:asciiTheme="minorHAnsi" w:eastAsiaTheme="minorEastAsia" w:hAnsiTheme="minorHAnsi" w:cstheme="minorBidi"/>
      <w:kern w:val="2"/>
      <w:sz w:val="22"/>
      <w:szCs w:val="22"/>
      <w14:ligatures w14:val="standardContextual"/>
    </w:rPr>
  </w:style>
  <w:style w:type="paragraph" w:styleId="Inhopg5">
    <w:name w:val="toc 5"/>
    <w:basedOn w:val="Standaard"/>
    <w:next w:val="Standaard"/>
    <w:autoRedefine/>
    <w:uiPriority w:val="39"/>
    <w:unhideWhenUsed/>
    <w:rsid w:val="007D6E9F"/>
    <w:pPr>
      <w:spacing w:after="100" w:line="259" w:lineRule="auto"/>
      <w:ind w:left="880"/>
    </w:pPr>
    <w:rPr>
      <w:rFonts w:asciiTheme="minorHAnsi" w:eastAsiaTheme="minorEastAsia" w:hAnsiTheme="minorHAnsi" w:cstheme="minorBidi"/>
      <w:kern w:val="2"/>
      <w:sz w:val="22"/>
      <w:szCs w:val="22"/>
      <w14:ligatures w14:val="standardContextual"/>
    </w:rPr>
  </w:style>
  <w:style w:type="paragraph" w:styleId="Inhopg6">
    <w:name w:val="toc 6"/>
    <w:basedOn w:val="Standaard"/>
    <w:next w:val="Standaard"/>
    <w:autoRedefine/>
    <w:uiPriority w:val="39"/>
    <w:unhideWhenUsed/>
    <w:rsid w:val="007D6E9F"/>
    <w:pPr>
      <w:spacing w:after="100" w:line="259" w:lineRule="auto"/>
      <w:ind w:left="1100"/>
    </w:pPr>
    <w:rPr>
      <w:rFonts w:asciiTheme="minorHAnsi" w:eastAsiaTheme="minorEastAsia" w:hAnsiTheme="minorHAnsi" w:cstheme="minorBidi"/>
      <w:kern w:val="2"/>
      <w:sz w:val="22"/>
      <w:szCs w:val="22"/>
      <w14:ligatures w14:val="standardContextual"/>
    </w:rPr>
  </w:style>
  <w:style w:type="paragraph" w:styleId="Inhopg7">
    <w:name w:val="toc 7"/>
    <w:basedOn w:val="Standaard"/>
    <w:next w:val="Standaard"/>
    <w:autoRedefine/>
    <w:uiPriority w:val="39"/>
    <w:unhideWhenUsed/>
    <w:rsid w:val="00D82958"/>
    <w:pPr>
      <w:spacing w:after="100" w:line="259" w:lineRule="auto"/>
      <w:ind w:left="1320" w:hanging="1320"/>
    </w:pPr>
    <w:rPr>
      <w:rFonts w:asciiTheme="minorHAnsi" w:eastAsiaTheme="minorEastAsia" w:hAnsiTheme="minorHAnsi" w:cstheme="minorBidi"/>
      <w:kern w:val="2"/>
      <w:sz w:val="22"/>
      <w:szCs w:val="22"/>
      <w14:ligatures w14:val="standardContextual"/>
    </w:rPr>
  </w:style>
  <w:style w:type="paragraph" w:styleId="Inhopg8">
    <w:name w:val="toc 8"/>
    <w:basedOn w:val="Standaard"/>
    <w:next w:val="Standaard"/>
    <w:autoRedefine/>
    <w:uiPriority w:val="39"/>
    <w:unhideWhenUsed/>
    <w:rsid w:val="007D6E9F"/>
    <w:pPr>
      <w:spacing w:after="100" w:line="259" w:lineRule="auto"/>
      <w:ind w:left="1540"/>
    </w:pPr>
    <w:rPr>
      <w:rFonts w:asciiTheme="minorHAnsi" w:eastAsiaTheme="minorEastAsia" w:hAnsiTheme="minorHAnsi" w:cstheme="minorBidi"/>
      <w:kern w:val="2"/>
      <w:sz w:val="22"/>
      <w:szCs w:val="22"/>
      <w14:ligatures w14:val="standardContextual"/>
    </w:rPr>
  </w:style>
  <w:style w:type="paragraph" w:styleId="Inhopg9">
    <w:name w:val="toc 9"/>
    <w:basedOn w:val="Standaard"/>
    <w:next w:val="Standaard"/>
    <w:autoRedefine/>
    <w:uiPriority w:val="39"/>
    <w:unhideWhenUsed/>
    <w:rsid w:val="007D6E9F"/>
    <w:pPr>
      <w:spacing w:after="100" w:line="259" w:lineRule="auto"/>
      <w:ind w:left="1760"/>
    </w:pPr>
    <w:rPr>
      <w:rFonts w:asciiTheme="minorHAnsi" w:eastAsiaTheme="minorEastAsia" w:hAnsiTheme="minorHAnsi" w:cstheme="minorBidi"/>
      <w:kern w:val="2"/>
      <w:sz w:val="22"/>
      <w:szCs w:val="22"/>
      <w14:ligatures w14:val="standardContextual"/>
    </w:rPr>
  </w:style>
  <w:style w:type="paragraph" w:customStyle="1" w:styleId="pf0">
    <w:name w:val="pf0"/>
    <w:basedOn w:val="Standaard"/>
    <w:rsid w:val="00B628F2"/>
    <w:pPr>
      <w:spacing w:before="100" w:beforeAutospacing="1" w:after="100" w:afterAutospacing="1"/>
    </w:pPr>
  </w:style>
  <w:style w:type="character" w:customStyle="1" w:styleId="cf01">
    <w:name w:val="cf01"/>
    <w:basedOn w:val="Standaardalinea-lettertype"/>
    <w:rsid w:val="00B628F2"/>
    <w:rPr>
      <w:rFonts w:ascii="Segoe UI" w:hAnsi="Segoe UI" w:cs="Segoe UI" w:hint="default"/>
      <w:i/>
      <w:iCs/>
      <w:sz w:val="18"/>
      <w:szCs w:val="18"/>
    </w:rPr>
  </w:style>
  <w:style w:type="table" w:styleId="Rastertabel4-Accent3">
    <w:name w:val="Grid Table 4 Accent 3"/>
    <w:basedOn w:val="Standaardtabel"/>
    <w:uiPriority w:val="49"/>
    <w:rsid w:val="0084748E"/>
    <w:rPr>
      <w:rFonts w:ascii="Verdana" w:eastAsiaTheme="minorHAnsi" w:hAnsi="Verdana" w:cstheme="minorBidi"/>
      <w:sz w:val="18"/>
      <w:szCs w:val="22"/>
      <w:lang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TekstopmerkingChar">
    <w:name w:val="Tekst opmerking Char"/>
    <w:basedOn w:val="Standaardalinea-lettertype"/>
    <w:link w:val="Tekstopmerking"/>
    <w:uiPriority w:val="99"/>
    <w:rsid w:val="000D0DCB"/>
  </w:style>
  <w:style w:type="paragraph" w:customStyle="1" w:styleId="SRAKopje">
    <w:name w:val="SRA Kopje"/>
    <w:basedOn w:val="Kop2"/>
    <w:link w:val="SRAKopjeChar"/>
    <w:qFormat/>
    <w:rsid w:val="0067531E"/>
    <w:pPr>
      <w:keepLines/>
      <w:numPr>
        <w:ilvl w:val="0"/>
        <w:numId w:val="0"/>
      </w:numPr>
      <w:tabs>
        <w:tab w:val="clear" w:pos="539"/>
      </w:tabs>
      <w:spacing w:before="40" w:line="259" w:lineRule="auto"/>
    </w:pPr>
    <w:rPr>
      <w:rFonts w:ascii="Verdana" w:eastAsiaTheme="majorEastAsia" w:hAnsi="Verdana" w:cstheme="majorBidi"/>
      <w:iCs w:val="0"/>
      <w:szCs w:val="26"/>
      <w:lang w:eastAsia="en-US"/>
    </w:rPr>
  </w:style>
  <w:style w:type="character" w:customStyle="1" w:styleId="SRAKopjeChar">
    <w:name w:val="SRA Kopje Char"/>
    <w:basedOn w:val="Kop2Char"/>
    <w:link w:val="SRAKopje"/>
    <w:rsid w:val="0067531E"/>
    <w:rPr>
      <w:rFonts w:ascii="Verdana" w:eastAsiaTheme="majorEastAsia" w:hAnsi="Verdana" w:cstheme="majorBidi"/>
      <w:b/>
      <w:iCs w:val="0"/>
      <w:sz w:val="24"/>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0159">
      <w:bodyDiv w:val="1"/>
      <w:marLeft w:val="0"/>
      <w:marRight w:val="0"/>
      <w:marTop w:val="0"/>
      <w:marBottom w:val="0"/>
      <w:divBdr>
        <w:top w:val="none" w:sz="0" w:space="0" w:color="auto"/>
        <w:left w:val="none" w:sz="0" w:space="0" w:color="auto"/>
        <w:bottom w:val="none" w:sz="0" w:space="0" w:color="auto"/>
        <w:right w:val="none" w:sz="0" w:space="0" w:color="auto"/>
      </w:divBdr>
    </w:div>
    <w:div w:id="21395760">
      <w:bodyDiv w:val="1"/>
      <w:marLeft w:val="0"/>
      <w:marRight w:val="0"/>
      <w:marTop w:val="0"/>
      <w:marBottom w:val="0"/>
      <w:divBdr>
        <w:top w:val="none" w:sz="0" w:space="0" w:color="auto"/>
        <w:left w:val="none" w:sz="0" w:space="0" w:color="auto"/>
        <w:bottom w:val="none" w:sz="0" w:space="0" w:color="auto"/>
        <w:right w:val="none" w:sz="0" w:space="0" w:color="auto"/>
      </w:divBdr>
    </w:div>
    <w:div w:id="41834275">
      <w:bodyDiv w:val="1"/>
      <w:marLeft w:val="0"/>
      <w:marRight w:val="0"/>
      <w:marTop w:val="0"/>
      <w:marBottom w:val="0"/>
      <w:divBdr>
        <w:top w:val="none" w:sz="0" w:space="0" w:color="auto"/>
        <w:left w:val="none" w:sz="0" w:space="0" w:color="auto"/>
        <w:bottom w:val="none" w:sz="0" w:space="0" w:color="auto"/>
        <w:right w:val="none" w:sz="0" w:space="0" w:color="auto"/>
      </w:divBdr>
    </w:div>
    <w:div w:id="42676316">
      <w:bodyDiv w:val="1"/>
      <w:marLeft w:val="0"/>
      <w:marRight w:val="0"/>
      <w:marTop w:val="0"/>
      <w:marBottom w:val="0"/>
      <w:divBdr>
        <w:top w:val="none" w:sz="0" w:space="0" w:color="auto"/>
        <w:left w:val="none" w:sz="0" w:space="0" w:color="auto"/>
        <w:bottom w:val="none" w:sz="0" w:space="0" w:color="auto"/>
        <w:right w:val="none" w:sz="0" w:space="0" w:color="auto"/>
      </w:divBdr>
      <w:divsChild>
        <w:div w:id="1530878252">
          <w:marLeft w:val="0"/>
          <w:marRight w:val="0"/>
          <w:marTop w:val="0"/>
          <w:marBottom w:val="0"/>
          <w:divBdr>
            <w:top w:val="none" w:sz="0" w:space="0" w:color="auto"/>
            <w:left w:val="none" w:sz="0" w:space="0" w:color="auto"/>
            <w:bottom w:val="none" w:sz="0" w:space="0" w:color="auto"/>
            <w:right w:val="none" w:sz="0" w:space="0" w:color="auto"/>
          </w:divBdr>
        </w:div>
        <w:div w:id="2053992686">
          <w:marLeft w:val="0"/>
          <w:marRight w:val="0"/>
          <w:marTop w:val="0"/>
          <w:marBottom w:val="0"/>
          <w:divBdr>
            <w:top w:val="none" w:sz="0" w:space="0" w:color="auto"/>
            <w:left w:val="none" w:sz="0" w:space="0" w:color="auto"/>
            <w:bottom w:val="none" w:sz="0" w:space="0" w:color="auto"/>
            <w:right w:val="none" w:sz="0" w:space="0" w:color="auto"/>
          </w:divBdr>
        </w:div>
        <w:div w:id="2091194522">
          <w:marLeft w:val="0"/>
          <w:marRight w:val="0"/>
          <w:marTop w:val="0"/>
          <w:marBottom w:val="0"/>
          <w:divBdr>
            <w:top w:val="none" w:sz="0" w:space="0" w:color="auto"/>
            <w:left w:val="none" w:sz="0" w:space="0" w:color="auto"/>
            <w:bottom w:val="none" w:sz="0" w:space="0" w:color="auto"/>
            <w:right w:val="none" w:sz="0" w:space="0" w:color="auto"/>
          </w:divBdr>
        </w:div>
      </w:divsChild>
    </w:div>
    <w:div w:id="53897774">
      <w:bodyDiv w:val="1"/>
      <w:marLeft w:val="0"/>
      <w:marRight w:val="0"/>
      <w:marTop w:val="0"/>
      <w:marBottom w:val="0"/>
      <w:divBdr>
        <w:top w:val="none" w:sz="0" w:space="0" w:color="auto"/>
        <w:left w:val="none" w:sz="0" w:space="0" w:color="auto"/>
        <w:bottom w:val="none" w:sz="0" w:space="0" w:color="auto"/>
        <w:right w:val="none" w:sz="0" w:space="0" w:color="auto"/>
      </w:divBdr>
    </w:div>
    <w:div w:id="58872763">
      <w:bodyDiv w:val="1"/>
      <w:marLeft w:val="0"/>
      <w:marRight w:val="0"/>
      <w:marTop w:val="0"/>
      <w:marBottom w:val="0"/>
      <w:divBdr>
        <w:top w:val="none" w:sz="0" w:space="0" w:color="auto"/>
        <w:left w:val="none" w:sz="0" w:space="0" w:color="auto"/>
        <w:bottom w:val="none" w:sz="0" w:space="0" w:color="auto"/>
        <w:right w:val="none" w:sz="0" w:space="0" w:color="auto"/>
      </w:divBdr>
      <w:divsChild>
        <w:div w:id="951937583">
          <w:marLeft w:val="0"/>
          <w:marRight w:val="0"/>
          <w:marTop w:val="0"/>
          <w:marBottom w:val="0"/>
          <w:divBdr>
            <w:top w:val="none" w:sz="0" w:space="0" w:color="auto"/>
            <w:left w:val="none" w:sz="0" w:space="0" w:color="auto"/>
            <w:bottom w:val="none" w:sz="0" w:space="0" w:color="auto"/>
            <w:right w:val="none" w:sz="0" w:space="0" w:color="auto"/>
          </w:divBdr>
        </w:div>
        <w:div w:id="1043940287">
          <w:marLeft w:val="0"/>
          <w:marRight w:val="0"/>
          <w:marTop w:val="0"/>
          <w:marBottom w:val="0"/>
          <w:divBdr>
            <w:top w:val="none" w:sz="0" w:space="0" w:color="auto"/>
            <w:left w:val="none" w:sz="0" w:space="0" w:color="auto"/>
            <w:bottom w:val="none" w:sz="0" w:space="0" w:color="auto"/>
            <w:right w:val="none" w:sz="0" w:space="0" w:color="auto"/>
          </w:divBdr>
        </w:div>
        <w:div w:id="963195627">
          <w:marLeft w:val="0"/>
          <w:marRight w:val="0"/>
          <w:marTop w:val="0"/>
          <w:marBottom w:val="0"/>
          <w:divBdr>
            <w:top w:val="none" w:sz="0" w:space="0" w:color="auto"/>
            <w:left w:val="none" w:sz="0" w:space="0" w:color="auto"/>
            <w:bottom w:val="none" w:sz="0" w:space="0" w:color="auto"/>
            <w:right w:val="none" w:sz="0" w:space="0" w:color="auto"/>
          </w:divBdr>
        </w:div>
      </w:divsChild>
    </w:div>
    <w:div w:id="61952815">
      <w:bodyDiv w:val="1"/>
      <w:marLeft w:val="0"/>
      <w:marRight w:val="0"/>
      <w:marTop w:val="0"/>
      <w:marBottom w:val="0"/>
      <w:divBdr>
        <w:top w:val="none" w:sz="0" w:space="0" w:color="auto"/>
        <w:left w:val="none" w:sz="0" w:space="0" w:color="auto"/>
        <w:bottom w:val="none" w:sz="0" w:space="0" w:color="auto"/>
        <w:right w:val="none" w:sz="0" w:space="0" w:color="auto"/>
      </w:divBdr>
    </w:div>
    <w:div w:id="70347391">
      <w:bodyDiv w:val="1"/>
      <w:marLeft w:val="0"/>
      <w:marRight w:val="0"/>
      <w:marTop w:val="0"/>
      <w:marBottom w:val="0"/>
      <w:divBdr>
        <w:top w:val="none" w:sz="0" w:space="0" w:color="auto"/>
        <w:left w:val="none" w:sz="0" w:space="0" w:color="auto"/>
        <w:bottom w:val="none" w:sz="0" w:space="0" w:color="auto"/>
        <w:right w:val="none" w:sz="0" w:space="0" w:color="auto"/>
      </w:divBdr>
    </w:div>
    <w:div w:id="86006103">
      <w:bodyDiv w:val="1"/>
      <w:marLeft w:val="0"/>
      <w:marRight w:val="0"/>
      <w:marTop w:val="0"/>
      <w:marBottom w:val="0"/>
      <w:divBdr>
        <w:top w:val="none" w:sz="0" w:space="0" w:color="auto"/>
        <w:left w:val="none" w:sz="0" w:space="0" w:color="auto"/>
        <w:bottom w:val="none" w:sz="0" w:space="0" w:color="auto"/>
        <w:right w:val="none" w:sz="0" w:space="0" w:color="auto"/>
      </w:divBdr>
    </w:div>
    <w:div w:id="92360121">
      <w:bodyDiv w:val="1"/>
      <w:marLeft w:val="0"/>
      <w:marRight w:val="0"/>
      <w:marTop w:val="0"/>
      <w:marBottom w:val="0"/>
      <w:divBdr>
        <w:top w:val="none" w:sz="0" w:space="0" w:color="auto"/>
        <w:left w:val="none" w:sz="0" w:space="0" w:color="auto"/>
        <w:bottom w:val="none" w:sz="0" w:space="0" w:color="auto"/>
        <w:right w:val="none" w:sz="0" w:space="0" w:color="auto"/>
      </w:divBdr>
    </w:div>
    <w:div w:id="101727850">
      <w:bodyDiv w:val="1"/>
      <w:marLeft w:val="0"/>
      <w:marRight w:val="0"/>
      <w:marTop w:val="0"/>
      <w:marBottom w:val="0"/>
      <w:divBdr>
        <w:top w:val="none" w:sz="0" w:space="0" w:color="auto"/>
        <w:left w:val="none" w:sz="0" w:space="0" w:color="auto"/>
        <w:bottom w:val="none" w:sz="0" w:space="0" w:color="auto"/>
        <w:right w:val="none" w:sz="0" w:space="0" w:color="auto"/>
      </w:divBdr>
      <w:divsChild>
        <w:div w:id="385883498">
          <w:marLeft w:val="0"/>
          <w:marRight w:val="0"/>
          <w:marTop w:val="0"/>
          <w:marBottom w:val="0"/>
          <w:divBdr>
            <w:top w:val="none" w:sz="0" w:space="0" w:color="auto"/>
            <w:left w:val="none" w:sz="0" w:space="0" w:color="auto"/>
            <w:bottom w:val="none" w:sz="0" w:space="0" w:color="auto"/>
            <w:right w:val="none" w:sz="0" w:space="0" w:color="auto"/>
          </w:divBdr>
        </w:div>
      </w:divsChild>
    </w:div>
    <w:div w:id="105348021">
      <w:bodyDiv w:val="1"/>
      <w:marLeft w:val="0"/>
      <w:marRight w:val="0"/>
      <w:marTop w:val="0"/>
      <w:marBottom w:val="0"/>
      <w:divBdr>
        <w:top w:val="none" w:sz="0" w:space="0" w:color="auto"/>
        <w:left w:val="none" w:sz="0" w:space="0" w:color="auto"/>
        <w:bottom w:val="none" w:sz="0" w:space="0" w:color="auto"/>
        <w:right w:val="none" w:sz="0" w:space="0" w:color="auto"/>
      </w:divBdr>
    </w:div>
    <w:div w:id="124351987">
      <w:bodyDiv w:val="1"/>
      <w:marLeft w:val="0"/>
      <w:marRight w:val="0"/>
      <w:marTop w:val="0"/>
      <w:marBottom w:val="0"/>
      <w:divBdr>
        <w:top w:val="none" w:sz="0" w:space="0" w:color="auto"/>
        <w:left w:val="none" w:sz="0" w:space="0" w:color="auto"/>
        <w:bottom w:val="none" w:sz="0" w:space="0" w:color="auto"/>
        <w:right w:val="none" w:sz="0" w:space="0" w:color="auto"/>
      </w:divBdr>
    </w:div>
    <w:div w:id="128786179">
      <w:bodyDiv w:val="1"/>
      <w:marLeft w:val="0"/>
      <w:marRight w:val="0"/>
      <w:marTop w:val="0"/>
      <w:marBottom w:val="0"/>
      <w:divBdr>
        <w:top w:val="none" w:sz="0" w:space="0" w:color="auto"/>
        <w:left w:val="none" w:sz="0" w:space="0" w:color="auto"/>
        <w:bottom w:val="none" w:sz="0" w:space="0" w:color="auto"/>
        <w:right w:val="none" w:sz="0" w:space="0" w:color="auto"/>
      </w:divBdr>
    </w:div>
    <w:div w:id="142547199">
      <w:bodyDiv w:val="1"/>
      <w:marLeft w:val="0"/>
      <w:marRight w:val="0"/>
      <w:marTop w:val="0"/>
      <w:marBottom w:val="0"/>
      <w:divBdr>
        <w:top w:val="none" w:sz="0" w:space="0" w:color="auto"/>
        <w:left w:val="none" w:sz="0" w:space="0" w:color="auto"/>
        <w:bottom w:val="none" w:sz="0" w:space="0" w:color="auto"/>
        <w:right w:val="none" w:sz="0" w:space="0" w:color="auto"/>
      </w:divBdr>
    </w:div>
    <w:div w:id="152066338">
      <w:bodyDiv w:val="1"/>
      <w:marLeft w:val="0"/>
      <w:marRight w:val="0"/>
      <w:marTop w:val="0"/>
      <w:marBottom w:val="0"/>
      <w:divBdr>
        <w:top w:val="none" w:sz="0" w:space="0" w:color="auto"/>
        <w:left w:val="none" w:sz="0" w:space="0" w:color="auto"/>
        <w:bottom w:val="none" w:sz="0" w:space="0" w:color="auto"/>
        <w:right w:val="none" w:sz="0" w:space="0" w:color="auto"/>
      </w:divBdr>
    </w:div>
    <w:div w:id="159733114">
      <w:bodyDiv w:val="1"/>
      <w:marLeft w:val="0"/>
      <w:marRight w:val="0"/>
      <w:marTop w:val="0"/>
      <w:marBottom w:val="0"/>
      <w:divBdr>
        <w:top w:val="none" w:sz="0" w:space="0" w:color="auto"/>
        <w:left w:val="none" w:sz="0" w:space="0" w:color="auto"/>
        <w:bottom w:val="none" w:sz="0" w:space="0" w:color="auto"/>
        <w:right w:val="none" w:sz="0" w:space="0" w:color="auto"/>
      </w:divBdr>
    </w:div>
    <w:div w:id="164324015">
      <w:bodyDiv w:val="1"/>
      <w:marLeft w:val="0"/>
      <w:marRight w:val="0"/>
      <w:marTop w:val="0"/>
      <w:marBottom w:val="0"/>
      <w:divBdr>
        <w:top w:val="none" w:sz="0" w:space="0" w:color="auto"/>
        <w:left w:val="none" w:sz="0" w:space="0" w:color="auto"/>
        <w:bottom w:val="none" w:sz="0" w:space="0" w:color="auto"/>
        <w:right w:val="none" w:sz="0" w:space="0" w:color="auto"/>
      </w:divBdr>
      <w:divsChild>
        <w:div w:id="1668627137">
          <w:marLeft w:val="0"/>
          <w:marRight w:val="0"/>
          <w:marTop w:val="0"/>
          <w:marBottom w:val="0"/>
          <w:divBdr>
            <w:top w:val="none" w:sz="0" w:space="0" w:color="auto"/>
            <w:left w:val="none" w:sz="0" w:space="0" w:color="auto"/>
            <w:bottom w:val="none" w:sz="0" w:space="0" w:color="auto"/>
            <w:right w:val="none" w:sz="0" w:space="0" w:color="auto"/>
          </w:divBdr>
          <w:divsChild>
            <w:div w:id="1811242940">
              <w:marLeft w:val="0"/>
              <w:marRight w:val="0"/>
              <w:marTop w:val="0"/>
              <w:marBottom w:val="0"/>
              <w:divBdr>
                <w:top w:val="none" w:sz="0" w:space="0" w:color="auto"/>
                <w:left w:val="none" w:sz="0" w:space="0" w:color="auto"/>
                <w:bottom w:val="none" w:sz="0" w:space="0" w:color="auto"/>
                <w:right w:val="none" w:sz="0" w:space="0" w:color="auto"/>
              </w:divBdr>
            </w:div>
          </w:divsChild>
        </w:div>
        <w:div w:id="1597833773">
          <w:marLeft w:val="0"/>
          <w:marRight w:val="0"/>
          <w:marTop w:val="0"/>
          <w:marBottom w:val="0"/>
          <w:divBdr>
            <w:top w:val="none" w:sz="0" w:space="0" w:color="auto"/>
            <w:left w:val="none" w:sz="0" w:space="0" w:color="auto"/>
            <w:bottom w:val="none" w:sz="0" w:space="0" w:color="auto"/>
            <w:right w:val="none" w:sz="0" w:space="0" w:color="auto"/>
          </w:divBdr>
          <w:divsChild>
            <w:div w:id="400519435">
              <w:marLeft w:val="0"/>
              <w:marRight w:val="0"/>
              <w:marTop w:val="0"/>
              <w:marBottom w:val="0"/>
              <w:divBdr>
                <w:top w:val="none" w:sz="0" w:space="0" w:color="auto"/>
                <w:left w:val="none" w:sz="0" w:space="0" w:color="auto"/>
                <w:bottom w:val="none" w:sz="0" w:space="0" w:color="auto"/>
                <w:right w:val="none" w:sz="0" w:space="0" w:color="auto"/>
              </w:divBdr>
            </w:div>
          </w:divsChild>
        </w:div>
        <w:div w:id="966007341">
          <w:marLeft w:val="0"/>
          <w:marRight w:val="0"/>
          <w:marTop w:val="0"/>
          <w:marBottom w:val="0"/>
          <w:divBdr>
            <w:top w:val="none" w:sz="0" w:space="0" w:color="auto"/>
            <w:left w:val="none" w:sz="0" w:space="0" w:color="auto"/>
            <w:bottom w:val="none" w:sz="0" w:space="0" w:color="auto"/>
            <w:right w:val="none" w:sz="0" w:space="0" w:color="auto"/>
          </w:divBdr>
          <w:divsChild>
            <w:div w:id="87313695">
              <w:marLeft w:val="0"/>
              <w:marRight w:val="0"/>
              <w:marTop w:val="0"/>
              <w:marBottom w:val="0"/>
              <w:divBdr>
                <w:top w:val="none" w:sz="0" w:space="0" w:color="auto"/>
                <w:left w:val="none" w:sz="0" w:space="0" w:color="auto"/>
                <w:bottom w:val="none" w:sz="0" w:space="0" w:color="auto"/>
                <w:right w:val="none" w:sz="0" w:space="0" w:color="auto"/>
              </w:divBdr>
            </w:div>
          </w:divsChild>
        </w:div>
        <w:div w:id="57822716">
          <w:marLeft w:val="0"/>
          <w:marRight w:val="0"/>
          <w:marTop w:val="0"/>
          <w:marBottom w:val="0"/>
          <w:divBdr>
            <w:top w:val="none" w:sz="0" w:space="0" w:color="auto"/>
            <w:left w:val="none" w:sz="0" w:space="0" w:color="auto"/>
            <w:bottom w:val="none" w:sz="0" w:space="0" w:color="auto"/>
            <w:right w:val="none" w:sz="0" w:space="0" w:color="auto"/>
          </w:divBdr>
          <w:divsChild>
            <w:div w:id="1335573271">
              <w:marLeft w:val="0"/>
              <w:marRight w:val="0"/>
              <w:marTop w:val="0"/>
              <w:marBottom w:val="0"/>
              <w:divBdr>
                <w:top w:val="none" w:sz="0" w:space="0" w:color="auto"/>
                <w:left w:val="none" w:sz="0" w:space="0" w:color="auto"/>
                <w:bottom w:val="none" w:sz="0" w:space="0" w:color="auto"/>
                <w:right w:val="none" w:sz="0" w:space="0" w:color="auto"/>
              </w:divBdr>
            </w:div>
          </w:divsChild>
        </w:div>
        <w:div w:id="265772855">
          <w:marLeft w:val="0"/>
          <w:marRight w:val="0"/>
          <w:marTop w:val="0"/>
          <w:marBottom w:val="0"/>
          <w:divBdr>
            <w:top w:val="none" w:sz="0" w:space="0" w:color="auto"/>
            <w:left w:val="none" w:sz="0" w:space="0" w:color="auto"/>
            <w:bottom w:val="none" w:sz="0" w:space="0" w:color="auto"/>
            <w:right w:val="none" w:sz="0" w:space="0" w:color="auto"/>
          </w:divBdr>
          <w:divsChild>
            <w:div w:id="1840266385">
              <w:marLeft w:val="0"/>
              <w:marRight w:val="0"/>
              <w:marTop w:val="0"/>
              <w:marBottom w:val="0"/>
              <w:divBdr>
                <w:top w:val="none" w:sz="0" w:space="0" w:color="auto"/>
                <w:left w:val="none" w:sz="0" w:space="0" w:color="auto"/>
                <w:bottom w:val="none" w:sz="0" w:space="0" w:color="auto"/>
                <w:right w:val="none" w:sz="0" w:space="0" w:color="auto"/>
              </w:divBdr>
            </w:div>
          </w:divsChild>
        </w:div>
        <w:div w:id="1755931696">
          <w:marLeft w:val="0"/>
          <w:marRight w:val="0"/>
          <w:marTop w:val="0"/>
          <w:marBottom w:val="0"/>
          <w:divBdr>
            <w:top w:val="none" w:sz="0" w:space="0" w:color="auto"/>
            <w:left w:val="none" w:sz="0" w:space="0" w:color="auto"/>
            <w:bottom w:val="none" w:sz="0" w:space="0" w:color="auto"/>
            <w:right w:val="none" w:sz="0" w:space="0" w:color="auto"/>
          </w:divBdr>
          <w:divsChild>
            <w:div w:id="1426881017">
              <w:marLeft w:val="0"/>
              <w:marRight w:val="0"/>
              <w:marTop w:val="0"/>
              <w:marBottom w:val="0"/>
              <w:divBdr>
                <w:top w:val="none" w:sz="0" w:space="0" w:color="auto"/>
                <w:left w:val="none" w:sz="0" w:space="0" w:color="auto"/>
                <w:bottom w:val="none" w:sz="0" w:space="0" w:color="auto"/>
                <w:right w:val="none" w:sz="0" w:space="0" w:color="auto"/>
              </w:divBdr>
            </w:div>
          </w:divsChild>
        </w:div>
        <w:div w:id="1254703682">
          <w:marLeft w:val="0"/>
          <w:marRight w:val="0"/>
          <w:marTop w:val="0"/>
          <w:marBottom w:val="0"/>
          <w:divBdr>
            <w:top w:val="none" w:sz="0" w:space="0" w:color="auto"/>
            <w:left w:val="none" w:sz="0" w:space="0" w:color="auto"/>
            <w:bottom w:val="none" w:sz="0" w:space="0" w:color="auto"/>
            <w:right w:val="none" w:sz="0" w:space="0" w:color="auto"/>
          </w:divBdr>
          <w:divsChild>
            <w:div w:id="482620582">
              <w:marLeft w:val="0"/>
              <w:marRight w:val="0"/>
              <w:marTop w:val="0"/>
              <w:marBottom w:val="0"/>
              <w:divBdr>
                <w:top w:val="none" w:sz="0" w:space="0" w:color="auto"/>
                <w:left w:val="none" w:sz="0" w:space="0" w:color="auto"/>
                <w:bottom w:val="none" w:sz="0" w:space="0" w:color="auto"/>
                <w:right w:val="none" w:sz="0" w:space="0" w:color="auto"/>
              </w:divBdr>
            </w:div>
          </w:divsChild>
        </w:div>
        <w:div w:id="277225171">
          <w:marLeft w:val="0"/>
          <w:marRight w:val="0"/>
          <w:marTop w:val="0"/>
          <w:marBottom w:val="0"/>
          <w:divBdr>
            <w:top w:val="none" w:sz="0" w:space="0" w:color="auto"/>
            <w:left w:val="none" w:sz="0" w:space="0" w:color="auto"/>
            <w:bottom w:val="none" w:sz="0" w:space="0" w:color="auto"/>
            <w:right w:val="none" w:sz="0" w:space="0" w:color="auto"/>
          </w:divBdr>
          <w:divsChild>
            <w:div w:id="115410665">
              <w:marLeft w:val="0"/>
              <w:marRight w:val="0"/>
              <w:marTop w:val="0"/>
              <w:marBottom w:val="0"/>
              <w:divBdr>
                <w:top w:val="none" w:sz="0" w:space="0" w:color="auto"/>
                <w:left w:val="none" w:sz="0" w:space="0" w:color="auto"/>
                <w:bottom w:val="none" w:sz="0" w:space="0" w:color="auto"/>
                <w:right w:val="none" w:sz="0" w:space="0" w:color="auto"/>
              </w:divBdr>
            </w:div>
          </w:divsChild>
        </w:div>
        <w:div w:id="355543776">
          <w:marLeft w:val="0"/>
          <w:marRight w:val="0"/>
          <w:marTop w:val="0"/>
          <w:marBottom w:val="0"/>
          <w:divBdr>
            <w:top w:val="none" w:sz="0" w:space="0" w:color="auto"/>
            <w:left w:val="none" w:sz="0" w:space="0" w:color="auto"/>
            <w:bottom w:val="none" w:sz="0" w:space="0" w:color="auto"/>
            <w:right w:val="none" w:sz="0" w:space="0" w:color="auto"/>
          </w:divBdr>
          <w:divsChild>
            <w:div w:id="500198745">
              <w:marLeft w:val="0"/>
              <w:marRight w:val="0"/>
              <w:marTop w:val="0"/>
              <w:marBottom w:val="0"/>
              <w:divBdr>
                <w:top w:val="none" w:sz="0" w:space="0" w:color="auto"/>
                <w:left w:val="none" w:sz="0" w:space="0" w:color="auto"/>
                <w:bottom w:val="none" w:sz="0" w:space="0" w:color="auto"/>
                <w:right w:val="none" w:sz="0" w:space="0" w:color="auto"/>
              </w:divBdr>
            </w:div>
          </w:divsChild>
        </w:div>
        <w:div w:id="810244312">
          <w:marLeft w:val="0"/>
          <w:marRight w:val="0"/>
          <w:marTop w:val="0"/>
          <w:marBottom w:val="0"/>
          <w:divBdr>
            <w:top w:val="none" w:sz="0" w:space="0" w:color="auto"/>
            <w:left w:val="none" w:sz="0" w:space="0" w:color="auto"/>
            <w:bottom w:val="none" w:sz="0" w:space="0" w:color="auto"/>
            <w:right w:val="none" w:sz="0" w:space="0" w:color="auto"/>
          </w:divBdr>
          <w:divsChild>
            <w:div w:id="1931700493">
              <w:marLeft w:val="0"/>
              <w:marRight w:val="0"/>
              <w:marTop w:val="0"/>
              <w:marBottom w:val="0"/>
              <w:divBdr>
                <w:top w:val="none" w:sz="0" w:space="0" w:color="auto"/>
                <w:left w:val="none" w:sz="0" w:space="0" w:color="auto"/>
                <w:bottom w:val="none" w:sz="0" w:space="0" w:color="auto"/>
                <w:right w:val="none" w:sz="0" w:space="0" w:color="auto"/>
              </w:divBdr>
            </w:div>
          </w:divsChild>
        </w:div>
        <w:div w:id="569534556">
          <w:marLeft w:val="0"/>
          <w:marRight w:val="0"/>
          <w:marTop w:val="0"/>
          <w:marBottom w:val="0"/>
          <w:divBdr>
            <w:top w:val="none" w:sz="0" w:space="0" w:color="auto"/>
            <w:left w:val="none" w:sz="0" w:space="0" w:color="auto"/>
            <w:bottom w:val="none" w:sz="0" w:space="0" w:color="auto"/>
            <w:right w:val="none" w:sz="0" w:space="0" w:color="auto"/>
          </w:divBdr>
          <w:divsChild>
            <w:div w:id="159543808">
              <w:marLeft w:val="0"/>
              <w:marRight w:val="0"/>
              <w:marTop w:val="0"/>
              <w:marBottom w:val="0"/>
              <w:divBdr>
                <w:top w:val="none" w:sz="0" w:space="0" w:color="auto"/>
                <w:left w:val="none" w:sz="0" w:space="0" w:color="auto"/>
                <w:bottom w:val="none" w:sz="0" w:space="0" w:color="auto"/>
                <w:right w:val="none" w:sz="0" w:space="0" w:color="auto"/>
              </w:divBdr>
            </w:div>
          </w:divsChild>
        </w:div>
        <w:div w:id="2109739563">
          <w:marLeft w:val="0"/>
          <w:marRight w:val="0"/>
          <w:marTop w:val="0"/>
          <w:marBottom w:val="0"/>
          <w:divBdr>
            <w:top w:val="none" w:sz="0" w:space="0" w:color="auto"/>
            <w:left w:val="none" w:sz="0" w:space="0" w:color="auto"/>
            <w:bottom w:val="none" w:sz="0" w:space="0" w:color="auto"/>
            <w:right w:val="none" w:sz="0" w:space="0" w:color="auto"/>
          </w:divBdr>
          <w:divsChild>
            <w:div w:id="822158465">
              <w:marLeft w:val="0"/>
              <w:marRight w:val="0"/>
              <w:marTop w:val="0"/>
              <w:marBottom w:val="0"/>
              <w:divBdr>
                <w:top w:val="none" w:sz="0" w:space="0" w:color="auto"/>
                <w:left w:val="none" w:sz="0" w:space="0" w:color="auto"/>
                <w:bottom w:val="none" w:sz="0" w:space="0" w:color="auto"/>
                <w:right w:val="none" w:sz="0" w:space="0" w:color="auto"/>
              </w:divBdr>
            </w:div>
          </w:divsChild>
        </w:div>
        <w:div w:id="355471108">
          <w:marLeft w:val="0"/>
          <w:marRight w:val="0"/>
          <w:marTop w:val="0"/>
          <w:marBottom w:val="0"/>
          <w:divBdr>
            <w:top w:val="none" w:sz="0" w:space="0" w:color="auto"/>
            <w:left w:val="none" w:sz="0" w:space="0" w:color="auto"/>
            <w:bottom w:val="none" w:sz="0" w:space="0" w:color="auto"/>
            <w:right w:val="none" w:sz="0" w:space="0" w:color="auto"/>
          </w:divBdr>
          <w:divsChild>
            <w:div w:id="446392771">
              <w:marLeft w:val="0"/>
              <w:marRight w:val="0"/>
              <w:marTop w:val="0"/>
              <w:marBottom w:val="0"/>
              <w:divBdr>
                <w:top w:val="none" w:sz="0" w:space="0" w:color="auto"/>
                <w:left w:val="none" w:sz="0" w:space="0" w:color="auto"/>
                <w:bottom w:val="none" w:sz="0" w:space="0" w:color="auto"/>
                <w:right w:val="none" w:sz="0" w:space="0" w:color="auto"/>
              </w:divBdr>
            </w:div>
          </w:divsChild>
        </w:div>
        <w:div w:id="571351162">
          <w:marLeft w:val="0"/>
          <w:marRight w:val="0"/>
          <w:marTop w:val="0"/>
          <w:marBottom w:val="0"/>
          <w:divBdr>
            <w:top w:val="none" w:sz="0" w:space="0" w:color="auto"/>
            <w:left w:val="none" w:sz="0" w:space="0" w:color="auto"/>
            <w:bottom w:val="none" w:sz="0" w:space="0" w:color="auto"/>
            <w:right w:val="none" w:sz="0" w:space="0" w:color="auto"/>
          </w:divBdr>
          <w:divsChild>
            <w:div w:id="337387593">
              <w:marLeft w:val="0"/>
              <w:marRight w:val="0"/>
              <w:marTop w:val="0"/>
              <w:marBottom w:val="0"/>
              <w:divBdr>
                <w:top w:val="none" w:sz="0" w:space="0" w:color="auto"/>
                <w:left w:val="none" w:sz="0" w:space="0" w:color="auto"/>
                <w:bottom w:val="none" w:sz="0" w:space="0" w:color="auto"/>
                <w:right w:val="none" w:sz="0" w:space="0" w:color="auto"/>
              </w:divBdr>
            </w:div>
          </w:divsChild>
        </w:div>
        <w:div w:id="1549679229">
          <w:marLeft w:val="0"/>
          <w:marRight w:val="0"/>
          <w:marTop w:val="0"/>
          <w:marBottom w:val="0"/>
          <w:divBdr>
            <w:top w:val="none" w:sz="0" w:space="0" w:color="auto"/>
            <w:left w:val="none" w:sz="0" w:space="0" w:color="auto"/>
            <w:bottom w:val="none" w:sz="0" w:space="0" w:color="auto"/>
            <w:right w:val="none" w:sz="0" w:space="0" w:color="auto"/>
          </w:divBdr>
          <w:divsChild>
            <w:div w:id="17614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34730">
      <w:bodyDiv w:val="1"/>
      <w:marLeft w:val="0"/>
      <w:marRight w:val="0"/>
      <w:marTop w:val="0"/>
      <w:marBottom w:val="0"/>
      <w:divBdr>
        <w:top w:val="none" w:sz="0" w:space="0" w:color="auto"/>
        <w:left w:val="none" w:sz="0" w:space="0" w:color="auto"/>
        <w:bottom w:val="none" w:sz="0" w:space="0" w:color="auto"/>
        <w:right w:val="none" w:sz="0" w:space="0" w:color="auto"/>
      </w:divBdr>
    </w:div>
    <w:div w:id="185951573">
      <w:bodyDiv w:val="1"/>
      <w:marLeft w:val="0"/>
      <w:marRight w:val="0"/>
      <w:marTop w:val="0"/>
      <w:marBottom w:val="0"/>
      <w:divBdr>
        <w:top w:val="none" w:sz="0" w:space="0" w:color="auto"/>
        <w:left w:val="none" w:sz="0" w:space="0" w:color="auto"/>
        <w:bottom w:val="none" w:sz="0" w:space="0" w:color="auto"/>
        <w:right w:val="none" w:sz="0" w:space="0" w:color="auto"/>
      </w:divBdr>
    </w:div>
    <w:div w:id="195388823">
      <w:bodyDiv w:val="1"/>
      <w:marLeft w:val="0"/>
      <w:marRight w:val="0"/>
      <w:marTop w:val="0"/>
      <w:marBottom w:val="0"/>
      <w:divBdr>
        <w:top w:val="none" w:sz="0" w:space="0" w:color="auto"/>
        <w:left w:val="none" w:sz="0" w:space="0" w:color="auto"/>
        <w:bottom w:val="none" w:sz="0" w:space="0" w:color="auto"/>
        <w:right w:val="none" w:sz="0" w:space="0" w:color="auto"/>
      </w:divBdr>
      <w:divsChild>
        <w:div w:id="911739284">
          <w:marLeft w:val="0"/>
          <w:marRight w:val="0"/>
          <w:marTop w:val="0"/>
          <w:marBottom w:val="0"/>
          <w:divBdr>
            <w:top w:val="none" w:sz="0" w:space="0" w:color="auto"/>
            <w:left w:val="none" w:sz="0" w:space="0" w:color="auto"/>
            <w:bottom w:val="none" w:sz="0" w:space="0" w:color="auto"/>
            <w:right w:val="none" w:sz="0" w:space="0" w:color="auto"/>
          </w:divBdr>
          <w:divsChild>
            <w:div w:id="604116184">
              <w:marLeft w:val="-180"/>
              <w:marRight w:val="-180"/>
              <w:marTop w:val="0"/>
              <w:marBottom w:val="0"/>
              <w:divBdr>
                <w:top w:val="none" w:sz="0" w:space="0" w:color="auto"/>
                <w:left w:val="none" w:sz="0" w:space="0" w:color="auto"/>
                <w:bottom w:val="none" w:sz="0" w:space="0" w:color="auto"/>
                <w:right w:val="none" w:sz="0" w:space="0" w:color="auto"/>
              </w:divBdr>
              <w:divsChild>
                <w:div w:id="1956210022">
                  <w:marLeft w:val="0"/>
                  <w:marRight w:val="0"/>
                  <w:marTop w:val="0"/>
                  <w:marBottom w:val="0"/>
                  <w:divBdr>
                    <w:top w:val="none" w:sz="0" w:space="0" w:color="auto"/>
                    <w:left w:val="none" w:sz="0" w:space="0" w:color="auto"/>
                    <w:bottom w:val="none" w:sz="0" w:space="0" w:color="auto"/>
                    <w:right w:val="none" w:sz="0" w:space="0" w:color="auto"/>
                  </w:divBdr>
                  <w:divsChild>
                    <w:div w:id="147903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410604">
          <w:marLeft w:val="0"/>
          <w:marRight w:val="0"/>
          <w:marTop w:val="0"/>
          <w:marBottom w:val="0"/>
          <w:divBdr>
            <w:top w:val="none" w:sz="0" w:space="0" w:color="auto"/>
            <w:left w:val="none" w:sz="0" w:space="0" w:color="auto"/>
            <w:bottom w:val="none" w:sz="0" w:space="0" w:color="auto"/>
            <w:right w:val="none" w:sz="0" w:space="0" w:color="auto"/>
          </w:divBdr>
          <w:divsChild>
            <w:div w:id="1675037620">
              <w:marLeft w:val="0"/>
              <w:marRight w:val="0"/>
              <w:marTop w:val="0"/>
              <w:marBottom w:val="0"/>
              <w:divBdr>
                <w:top w:val="none" w:sz="0" w:space="0" w:color="auto"/>
                <w:left w:val="none" w:sz="0" w:space="0" w:color="auto"/>
                <w:bottom w:val="none" w:sz="0" w:space="0" w:color="auto"/>
                <w:right w:val="none" w:sz="0" w:space="0" w:color="auto"/>
              </w:divBdr>
              <w:divsChild>
                <w:div w:id="511917817">
                  <w:marLeft w:val="0"/>
                  <w:marRight w:val="0"/>
                  <w:marTop w:val="0"/>
                  <w:marBottom w:val="0"/>
                  <w:divBdr>
                    <w:top w:val="none" w:sz="0" w:space="0" w:color="auto"/>
                    <w:left w:val="none" w:sz="0" w:space="0" w:color="auto"/>
                    <w:bottom w:val="single" w:sz="2" w:space="30" w:color="CCCCCC"/>
                    <w:right w:val="none" w:sz="0" w:space="0" w:color="auto"/>
                  </w:divBdr>
                  <w:divsChild>
                    <w:div w:id="477187231">
                      <w:marLeft w:val="-180"/>
                      <w:marRight w:val="-180"/>
                      <w:marTop w:val="0"/>
                      <w:marBottom w:val="0"/>
                      <w:divBdr>
                        <w:top w:val="none" w:sz="0" w:space="0" w:color="auto"/>
                        <w:left w:val="none" w:sz="0" w:space="0" w:color="auto"/>
                        <w:bottom w:val="none" w:sz="0" w:space="0" w:color="auto"/>
                        <w:right w:val="none" w:sz="0" w:space="0" w:color="auto"/>
                      </w:divBdr>
                      <w:divsChild>
                        <w:div w:id="665402216">
                          <w:marLeft w:val="0"/>
                          <w:marRight w:val="0"/>
                          <w:marTop w:val="0"/>
                          <w:marBottom w:val="0"/>
                          <w:divBdr>
                            <w:top w:val="none" w:sz="0" w:space="0" w:color="auto"/>
                            <w:left w:val="none" w:sz="0" w:space="0" w:color="auto"/>
                            <w:bottom w:val="none" w:sz="0" w:space="0" w:color="auto"/>
                            <w:right w:val="none" w:sz="0" w:space="0" w:color="auto"/>
                          </w:divBdr>
                          <w:divsChild>
                            <w:div w:id="209054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576055">
      <w:bodyDiv w:val="1"/>
      <w:marLeft w:val="0"/>
      <w:marRight w:val="0"/>
      <w:marTop w:val="0"/>
      <w:marBottom w:val="0"/>
      <w:divBdr>
        <w:top w:val="none" w:sz="0" w:space="0" w:color="auto"/>
        <w:left w:val="none" w:sz="0" w:space="0" w:color="auto"/>
        <w:bottom w:val="none" w:sz="0" w:space="0" w:color="auto"/>
        <w:right w:val="none" w:sz="0" w:space="0" w:color="auto"/>
      </w:divBdr>
    </w:div>
    <w:div w:id="214975059">
      <w:bodyDiv w:val="1"/>
      <w:marLeft w:val="0"/>
      <w:marRight w:val="0"/>
      <w:marTop w:val="0"/>
      <w:marBottom w:val="0"/>
      <w:divBdr>
        <w:top w:val="none" w:sz="0" w:space="0" w:color="auto"/>
        <w:left w:val="none" w:sz="0" w:space="0" w:color="auto"/>
        <w:bottom w:val="none" w:sz="0" w:space="0" w:color="auto"/>
        <w:right w:val="none" w:sz="0" w:space="0" w:color="auto"/>
      </w:divBdr>
    </w:div>
    <w:div w:id="222253617">
      <w:bodyDiv w:val="1"/>
      <w:marLeft w:val="0"/>
      <w:marRight w:val="0"/>
      <w:marTop w:val="0"/>
      <w:marBottom w:val="0"/>
      <w:divBdr>
        <w:top w:val="none" w:sz="0" w:space="0" w:color="auto"/>
        <w:left w:val="none" w:sz="0" w:space="0" w:color="auto"/>
        <w:bottom w:val="none" w:sz="0" w:space="0" w:color="auto"/>
        <w:right w:val="none" w:sz="0" w:space="0" w:color="auto"/>
      </w:divBdr>
    </w:div>
    <w:div w:id="235673168">
      <w:bodyDiv w:val="1"/>
      <w:marLeft w:val="0"/>
      <w:marRight w:val="0"/>
      <w:marTop w:val="0"/>
      <w:marBottom w:val="0"/>
      <w:divBdr>
        <w:top w:val="none" w:sz="0" w:space="0" w:color="auto"/>
        <w:left w:val="none" w:sz="0" w:space="0" w:color="auto"/>
        <w:bottom w:val="none" w:sz="0" w:space="0" w:color="auto"/>
        <w:right w:val="none" w:sz="0" w:space="0" w:color="auto"/>
      </w:divBdr>
    </w:div>
    <w:div w:id="256181357">
      <w:bodyDiv w:val="1"/>
      <w:marLeft w:val="0"/>
      <w:marRight w:val="0"/>
      <w:marTop w:val="0"/>
      <w:marBottom w:val="0"/>
      <w:divBdr>
        <w:top w:val="none" w:sz="0" w:space="0" w:color="auto"/>
        <w:left w:val="none" w:sz="0" w:space="0" w:color="auto"/>
        <w:bottom w:val="none" w:sz="0" w:space="0" w:color="auto"/>
        <w:right w:val="none" w:sz="0" w:space="0" w:color="auto"/>
      </w:divBdr>
    </w:div>
    <w:div w:id="276522340">
      <w:bodyDiv w:val="1"/>
      <w:marLeft w:val="0"/>
      <w:marRight w:val="0"/>
      <w:marTop w:val="0"/>
      <w:marBottom w:val="0"/>
      <w:divBdr>
        <w:top w:val="none" w:sz="0" w:space="0" w:color="auto"/>
        <w:left w:val="none" w:sz="0" w:space="0" w:color="auto"/>
        <w:bottom w:val="none" w:sz="0" w:space="0" w:color="auto"/>
        <w:right w:val="none" w:sz="0" w:space="0" w:color="auto"/>
      </w:divBdr>
    </w:div>
    <w:div w:id="277496490">
      <w:bodyDiv w:val="1"/>
      <w:marLeft w:val="0"/>
      <w:marRight w:val="0"/>
      <w:marTop w:val="0"/>
      <w:marBottom w:val="0"/>
      <w:divBdr>
        <w:top w:val="none" w:sz="0" w:space="0" w:color="auto"/>
        <w:left w:val="none" w:sz="0" w:space="0" w:color="auto"/>
        <w:bottom w:val="none" w:sz="0" w:space="0" w:color="auto"/>
        <w:right w:val="none" w:sz="0" w:space="0" w:color="auto"/>
      </w:divBdr>
    </w:div>
    <w:div w:id="279845831">
      <w:bodyDiv w:val="1"/>
      <w:marLeft w:val="0"/>
      <w:marRight w:val="0"/>
      <w:marTop w:val="0"/>
      <w:marBottom w:val="0"/>
      <w:divBdr>
        <w:top w:val="none" w:sz="0" w:space="0" w:color="auto"/>
        <w:left w:val="none" w:sz="0" w:space="0" w:color="auto"/>
        <w:bottom w:val="none" w:sz="0" w:space="0" w:color="auto"/>
        <w:right w:val="none" w:sz="0" w:space="0" w:color="auto"/>
      </w:divBdr>
    </w:div>
    <w:div w:id="289098124">
      <w:bodyDiv w:val="1"/>
      <w:marLeft w:val="0"/>
      <w:marRight w:val="0"/>
      <w:marTop w:val="0"/>
      <w:marBottom w:val="0"/>
      <w:divBdr>
        <w:top w:val="none" w:sz="0" w:space="0" w:color="auto"/>
        <w:left w:val="none" w:sz="0" w:space="0" w:color="auto"/>
        <w:bottom w:val="none" w:sz="0" w:space="0" w:color="auto"/>
        <w:right w:val="none" w:sz="0" w:space="0" w:color="auto"/>
      </w:divBdr>
    </w:div>
    <w:div w:id="290331152">
      <w:bodyDiv w:val="1"/>
      <w:marLeft w:val="0"/>
      <w:marRight w:val="0"/>
      <w:marTop w:val="0"/>
      <w:marBottom w:val="0"/>
      <w:divBdr>
        <w:top w:val="none" w:sz="0" w:space="0" w:color="auto"/>
        <w:left w:val="none" w:sz="0" w:space="0" w:color="auto"/>
        <w:bottom w:val="none" w:sz="0" w:space="0" w:color="auto"/>
        <w:right w:val="none" w:sz="0" w:space="0" w:color="auto"/>
      </w:divBdr>
    </w:div>
    <w:div w:id="312293237">
      <w:bodyDiv w:val="1"/>
      <w:marLeft w:val="0"/>
      <w:marRight w:val="0"/>
      <w:marTop w:val="0"/>
      <w:marBottom w:val="0"/>
      <w:divBdr>
        <w:top w:val="none" w:sz="0" w:space="0" w:color="auto"/>
        <w:left w:val="none" w:sz="0" w:space="0" w:color="auto"/>
        <w:bottom w:val="none" w:sz="0" w:space="0" w:color="auto"/>
        <w:right w:val="none" w:sz="0" w:space="0" w:color="auto"/>
      </w:divBdr>
    </w:div>
    <w:div w:id="326829048">
      <w:bodyDiv w:val="1"/>
      <w:marLeft w:val="0"/>
      <w:marRight w:val="0"/>
      <w:marTop w:val="0"/>
      <w:marBottom w:val="0"/>
      <w:divBdr>
        <w:top w:val="none" w:sz="0" w:space="0" w:color="auto"/>
        <w:left w:val="none" w:sz="0" w:space="0" w:color="auto"/>
        <w:bottom w:val="none" w:sz="0" w:space="0" w:color="auto"/>
        <w:right w:val="none" w:sz="0" w:space="0" w:color="auto"/>
      </w:divBdr>
    </w:div>
    <w:div w:id="332611955">
      <w:bodyDiv w:val="1"/>
      <w:marLeft w:val="0"/>
      <w:marRight w:val="0"/>
      <w:marTop w:val="0"/>
      <w:marBottom w:val="0"/>
      <w:divBdr>
        <w:top w:val="none" w:sz="0" w:space="0" w:color="auto"/>
        <w:left w:val="none" w:sz="0" w:space="0" w:color="auto"/>
        <w:bottom w:val="none" w:sz="0" w:space="0" w:color="auto"/>
        <w:right w:val="none" w:sz="0" w:space="0" w:color="auto"/>
      </w:divBdr>
    </w:div>
    <w:div w:id="339351400">
      <w:bodyDiv w:val="1"/>
      <w:marLeft w:val="0"/>
      <w:marRight w:val="0"/>
      <w:marTop w:val="0"/>
      <w:marBottom w:val="0"/>
      <w:divBdr>
        <w:top w:val="none" w:sz="0" w:space="0" w:color="auto"/>
        <w:left w:val="none" w:sz="0" w:space="0" w:color="auto"/>
        <w:bottom w:val="none" w:sz="0" w:space="0" w:color="auto"/>
        <w:right w:val="none" w:sz="0" w:space="0" w:color="auto"/>
      </w:divBdr>
    </w:div>
    <w:div w:id="343480439">
      <w:bodyDiv w:val="1"/>
      <w:marLeft w:val="0"/>
      <w:marRight w:val="0"/>
      <w:marTop w:val="0"/>
      <w:marBottom w:val="0"/>
      <w:divBdr>
        <w:top w:val="none" w:sz="0" w:space="0" w:color="auto"/>
        <w:left w:val="none" w:sz="0" w:space="0" w:color="auto"/>
        <w:bottom w:val="none" w:sz="0" w:space="0" w:color="auto"/>
        <w:right w:val="none" w:sz="0" w:space="0" w:color="auto"/>
      </w:divBdr>
    </w:div>
    <w:div w:id="346564296">
      <w:bodyDiv w:val="1"/>
      <w:marLeft w:val="0"/>
      <w:marRight w:val="0"/>
      <w:marTop w:val="0"/>
      <w:marBottom w:val="0"/>
      <w:divBdr>
        <w:top w:val="none" w:sz="0" w:space="0" w:color="auto"/>
        <w:left w:val="none" w:sz="0" w:space="0" w:color="auto"/>
        <w:bottom w:val="none" w:sz="0" w:space="0" w:color="auto"/>
        <w:right w:val="none" w:sz="0" w:space="0" w:color="auto"/>
      </w:divBdr>
      <w:divsChild>
        <w:div w:id="1371347328">
          <w:marLeft w:val="0"/>
          <w:marRight w:val="0"/>
          <w:marTop w:val="0"/>
          <w:marBottom w:val="0"/>
          <w:divBdr>
            <w:top w:val="none" w:sz="0" w:space="0" w:color="auto"/>
            <w:left w:val="none" w:sz="0" w:space="0" w:color="auto"/>
            <w:bottom w:val="none" w:sz="0" w:space="0" w:color="auto"/>
            <w:right w:val="none" w:sz="0" w:space="0" w:color="auto"/>
          </w:divBdr>
          <w:divsChild>
            <w:div w:id="657729991">
              <w:marLeft w:val="0"/>
              <w:marRight w:val="0"/>
              <w:marTop w:val="0"/>
              <w:marBottom w:val="0"/>
              <w:divBdr>
                <w:top w:val="none" w:sz="0" w:space="0" w:color="auto"/>
                <w:left w:val="none" w:sz="0" w:space="0" w:color="auto"/>
                <w:bottom w:val="none" w:sz="0" w:space="0" w:color="auto"/>
                <w:right w:val="none" w:sz="0" w:space="0" w:color="auto"/>
              </w:divBdr>
              <w:divsChild>
                <w:div w:id="222058209">
                  <w:marLeft w:val="0"/>
                  <w:marRight w:val="0"/>
                  <w:marTop w:val="0"/>
                  <w:marBottom w:val="0"/>
                  <w:divBdr>
                    <w:top w:val="none" w:sz="0" w:space="0" w:color="auto"/>
                    <w:left w:val="none" w:sz="0" w:space="0" w:color="auto"/>
                    <w:bottom w:val="none" w:sz="0" w:space="0" w:color="auto"/>
                    <w:right w:val="none" w:sz="0" w:space="0" w:color="auto"/>
                  </w:divBdr>
                  <w:divsChild>
                    <w:div w:id="134343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064330">
          <w:marLeft w:val="0"/>
          <w:marRight w:val="0"/>
          <w:marTop w:val="0"/>
          <w:marBottom w:val="0"/>
          <w:divBdr>
            <w:top w:val="none" w:sz="0" w:space="0" w:color="auto"/>
            <w:left w:val="none" w:sz="0" w:space="0" w:color="auto"/>
            <w:bottom w:val="none" w:sz="0" w:space="0" w:color="auto"/>
            <w:right w:val="none" w:sz="0" w:space="0" w:color="auto"/>
          </w:divBdr>
          <w:divsChild>
            <w:div w:id="618145268">
              <w:marLeft w:val="0"/>
              <w:marRight w:val="0"/>
              <w:marTop w:val="0"/>
              <w:marBottom w:val="0"/>
              <w:divBdr>
                <w:top w:val="none" w:sz="0" w:space="0" w:color="auto"/>
                <w:left w:val="none" w:sz="0" w:space="0" w:color="auto"/>
                <w:bottom w:val="none" w:sz="0" w:space="0" w:color="auto"/>
                <w:right w:val="none" w:sz="0" w:space="0" w:color="auto"/>
              </w:divBdr>
              <w:divsChild>
                <w:div w:id="1040518543">
                  <w:marLeft w:val="0"/>
                  <w:marRight w:val="0"/>
                  <w:marTop w:val="0"/>
                  <w:marBottom w:val="0"/>
                  <w:divBdr>
                    <w:top w:val="none" w:sz="0" w:space="0" w:color="auto"/>
                    <w:left w:val="none" w:sz="0" w:space="0" w:color="auto"/>
                    <w:bottom w:val="none" w:sz="0" w:space="0" w:color="auto"/>
                    <w:right w:val="none" w:sz="0" w:space="0" w:color="auto"/>
                  </w:divBdr>
                  <w:divsChild>
                    <w:div w:id="362053612">
                      <w:marLeft w:val="0"/>
                      <w:marRight w:val="0"/>
                      <w:marTop w:val="0"/>
                      <w:marBottom w:val="0"/>
                      <w:divBdr>
                        <w:top w:val="none" w:sz="0" w:space="0" w:color="auto"/>
                        <w:left w:val="none" w:sz="0" w:space="0" w:color="auto"/>
                        <w:bottom w:val="none" w:sz="0" w:space="0" w:color="auto"/>
                        <w:right w:val="none" w:sz="0" w:space="0" w:color="auto"/>
                      </w:divBdr>
                      <w:divsChild>
                        <w:div w:id="176163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818940">
                  <w:marLeft w:val="180"/>
                  <w:marRight w:val="0"/>
                  <w:marTop w:val="0"/>
                  <w:marBottom w:val="0"/>
                  <w:divBdr>
                    <w:top w:val="none" w:sz="0" w:space="0" w:color="auto"/>
                    <w:left w:val="none" w:sz="0" w:space="0" w:color="auto"/>
                    <w:bottom w:val="none" w:sz="0" w:space="0" w:color="auto"/>
                    <w:right w:val="none" w:sz="0" w:space="0" w:color="auto"/>
                  </w:divBdr>
                  <w:divsChild>
                    <w:div w:id="667713513">
                      <w:marLeft w:val="0"/>
                      <w:marRight w:val="0"/>
                      <w:marTop w:val="0"/>
                      <w:marBottom w:val="0"/>
                      <w:divBdr>
                        <w:top w:val="single" w:sz="6" w:space="0" w:color="E7E7E7"/>
                        <w:left w:val="single" w:sz="6" w:space="0" w:color="E7E7E7"/>
                        <w:bottom w:val="single" w:sz="6" w:space="0" w:color="E7E7E7"/>
                        <w:right w:val="single" w:sz="6" w:space="0" w:color="E7E7E7"/>
                      </w:divBdr>
                      <w:divsChild>
                        <w:div w:id="1024867250">
                          <w:marLeft w:val="0"/>
                          <w:marRight w:val="0"/>
                          <w:marTop w:val="0"/>
                          <w:marBottom w:val="0"/>
                          <w:divBdr>
                            <w:top w:val="none" w:sz="0" w:space="0" w:color="auto"/>
                            <w:left w:val="none" w:sz="0" w:space="0" w:color="auto"/>
                            <w:bottom w:val="none" w:sz="0" w:space="0" w:color="auto"/>
                            <w:right w:val="none" w:sz="0" w:space="0" w:color="auto"/>
                          </w:divBdr>
                          <w:divsChild>
                            <w:div w:id="1473718940">
                              <w:marLeft w:val="0"/>
                              <w:marRight w:val="0"/>
                              <w:marTop w:val="180"/>
                              <w:marBottom w:val="180"/>
                              <w:divBdr>
                                <w:top w:val="none" w:sz="0" w:space="0" w:color="auto"/>
                                <w:left w:val="none" w:sz="0" w:space="0" w:color="auto"/>
                                <w:bottom w:val="none" w:sz="0" w:space="0" w:color="auto"/>
                                <w:right w:val="none" w:sz="0" w:space="0" w:color="auto"/>
                              </w:divBdr>
                            </w:div>
                          </w:divsChild>
                        </w:div>
                        <w:div w:id="1612545382">
                          <w:marLeft w:val="0"/>
                          <w:marRight w:val="0"/>
                          <w:marTop w:val="0"/>
                          <w:marBottom w:val="0"/>
                          <w:divBdr>
                            <w:top w:val="none" w:sz="0" w:space="0" w:color="auto"/>
                            <w:left w:val="none" w:sz="0" w:space="0" w:color="auto"/>
                            <w:bottom w:val="none" w:sz="0" w:space="0" w:color="auto"/>
                            <w:right w:val="none" w:sz="0" w:space="0" w:color="auto"/>
                          </w:divBdr>
                          <w:divsChild>
                            <w:div w:id="117468905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558738829">
              <w:marLeft w:val="0"/>
              <w:marRight w:val="0"/>
              <w:marTop w:val="0"/>
              <w:marBottom w:val="0"/>
              <w:divBdr>
                <w:top w:val="none" w:sz="0" w:space="0" w:color="auto"/>
                <w:left w:val="none" w:sz="0" w:space="0" w:color="auto"/>
                <w:bottom w:val="none" w:sz="0" w:space="0" w:color="auto"/>
                <w:right w:val="none" w:sz="0" w:space="0" w:color="auto"/>
              </w:divBdr>
              <w:divsChild>
                <w:div w:id="1606035801">
                  <w:marLeft w:val="0"/>
                  <w:marRight w:val="0"/>
                  <w:marTop w:val="0"/>
                  <w:marBottom w:val="0"/>
                  <w:divBdr>
                    <w:top w:val="none" w:sz="0" w:space="0" w:color="auto"/>
                    <w:left w:val="none" w:sz="0" w:space="0" w:color="auto"/>
                    <w:bottom w:val="none" w:sz="0" w:space="0" w:color="auto"/>
                    <w:right w:val="none" w:sz="0" w:space="0" w:color="auto"/>
                  </w:divBdr>
                  <w:divsChild>
                    <w:div w:id="2076271789">
                      <w:marLeft w:val="0"/>
                      <w:marRight w:val="0"/>
                      <w:marTop w:val="0"/>
                      <w:marBottom w:val="0"/>
                      <w:divBdr>
                        <w:top w:val="none" w:sz="0" w:space="0" w:color="auto"/>
                        <w:left w:val="none" w:sz="0" w:space="0" w:color="auto"/>
                        <w:bottom w:val="none" w:sz="0" w:space="0" w:color="auto"/>
                        <w:right w:val="none" w:sz="0" w:space="0" w:color="auto"/>
                      </w:divBdr>
                      <w:divsChild>
                        <w:div w:id="1864439085">
                          <w:marLeft w:val="0"/>
                          <w:marRight w:val="0"/>
                          <w:marTop w:val="0"/>
                          <w:marBottom w:val="0"/>
                          <w:divBdr>
                            <w:top w:val="none" w:sz="0" w:space="0" w:color="auto"/>
                            <w:left w:val="none" w:sz="0" w:space="0" w:color="auto"/>
                            <w:bottom w:val="none" w:sz="0" w:space="0" w:color="auto"/>
                            <w:right w:val="none" w:sz="0" w:space="0" w:color="auto"/>
                          </w:divBdr>
                          <w:divsChild>
                            <w:div w:id="744763104">
                              <w:marLeft w:val="0"/>
                              <w:marRight w:val="0"/>
                              <w:marTop w:val="0"/>
                              <w:marBottom w:val="0"/>
                              <w:divBdr>
                                <w:top w:val="none" w:sz="0" w:space="0" w:color="auto"/>
                                <w:left w:val="none" w:sz="0" w:space="0" w:color="auto"/>
                                <w:bottom w:val="none" w:sz="0" w:space="0" w:color="auto"/>
                                <w:right w:val="none" w:sz="0" w:space="0" w:color="auto"/>
                              </w:divBdr>
                              <w:divsChild>
                                <w:div w:id="2102213657">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0135479">
      <w:bodyDiv w:val="1"/>
      <w:marLeft w:val="0"/>
      <w:marRight w:val="0"/>
      <w:marTop w:val="0"/>
      <w:marBottom w:val="0"/>
      <w:divBdr>
        <w:top w:val="none" w:sz="0" w:space="0" w:color="auto"/>
        <w:left w:val="none" w:sz="0" w:space="0" w:color="auto"/>
        <w:bottom w:val="none" w:sz="0" w:space="0" w:color="auto"/>
        <w:right w:val="none" w:sz="0" w:space="0" w:color="auto"/>
      </w:divBdr>
      <w:divsChild>
        <w:div w:id="458376027">
          <w:marLeft w:val="0"/>
          <w:marRight w:val="0"/>
          <w:marTop w:val="0"/>
          <w:marBottom w:val="0"/>
          <w:divBdr>
            <w:top w:val="none" w:sz="0" w:space="0" w:color="auto"/>
            <w:left w:val="none" w:sz="0" w:space="0" w:color="auto"/>
            <w:bottom w:val="none" w:sz="0" w:space="0" w:color="auto"/>
            <w:right w:val="none" w:sz="0" w:space="0" w:color="auto"/>
          </w:divBdr>
          <w:divsChild>
            <w:div w:id="103313116">
              <w:marLeft w:val="0"/>
              <w:marRight w:val="0"/>
              <w:marTop w:val="0"/>
              <w:marBottom w:val="0"/>
              <w:divBdr>
                <w:top w:val="none" w:sz="0" w:space="0" w:color="auto"/>
                <w:left w:val="none" w:sz="0" w:space="0" w:color="auto"/>
                <w:bottom w:val="none" w:sz="0" w:space="0" w:color="auto"/>
                <w:right w:val="none" w:sz="0" w:space="0" w:color="auto"/>
              </w:divBdr>
              <w:divsChild>
                <w:div w:id="766996288">
                  <w:marLeft w:val="0"/>
                  <w:marRight w:val="0"/>
                  <w:marTop w:val="0"/>
                  <w:marBottom w:val="0"/>
                  <w:divBdr>
                    <w:top w:val="none" w:sz="0" w:space="0" w:color="auto"/>
                    <w:left w:val="none" w:sz="0" w:space="0" w:color="auto"/>
                    <w:bottom w:val="none" w:sz="0" w:space="0" w:color="auto"/>
                    <w:right w:val="none" w:sz="0" w:space="0" w:color="auto"/>
                  </w:divBdr>
                  <w:divsChild>
                    <w:div w:id="1787388329">
                      <w:marLeft w:val="0"/>
                      <w:marRight w:val="0"/>
                      <w:marTop w:val="0"/>
                      <w:marBottom w:val="0"/>
                      <w:divBdr>
                        <w:top w:val="none" w:sz="0" w:space="0" w:color="auto"/>
                        <w:left w:val="none" w:sz="0" w:space="0" w:color="auto"/>
                        <w:bottom w:val="none" w:sz="0" w:space="0" w:color="auto"/>
                        <w:right w:val="none" w:sz="0" w:space="0" w:color="auto"/>
                      </w:divBdr>
                      <w:divsChild>
                        <w:div w:id="1120077247">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486895649">
          <w:marLeft w:val="0"/>
          <w:marRight w:val="0"/>
          <w:marTop w:val="0"/>
          <w:marBottom w:val="0"/>
          <w:divBdr>
            <w:top w:val="none" w:sz="0" w:space="0" w:color="auto"/>
            <w:left w:val="none" w:sz="0" w:space="0" w:color="auto"/>
            <w:bottom w:val="none" w:sz="0" w:space="0" w:color="auto"/>
            <w:right w:val="none" w:sz="0" w:space="0" w:color="auto"/>
          </w:divBdr>
          <w:divsChild>
            <w:div w:id="1270043172">
              <w:marLeft w:val="0"/>
              <w:marRight w:val="0"/>
              <w:marTop w:val="0"/>
              <w:marBottom w:val="0"/>
              <w:divBdr>
                <w:top w:val="none" w:sz="0" w:space="0" w:color="auto"/>
                <w:left w:val="none" w:sz="0" w:space="0" w:color="auto"/>
                <w:bottom w:val="none" w:sz="0" w:space="0" w:color="auto"/>
                <w:right w:val="none" w:sz="0" w:space="0" w:color="auto"/>
              </w:divBdr>
              <w:divsChild>
                <w:div w:id="1464427775">
                  <w:marLeft w:val="0"/>
                  <w:marRight w:val="0"/>
                  <w:marTop w:val="0"/>
                  <w:marBottom w:val="0"/>
                  <w:divBdr>
                    <w:top w:val="none" w:sz="0" w:space="0" w:color="auto"/>
                    <w:left w:val="none" w:sz="0" w:space="0" w:color="auto"/>
                    <w:bottom w:val="none" w:sz="0" w:space="0" w:color="auto"/>
                    <w:right w:val="none" w:sz="0" w:space="0" w:color="auto"/>
                  </w:divBdr>
                  <w:divsChild>
                    <w:div w:id="199586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790640">
              <w:marLeft w:val="180"/>
              <w:marRight w:val="0"/>
              <w:marTop w:val="0"/>
              <w:marBottom w:val="0"/>
              <w:divBdr>
                <w:top w:val="none" w:sz="0" w:space="0" w:color="auto"/>
                <w:left w:val="none" w:sz="0" w:space="0" w:color="auto"/>
                <w:bottom w:val="none" w:sz="0" w:space="0" w:color="auto"/>
                <w:right w:val="none" w:sz="0" w:space="0" w:color="auto"/>
              </w:divBdr>
              <w:divsChild>
                <w:div w:id="1255165753">
                  <w:marLeft w:val="0"/>
                  <w:marRight w:val="0"/>
                  <w:marTop w:val="0"/>
                  <w:marBottom w:val="0"/>
                  <w:divBdr>
                    <w:top w:val="single" w:sz="6" w:space="0" w:color="E7E7E7"/>
                    <w:left w:val="single" w:sz="6" w:space="0" w:color="E7E7E7"/>
                    <w:bottom w:val="single" w:sz="6" w:space="0" w:color="E7E7E7"/>
                    <w:right w:val="single" w:sz="6" w:space="0" w:color="E7E7E7"/>
                  </w:divBdr>
                  <w:divsChild>
                    <w:div w:id="71241000">
                      <w:marLeft w:val="0"/>
                      <w:marRight w:val="0"/>
                      <w:marTop w:val="0"/>
                      <w:marBottom w:val="0"/>
                      <w:divBdr>
                        <w:top w:val="none" w:sz="0" w:space="0" w:color="auto"/>
                        <w:left w:val="none" w:sz="0" w:space="0" w:color="auto"/>
                        <w:bottom w:val="none" w:sz="0" w:space="0" w:color="auto"/>
                        <w:right w:val="none" w:sz="0" w:space="0" w:color="auto"/>
                      </w:divBdr>
                      <w:divsChild>
                        <w:div w:id="1423065856">
                          <w:marLeft w:val="0"/>
                          <w:marRight w:val="0"/>
                          <w:marTop w:val="75"/>
                          <w:marBottom w:val="0"/>
                          <w:divBdr>
                            <w:top w:val="none" w:sz="0" w:space="0" w:color="auto"/>
                            <w:left w:val="none" w:sz="0" w:space="0" w:color="auto"/>
                            <w:bottom w:val="none" w:sz="0" w:space="0" w:color="auto"/>
                            <w:right w:val="none" w:sz="0" w:space="0" w:color="auto"/>
                          </w:divBdr>
                        </w:div>
                      </w:divsChild>
                    </w:div>
                    <w:div w:id="699353785">
                      <w:marLeft w:val="0"/>
                      <w:marRight w:val="0"/>
                      <w:marTop w:val="0"/>
                      <w:marBottom w:val="0"/>
                      <w:divBdr>
                        <w:top w:val="none" w:sz="0" w:space="0" w:color="auto"/>
                        <w:left w:val="none" w:sz="0" w:space="0" w:color="auto"/>
                        <w:bottom w:val="none" w:sz="0" w:space="0" w:color="auto"/>
                        <w:right w:val="none" w:sz="0" w:space="0" w:color="auto"/>
                      </w:divBdr>
                      <w:divsChild>
                        <w:div w:id="135780330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395131200">
      <w:bodyDiv w:val="1"/>
      <w:marLeft w:val="0"/>
      <w:marRight w:val="0"/>
      <w:marTop w:val="0"/>
      <w:marBottom w:val="0"/>
      <w:divBdr>
        <w:top w:val="none" w:sz="0" w:space="0" w:color="auto"/>
        <w:left w:val="none" w:sz="0" w:space="0" w:color="auto"/>
        <w:bottom w:val="none" w:sz="0" w:space="0" w:color="auto"/>
        <w:right w:val="none" w:sz="0" w:space="0" w:color="auto"/>
      </w:divBdr>
      <w:divsChild>
        <w:div w:id="222180348">
          <w:marLeft w:val="0"/>
          <w:marRight w:val="0"/>
          <w:marTop w:val="0"/>
          <w:marBottom w:val="0"/>
          <w:divBdr>
            <w:top w:val="none" w:sz="0" w:space="0" w:color="auto"/>
            <w:left w:val="none" w:sz="0" w:space="0" w:color="auto"/>
            <w:bottom w:val="none" w:sz="0" w:space="0" w:color="auto"/>
            <w:right w:val="none" w:sz="0" w:space="0" w:color="auto"/>
          </w:divBdr>
        </w:div>
        <w:div w:id="1631397761">
          <w:marLeft w:val="0"/>
          <w:marRight w:val="0"/>
          <w:marTop w:val="0"/>
          <w:marBottom w:val="0"/>
          <w:divBdr>
            <w:top w:val="none" w:sz="0" w:space="0" w:color="auto"/>
            <w:left w:val="none" w:sz="0" w:space="0" w:color="auto"/>
            <w:bottom w:val="none" w:sz="0" w:space="0" w:color="auto"/>
            <w:right w:val="none" w:sz="0" w:space="0" w:color="auto"/>
          </w:divBdr>
        </w:div>
        <w:div w:id="452094490">
          <w:marLeft w:val="0"/>
          <w:marRight w:val="0"/>
          <w:marTop w:val="0"/>
          <w:marBottom w:val="0"/>
          <w:divBdr>
            <w:top w:val="none" w:sz="0" w:space="0" w:color="auto"/>
            <w:left w:val="none" w:sz="0" w:space="0" w:color="auto"/>
            <w:bottom w:val="none" w:sz="0" w:space="0" w:color="auto"/>
            <w:right w:val="none" w:sz="0" w:space="0" w:color="auto"/>
          </w:divBdr>
        </w:div>
      </w:divsChild>
    </w:div>
    <w:div w:id="399981319">
      <w:bodyDiv w:val="1"/>
      <w:marLeft w:val="0"/>
      <w:marRight w:val="0"/>
      <w:marTop w:val="0"/>
      <w:marBottom w:val="0"/>
      <w:divBdr>
        <w:top w:val="none" w:sz="0" w:space="0" w:color="auto"/>
        <w:left w:val="none" w:sz="0" w:space="0" w:color="auto"/>
        <w:bottom w:val="none" w:sz="0" w:space="0" w:color="auto"/>
        <w:right w:val="none" w:sz="0" w:space="0" w:color="auto"/>
      </w:divBdr>
      <w:divsChild>
        <w:div w:id="122846467">
          <w:marLeft w:val="0"/>
          <w:marRight w:val="0"/>
          <w:marTop w:val="0"/>
          <w:marBottom w:val="0"/>
          <w:divBdr>
            <w:top w:val="none" w:sz="0" w:space="0" w:color="auto"/>
            <w:left w:val="none" w:sz="0" w:space="0" w:color="auto"/>
            <w:bottom w:val="none" w:sz="0" w:space="0" w:color="auto"/>
            <w:right w:val="none" w:sz="0" w:space="0" w:color="auto"/>
          </w:divBdr>
          <w:divsChild>
            <w:div w:id="249504821">
              <w:marLeft w:val="0"/>
              <w:marRight w:val="0"/>
              <w:marTop w:val="0"/>
              <w:marBottom w:val="0"/>
              <w:divBdr>
                <w:top w:val="none" w:sz="0" w:space="0" w:color="auto"/>
                <w:left w:val="none" w:sz="0" w:space="0" w:color="auto"/>
                <w:bottom w:val="none" w:sz="0" w:space="0" w:color="auto"/>
                <w:right w:val="none" w:sz="0" w:space="0" w:color="auto"/>
              </w:divBdr>
              <w:divsChild>
                <w:div w:id="1004632317">
                  <w:marLeft w:val="0"/>
                  <w:marRight w:val="0"/>
                  <w:marTop w:val="0"/>
                  <w:marBottom w:val="0"/>
                  <w:divBdr>
                    <w:top w:val="none" w:sz="0" w:space="0" w:color="auto"/>
                    <w:left w:val="none" w:sz="0" w:space="0" w:color="auto"/>
                    <w:bottom w:val="none" w:sz="0" w:space="0" w:color="auto"/>
                    <w:right w:val="none" w:sz="0" w:space="0" w:color="auto"/>
                  </w:divBdr>
                  <w:divsChild>
                    <w:div w:id="436799900">
                      <w:marLeft w:val="0"/>
                      <w:marRight w:val="0"/>
                      <w:marTop w:val="0"/>
                      <w:marBottom w:val="0"/>
                      <w:divBdr>
                        <w:top w:val="none" w:sz="0" w:space="0" w:color="auto"/>
                        <w:left w:val="none" w:sz="0" w:space="0" w:color="auto"/>
                        <w:bottom w:val="none" w:sz="0" w:space="0" w:color="auto"/>
                        <w:right w:val="none" w:sz="0" w:space="0" w:color="auto"/>
                      </w:divBdr>
                      <w:divsChild>
                        <w:div w:id="2906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23559">
                  <w:marLeft w:val="180"/>
                  <w:marRight w:val="0"/>
                  <w:marTop w:val="0"/>
                  <w:marBottom w:val="0"/>
                  <w:divBdr>
                    <w:top w:val="none" w:sz="0" w:space="0" w:color="auto"/>
                    <w:left w:val="none" w:sz="0" w:space="0" w:color="auto"/>
                    <w:bottom w:val="none" w:sz="0" w:space="0" w:color="auto"/>
                    <w:right w:val="none" w:sz="0" w:space="0" w:color="auto"/>
                  </w:divBdr>
                  <w:divsChild>
                    <w:div w:id="1012606134">
                      <w:marLeft w:val="0"/>
                      <w:marRight w:val="0"/>
                      <w:marTop w:val="0"/>
                      <w:marBottom w:val="0"/>
                      <w:divBdr>
                        <w:top w:val="single" w:sz="6" w:space="0" w:color="E7E7E7"/>
                        <w:left w:val="single" w:sz="6" w:space="0" w:color="E7E7E7"/>
                        <w:bottom w:val="single" w:sz="6" w:space="0" w:color="E7E7E7"/>
                        <w:right w:val="single" w:sz="6" w:space="0" w:color="E7E7E7"/>
                      </w:divBdr>
                      <w:divsChild>
                        <w:div w:id="271472665">
                          <w:marLeft w:val="0"/>
                          <w:marRight w:val="0"/>
                          <w:marTop w:val="0"/>
                          <w:marBottom w:val="0"/>
                          <w:divBdr>
                            <w:top w:val="none" w:sz="0" w:space="0" w:color="auto"/>
                            <w:left w:val="none" w:sz="0" w:space="0" w:color="auto"/>
                            <w:bottom w:val="none" w:sz="0" w:space="0" w:color="auto"/>
                            <w:right w:val="none" w:sz="0" w:space="0" w:color="auto"/>
                          </w:divBdr>
                          <w:divsChild>
                            <w:div w:id="639387590">
                              <w:marLeft w:val="0"/>
                              <w:marRight w:val="0"/>
                              <w:marTop w:val="75"/>
                              <w:marBottom w:val="0"/>
                              <w:divBdr>
                                <w:top w:val="none" w:sz="0" w:space="0" w:color="auto"/>
                                <w:left w:val="none" w:sz="0" w:space="0" w:color="auto"/>
                                <w:bottom w:val="none" w:sz="0" w:space="0" w:color="auto"/>
                                <w:right w:val="none" w:sz="0" w:space="0" w:color="auto"/>
                              </w:divBdr>
                            </w:div>
                          </w:divsChild>
                        </w:div>
                        <w:div w:id="378936744">
                          <w:marLeft w:val="0"/>
                          <w:marRight w:val="0"/>
                          <w:marTop w:val="0"/>
                          <w:marBottom w:val="0"/>
                          <w:divBdr>
                            <w:top w:val="none" w:sz="0" w:space="0" w:color="auto"/>
                            <w:left w:val="none" w:sz="0" w:space="0" w:color="auto"/>
                            <w:bottom w:val="none" w:sz="0" w:space="0" w:color="auto"/>
                            <w:right w:val="none" w:sz="0" w:space="0" w:color="auto"/>
                          </w:divBdr>
                          <w:divsChild>
                            <w:div w:id="140792301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 w:id="1186674528">
              <w:marLeft w:val="0"/>
              <w:marRight w:val="0"/>
              <w:marTop w:val="0"/>
              <w:marBottom w:val="0"/>
              <w:divBdr>
                <w:top w:val="none" w:sz="0" w:space="0" w:color="auto"/>
                <w:left w:val="none" w:sz="0" w:space="0" w:color="auto"/>
                <w:bottom w:val="none" w:sz="0" w:space="0" w:color="auto"/>
                <w:right w:val="none" w:sz="0" w:space="0" w:color="auto"/>
              </w:divBdr>
              <w:divsChild>
                <w:div w:id="1291059579">
                  <w:marLeft w:val="0"/>
                  <w:marRight w:val="0"/>
                  <w:marTop w:val="0"/>
                  <w:marBottom w:val="0"/>
                  <w:divBdr>
                    <w:top w:val="none" w:sz="0" w:space="0" w:color="auto"/>
                    <w:left w:val="none" w:sz="0" w:space="0" w:color="auto"/>
                    <w:bottom w:val="none" w:sz="0" w:space="0" w:color="auto"/>
                    <w:right w:val="none" w:sz="0" w:space="0" w:color="auto"/>
                  </w:divBdr>
                  <w:divsChild>
                    <w:div w:id="1791437042">
                      <w:marLeft w:val="0"/>
                      <w:marRight w:val="0"/>
                      <w:marTop w:val="0"/>
                      <w:marBottom w:val="0"/>
                      <w:divBdr>
                        <w:top w:val="none" w:sz="0" w:space="0" w:color="auto"/>
                        <w:left w:val="none" w:sz="0" w:space="0" w:color="auto"/>
                        <w:bottom w:val="none" w:sz="0" w:space="0" w:color="auto"/>
                        <w:right w:val="none" w:sz="0" w:space="0" w:color="auto"/>
                      </w:divBdr>
                      <w:divsChild>
                        <w:div w:id="866142543">
                          <w:marLeft w:val="0"/>
                          <w:marRight w:val="0"/>
                          <w:marTop w:val="0"/>
                          <w:marBottom w:val="0"/>
                          <w:divBdr>
                            <w:top w:val="none" w:sz="0" w:space="0" w:color="auto"/>
                            <w:left w:val="none" w:sz="0" w:space="0" w:color="auto"/>
                            <w:bottom w:val="none" w:sz="0" w:space="0" w:color="auto"/>
                            <w:right w:val="none" w:sz="0" w:space="0" w:color="auto"/>
                          </w:divBdr>
                          <w:divsChild>
                            <w:div w:id="789279009">
                              <w:marLeft w:val="0"/>
                              <w:marRight w:val="0"/>
                              <w:marTop w:val="0"/>
                              <w:marBottom w:val="0"/>
                              <w:divBdr>
                                <w:top w:val="none" w:sz="0" w:space="0" w:color="auto"/>
                                <w:left w:val="none" w:sz="0" w:space="0" w:color="auto"/>
                                <w:bottom w:val="none" w:sz="0" w:space="0" w:color="auto"/>
                                <w:right w:val="none" w:sz="0" w:space="0" w:color="auto"/>
                              </w:divBdr>
                              <w:divsChild>
                                <w:div w:id="51480284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1489352">
          <w:marLeft w:val="0"/>
          <w:marRight w:val="0"/>
          <w:marTop w:val="0"/>
          <w:marBottom w:val="0"/>
          <w:divBdr>
            <w:top w:val="none" w:sz="0" w:space="0" w:color="auto"/>
            <w:left w:val="none" w:sz="0" w:space="0" w:color="auto"/>
            <w:bottom w:val="none" w:sz="0" w:space="0" w:color="auto"/>
            <w:right w:val="none" w:sz="0" w:space="0" w:color="auto"/>
          </w:divBdr>
          <w:divsChild>
            <w:div w:id="2129928246">
              <w:marLeft w:val="0"/>
              <w:marRight w:val="0"/>
              <w:marTop w:val="0"/>
              <w:marBottom w:val="0"/>
              <w:divBdr>
                <w:top w:val="none" w:sz="0" w:space="0" w:color="auto"/>
                <w:left w:val="none" w:sz="0" w:space="0" w:color="auto"/>
                <w:bottom w:val="none" w:sz="0" w:space="0" w:color="auto"/>
                <w:right w:val="none" w:sz="0" w:space="0" w:color="auto"/>
              </w:divBdr>
              <w:divsChild>
                <w:div w:id="163058889">
                  <w:marLeft w:val="0"/>
                  <w:marRight w:val="0"/>
                  <w:marTop w:val="0"/>
                  <w:marBottom w:val="0"/>
                  <w:divBdr>
                    <w:top w:val="none" w:sz="0" w:space="0" w:color="auto"/>
                    <w:left w:val="none" w:sz="0" w:space="0" w:color="auto"/>
                    <w:bottom w:val="none" w:sz="0" w:space="0" w:color="auto"/>
                    <w:right w:val="none" w:sz="0" w:space="0" w:color="auto"/>
                  </w:divBdr>
                  <w:divsChild>
                    <w:div w:id="121840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824878">
      <w:bodyDiv w:val="1"/>
      <w:marLeft w:val="0"/>
      <w:marRight w:val="0"/>
      <w:marTop w:val="0"/>
      <w:marBottom w:val="0"/>
      <w:divBdr>
        <w:top w:val="none" w:sz="0" w:space="0" w:color="auto"/>
        <w:left w:val="none" w:sz="0" w:space="0" w:color="auto"/>
        <w:bottom w:val="none" w:sz="0" w:space="0" w:color="auto"/>
        <w:right w:val="none" w:sz="0" w:space="0" w:color="auto"/>
      </w:divBdr>
    </w:div>
    <w:div w:id="420181440">
      <w:bodyDiv w:val="1"/>
      <w:marLeft w:val="0"/>
      <w:marRight w:val="0"/>
      <w:marTop w:val="0"/>
      <w:marBottom w:val="0"/>
      <w:divBdr>
        <w:top w:val="none" w:sz="0" w:space="0" w:color="auto"/>
        <w:left w:val="none" w:sz="0" w:space="0" w:color="auto"/>
        <w:bottom w:val="none" w:sz="0" w:space="0" w:color="auto"/>
        <w:right w:val="none" w:sz="0" w:space="0" w:color="auto"/>
      </w:divBdr>
    </w:div>
    <w:div w:id="440876171">
      <w:bodyDiv w:val="1"/>
      <w:marLeft w:val="0"/>
      <w:marRight w:val="0"/>
      <w:marTop w:val="0"/>
      <w:marBottom w:val="0"/>
      <w:divBdr>
        <w:top w:val="none" w:sz="0" w:space="0" w:color="auto"/>
        <w:left w:val="none" w:sz="0" w:space="0" w:color="auto"/>
        <w:bottom w:val="none" w:sz="0" w:space="0" w:color="auto"/>
        <w:right w:val="none" w:sz="0" w:space="0" w:color="auto"/>
      </w:divBdr>
      <w:divsChild>
        <w:div w:id="762458225">
          <w:marLeft w:val="0"/>
          <w:marRight w:val="0"/>
          <w:marTop w:val="0"/>
          <w:marBottom w:val="0"/>
          <w:divBdr>
            <w:top w:val="none" w:sz="0" w:space="0" w:color="auto"/>
            <w:left w:val="none" w:sz="0" w:space="0" w:color="auto"/>
            <w:bottom w:val="none" w:sz="0" w:space="0" w:color="auto"/>
            <w:right w:val="none" w:sz="0" w:space="0" w:color="auto"/>
          </w:divBdr>
        </w:div>
        <w:div w:id="1785345959">
          <w:marLeft w:val="0"/>
          <w:marRight w:val="0"/>
          <w:marTop w:val="0"/>
          <w:marBottom w:val="0"/>
          <w:divBdr>
            <w:top w:val="none" w:sz="0" w:space="0" w:color="auto"/>
            <w:left w:val="none" w:sz="0" w:space="0" w:color="auto"/>
            <w:bottom w:val="none" w:sz="0" w:space="0" w:color="auto"/>
            <w:right w:val="none" w:sz="0" w:space="0" w:color="auto"/>
          </w:divBdr>
        </w:div>
      </w:divsChild>
    </w:div>
    <w:div w:id="460415818">
      <w:bodyDiv w:val="1"/>
      <w:marLeft w:val="0"/>
      <w:marRight w:val="0"/>
      <w:marTop w:val="0"/>
      <w:marBottom w:val="0"/>
      <w:divBdr>
        <w:top w:val="none" w:sz="0" w:space="0" w:color="auto"/>
        <w:left w:val="none" w:sz="0" w:space="0" w:color="auto"/>
        <w:bottom w:val="none" w:sz="0" w:space="0" w:color="auto"/>
        <w:right w:val="none" w:sz="0" w:space="0" w:color="auto"/>
      </w:divBdr>
    </w:div>
    <w:div w:id="474220559">
      <w:bodyDiv w:val="1"/>
      <w:marLeft w:val="0"/>
      <w:marRight w:val="0"/>
      <w:marTop w:val="0"/>
      <w:marBottom w:val="0"/>
      <w:divBdr>
        <w:top w:val="none" w:sz="0" w:space="0" w:color="auto"/>
        <w:left w:val="none" w:sz="0" w:space="0" w:color="auto"/>
        <w:bottom w:val="none" w:sz="0" w:space="0" w:color="auto"/>
        <w:right w:val="none" w:sz="0" w:space="0" w:color="auto"/>
      </w:divBdr>
    </w:div>
    <w:div w:id="487328934">
      <w:bodyDiv w:val="1"/>
      <w:marLeft w:val="0"/>
      <w:marRight w:val="0"/>
      <w:marTop w:val="0"/>
      <w:marBottom w:val="0"/>
      <w:divBdr>
        <w:top w:val="none" w:sz="0" w:space="0" w:color="auto"/>
        <w:left w:val="none" w:sz="0" w:space="0" w:color="auto"/>
        <w:bottom w:val="none" w:sz="0" w:space="0" w:color="auto"/>
        <w:right w:val="none" w:sz="0" w:space="0" w:color="auto"/>
      </w:divBdr>
    </w:div>
    <w:div w:id="487474743">
      <w:bodyDiv w:val="1"/>
      <w:marLeft w:val="0"/>
      <w:marRight w:val="0"/>
      <w:marTop w:val="0"/>
      <w:marBottom w:val="0"/>
      <w:divBdr>
        <w:top w:val="none" w:sz="0" w:space="0" w:color="auto"/>
        <w:left w:val="none" w:sz="0" w:space="0" w:color="auto"/>
        <w:bottom w:val="none" w:sz="0" w:space="0" w:color="auto"/>
        <w:right w:val="none" w:sz="0" w:space="0" w:color="auto"/>
      </w:divBdr>
    </w:div>
    <w:div w:id="490606040">
      <w:bodyDiv w:val="1"/>
      <w:marLeft w:val="0"/>
      <w:marRight w:val="0"/>
      <w:marTop w:val="0"/>
      <w:marBottom w:val="0"/>
      <w:divBdr>
        <w:top w:val="none" w:sz="0" w:space="0" w:color="auto"/>
        <w:left w:val="none" w:sz="0" w:space="0" w:color="auto"/>
        <w:bottom w:val="none" w:sz="0" w:space="0" w:color="auto"/>
        <w:right w:val="none" w:sz="0" w:space="0" w:color="auto"/>
      </w:divBdr>
    </w:div>
    <w:div w:id="490633841">
      <w:bodyDiv w:val="1"/>
      <w:marLeft w:val="0"/>
      <w:marRight w:val="0"/>
      <w:marTop w:val="0"/>
      <w:marBottom w:val="0"/>
      <w:divBdr>
        <w:top w:val="none" w:sz="0" w:space="0" w:color="auto"/>
        <w:left w:val="none" w:sz="0" w:space="0" w:color="auto"/>
        <w:bottom w:val="none" w:sz="0" w:space="0" w:color="auto"/>
        <w:right w:val="none" w:sz="0" w:space="0" w:color="auto"/>
      </w:divBdr>
    </w:div>
    <w:div w:id="491221570">
      <w:bodyDiv w:val="1"/>
      <w:marLeft w:val="0"/>
      <w:marRight w:val="0"/>
      <w:marTop w:val="0"/>
      <w:marBottom w:val="0"/>
      <w:divBdr>
        <w:top w:val="none" w:sz="0" w:space="0" w:color="auto"/>
        <w:left w:val="none" w:sz="0" w:space="0" w:color="auto"/>
        <w:bottom w:val="none" w:sz="0" w:space="0" w:color="auto"/>
        <w:right w:val="none" w:sz="0" w:space="0" w:color="auto"/>
      </w:divBdr>
    </w:div>
    <w:div w:id="497310348">
      <w:bodyDiv w:val="1"/>
      <w:marLeft w:val="0"/>
      <w:marRight w:val="0"/>
      <w:marTop w:val="0"/>
      <w:marBottom w:val="0"/>
      <w:divBdr>
        <w:top w:val="none" w:sz="0" w:space="0" w:color="auto"/>
        <w:left w:val="none" w:sz="0" w:space="0" w:color="auto"/>
        <w:bottom w:val="none" w:sz="0" w:space="0" w:color="auto"/>
        <w:right w:val="none" w:sz="0" w:space="0" w:color="auto"/>
      </w:divBdr>
    </w:div>
    <w:div w:id="565841049">
      <w:bodyDiv w:val="1"/>
      <w:marLeft w:val="0"/>
      <w:marRight w:val="0"/>
      <w:marTop w:val="0"/>
      <w:marBottom w:val="0"/>
      <w:divBdr>
        <w:top w:val="none" w:sz="0" w:space="0" w:color="auto"/>
        <w:left w:val="none" w:sz="0" w:space="0" w:color="auto"/>
        <w:bottom w:val="none" w:sz="0" w:space="0" w:color="auto"/>
        <w:right w:val="none" w:sz="0" w:space="0" w:color="auto"/>
      </w:divBdr>
      <w:divsChild>
        <w:div w:id="1535147752">
          <w:marLeft w:val="0"/>
          <w:marRight w:val="0"/>
          <w:marTop w:val="0"/>
          <w:marBottom w:val="0"/>
          <w:divBdr>
            <w:top w:val="none" w:sz="0" w:space="0" w:color="auto"/>
            <w:left w:val="none" w:sz="0" w:space="0" w:color="auto"/>
            <w:bottom w:val="none" w:sz="0" w:space="0" w:color="auto"/>
            <w:right w:val="none" w:sz="0" w:space="0" w:color="auto"/>
          </w:divBdr>
        </w:div>
        <w:div w:id="1028801031">
          <w:marLeft w:val="0"/>
          <w:marRight w:val="0"/>
          <w:marTop w:val="0"/>
          <w:marBottom w:val="0"/>
          <w:divBdr>
            <w:top w:val="none" w:sz="0" w:space="0" w:color="auto"/>
            <w:left w:val="none" w:sz="0" w:space="0" w:color="auto"/>
            <w:bottom w:val="none" w:sz="0" w:space="0" w:color="auto"/>
            <w:right w:val="none" w:sz="0" w:space="0" w:color="auto"/>
          </w:divBdr>
        </w:div>
        <w:div w:id="839002089">
          <w:marLeft w:val="0"/>
          <w:marRight w:val="0"/>
          <w:marTop w:val="0"/>
          <w:marBottom w:val="0"/>
          <w:divBdr>
            <w:top w:val="none" w:sz="0" w:space="0" w:color="auto"/>
            <w:left w:val="none" w:sz="0" w:space="0" w:color="auto"/>
            <w:bottom w:val="none" w:sz="0" w:space="0" w:color="auto"/>
            <w:right w:val="none" w:sz="0" w:space="0" w:color="auto"/>
          </w:divBdr>
        </w:div>
      </w:divsChild>
    </w:div>
    <w:div w:id="591745675">
      <w:bodyDiv w:val="1"/>
      <w:marLeft w:val="0"/>
      <w:marRight w:val="0"/>
      <w:marTop w:val="0"/>
      <w:marBottom w:val="0"/>
      <w:divBdr>
        <w:top w:val="none" w:sz="0" w:space="0" w:color="auto"/>
        <w:left w:val="none" w:sz="0" w:space="0" w:color="auto"/>
        <w:bottom w:val="none" w:sz="0" w:space="0" w:color="auto"/>
        <w:right w:val="none" w:sz="0" w:space="0" w:color="auto"/>
      </w:divBdr>
    </w:div>
    <w:div w:id="599026131">
      <w:bodyDiv w:val="1"/>
      <w:marLeft w:val="0"/>
      <w:marRight w:val="0"/>
      <w:marTop w:val="0"/>
      <w:marBottom w:val="0"/>
      <w:divBdr>
        <w:top w:val="none" w:sz="0" w:space="0" w:color="auto"/>
        <w:left w:val="none" w:sz="0" w:space="0" w:color="auto"/>
        <w:bottom w:val="none" w:sz="0" w:space="0" w:color="auto"/>
        <w:right w:val="none" w:sz="0" w:space="0" w:color="auto"/>
      </w:divBdr>
      <w:divsChild>
        <w:div w:id="884682193">
          <w:marLeft w:val="0"/>
          <w:marRight w:val="0"/>
          <w:marTop w:val="0"/>
          <w:marBottom w:val="0"/>
          <w:divBdr>
            <w:top w:val="none" w:sz="0" w:space="0" w:color="auto"/>
            <w:left w:val="none" w:sz="0" w:space="0" w:color="auto"/>
            <w:bottom w:val="none" w:sz="0" w:space="0" w:color="auto"/>
            <w:right w:val="none" w:sz="0" w:space="0" w:color="auto"/>
          </w:divBdr>
          <w:divsChild>
            <w:div w:id="219220295">
              <w:marLeft w:val="0"/>
              <w:marRight w:val="0"/>
              <w:marTop w:val="0"/>
              <w:marBottom w:val="0"/>
              <w:divBdr>
                <w:top w:val="none" w:sz="0" w:space="0" w:color="auto"/>
                <w:left w:val="none" w:sz="0" w:space="0" w:color="auto"/>
                <w:bottom w:val="none" w:sz="0" w:space="0" w:color="auto"/>
                <w:right w:val="none" w:sz="0" w:space="0" w:color="auto"/>
              </w:divBdr>
            </w:div>
            <w:div w:id="395444242">
              <w:marLeft w:val="180"/>
              <w:marRight w:val="0"/>
              <w:marTop w:val="0"/>
              <w:marBottom w:val="0"/>
              <w:divBdr>
                <w:top w:val="none" w:sz="0" w:space="0" w:color="auto"/>
                <w:left w:val="none" w:sz="0" w:space="0" w:color="auto"/>
                <w:bottom w:val="none" w:sz="0" w:space="0" w:color="auto"/>
                <w:right w:val="none" w:sz="0" w:space="0" w:color="auto"/>
              </w:divBdr>
              <w:divsChild>
                <w:div w:id="529799390">
                  <w:marLeft w:val="0"/>
                  <w:marRight w:val="0"/>
                  <w:marTop w:val="0"/>
                  <w:marBottom w:val="0"/>
                  <w:divBdr>
                    <w:top w:val="single" w:sz="6" w:space="0" w:color="E7E7E7"/>
                    <w:left w:val="single" w:sz="6" w:space="0" w:color="E7E7E7"/>
                    <w:bottom w:val="single" w:sz="6" w:space="0" w:color="E7E7E7"/>
                    <w:right w:val="single" w:sz="6" w:space="0" w:color="E7E7E7"/>
                  </w:divBdr>
                  <w:divsChild>
                    <w:div w:id="144512813">
                      <w:marLeft w:val="0"/>
                      <w:marRight w:val="0"/>
                      <w:marTop w:val="0"/>
                      <w:marBottom w:val="0"/>
                      <w:divBdr>
                        <w:top w:val="none" w:sz="0" w:space="0" w:color="auto"/>
                        <w:left w:val="none" w:sz="0" w:space="0" w:color="auto"/>
                        <w:bottom w:val="none" w:sz="0" w:space="0" w:color="auto"/>
                        <w:right w:val="none" w:sz="0" w:space="0" w:color="auto"/>
                      </w:divBdr>
                      <w:divsChild>
                        <w:div w:id="1758751228">
                          <w:marLeft w:val="0"/>
                          <w:marRight w:val="0"/>
                          <w:marTop w:val="75"/>
                          <w:marBottom w:val="0"/>
                          <w:divBdr>
                            <w:top w:val="none" w:sz="0" w:space="0" w:color="auto"/>
                            <w:left w:val="none" w:sz="0" w:space="0" w:color="auto"/>
                            <w:bottom w:val="none" w:sz="0" w:space="0" w:color="auto"/>
                            <w:right w:val="none" w:sz="0" w:space="0" w:color="auto"/>
                          </w:divBdr>
                        </w:div>
                      </w:divsChild>
                    </w:div>
                    <w:div w:id="486173738">
                      <w:marLeft w:val="0"/>
                      <w:marRight w:val="0"/>
                      <w:marTop w:val="0"/>
                      <w:marBottom w:val="0"/>
                      <w:divBdr>
                        <w:top w:val="none" w:sz="0" w:space="0" w:color="auto"/>
                        <w:left w:val="none" w:sz="0" w:space="0" w:color="auto"/>
                        <w:bottom w:val="none" w:sz="0" w:space="0" w:color="auto"/>
                        <w:right w:val="none" w:sz="0" w:space="0" w:color="auto"/>
                      </w:divBdr>
                      <w:divsChild>
                        <w:div w:id="940836341">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 w:id="1279751787">
          <w:marLeft w:val="0"/>
          <w:marRight w:val="0"/>
          <w:marTop w:val="0"/>
          <w:marBottom w:val="0"/>
          <w:divBdr>
            <w:top w:val="none" w:sz="0" w:space="0" w:color="auto"/>
            <w:left w:val="none" w:sz="0" w:space="0" w:color="auto"/>
            <w:bottom w:val="none" w:sz="0" w:space="0" w:color="auto"/>
            <w:right w:val="none" w:sz="0" w:space="0" w:color="auto"/>
          </w:divBdr>
          <w:divsChild>
            <w:div w:id="896665823">
              <w:marLeft w:val="0"/>
              <w:marRight w:val="0"/>
              <w:marTop w:val="0"/>
              <w:marBottom w:val="0"/>
              <w:divBdr>
                <w:top w:val="none" w:sz="0" w:space="0" w:color="auto"/>
                <w:left w:val="none" w:sz="0" w:space="0" w:color="auto"/>
                <w:bottom w:val="none" w:sz="0" w:space="0" w:color="auto"/>
                <w:right w:val="none" w:sz="0" w:space="0" w:color="auto"/>
              </w:divBdr>
              <w:divsChild>
                <w:div w:id="38675727">
                  <w:marLeft w:val="0"/>
                  <w:marRight w:val="0"/>
                  <w:marTop w:val="0"/>
                  <w:marBottom w:val="0"/>
                  <w:divBdr>
                    <w:top w:val="none" w:sz="0" w:space="0" w:color="auto"/>
                    <w:left w:val="none" w:sz="0" w:space="0" w:color="auto"/>
                    <w:bottom w:val="none" w:sz="0" w:space="0" w:color="auto"/>
                    <w:right w:val="none" w:sz="0" w:space="0" w:color="auto"/>
                  </w:divBdr>
                  <w:divsChild>
                    <w:div w:id="176310060">
                      <w:marLeft w:val="0"/>
                      <w:marRight w:val="0"/>
                      <w:marTop w:val="0"/>
                      <w:marBottom w:val="0"/>
                      <w:divBdr>
                        <w:top w:val="none" w:sz="0" w:space="0" w:color="auto"/>
                        <w:left w:val="none" w:sz="0" w:space="0" w:color="auto"/>
                        <w:bottom w:val="none" w:sz="0" w:space="0" w:color="auto"/>
                        <w:right w:val="none" w:sz="0" w:space="0" w:color="auto"/>
                      </w:divBdr>
                      <w:divsChild>
                        <w:div w:id="896282244">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435487">
      <w:bodyDiv w:val="1"/>
      <w:marLeft w:val="0"/>
      <w:marRight w:val="0"/>
      <w:marTop w:val="0"/>
      <w:marBottom w:val="0"/>
      <w:divBdr>
        <w:top w:val="none" w:sz="0" w:space="0" w:color="auto"/>
        <w:left w:val="none" w:sz="0" w:space="0" w:color="auto"/>
        <w:bottom w:val="none" w:sz="0" w:space="0" w:color="auto"/>
        <w:right w:val="none" w:sz="0" w:space="0" w:color="auto"/>
      </w:divBdr>
    </w:div>
    <w:div w:id="644168891">
      <w:bodyDiv w:val="1"/>
      <w:marLeft w:val="0"/>
      <w:marRight w:val="0"/>
      <w:marTop w:val="0"/>
      <w:marBottom w:val="0"/>
      <w:divBdr>
        <w:top w:val="none" w:sz="0" w:space="0" w:color="auto"/>
        <w:left w:val="none" w:sz="0" w:space="0" w:color="auto"/>
        <w:bottom w:val="none" w:sz="0" w:space="0" w:color="auto"/>
        <w:right w:val="none" w:sz="0" w:space="0" w:color="auto"/>
      </w:divBdr>
    </w:div>
    <w:div w:id="647437649">
      <w:bodyDiv w:val="1"/>
      <w:marLeft w:val="0"/>
      <w:marRight w:val="0"/>
      <w:marTop w:val="0"/>
      <w:marBottom w:val="0"/>
      <w:divBdr>
        <w:top w:val="none" w:sz="0" w:space="0" w:color="auto"/>
        <w:left w:val="none" w:sz="0" w:space="0" w:color="auto"/>
        <w:bottom w:val="none" w:sz="0" w:space="0" w:color="auto"/>
        <w:right w:val="none" w:sz="0" w:space="0" w:color="auto"/>
      </w:divBdr>
    </w:div>
    <w:div w:id="672609503">
      <w:bodyDiv w:val="1"/>
      <w:marLeft w:val="0"/>
      <w:marRight w:val="0"/>
      <w:marTop w:val="0"/>
      <w:marBottom w:val="0"/>
      <w:divBdr>
        <w:top w:val="none" w:sz="0" w:space="0" w:color="auto"/>
        <w:left w:val="none" w:sz="0" w:space="0" w:color="auto"/>
        <w:bottom w:val="none" w:sz="0" w:space="0" w:color="auto"/>
        <w:right w:val="none" w:sz="0" w:space="0" w:color="auto"/>
      </w:divBdr>
    </w:div>
    <w:div w:id="693194802">
      <w:bodyDiv w:val="1"/>
      <w:marLeft w:val="0"/>
      <w:marRight w:val="0"/>
      <w:marTop w:val="0"/>
      <w:marBottom w:val="0"/>
      <w:divBdr>
        <w:top w:val="none" w:sz="0" w:space="0" w:color="auto"/>
        <w:left w:val="none" w:sz="0" w:space="0" w:color="auto"/>
        <w:bottom w:val="none" w:sz="0" w:space="0" w:color="auto"/>
        <w:right w:val="none" w:sz="0" w:space="0" w:color="auto"/>
      </w:divBdr>
    </w:div>
    <w:div w:id="704209758">
      <w:bodyDiv w:val="1"/>
      <w:marLeft w:val="0"/>
      <w:marRight w:val="0"/>
      <w:marTop w:val="0"/>
      <w:marBottom w:val="0"/>
      <w:divBdr>
        <w:top w:val="none" w:sz="0" w:space="0" w:color="auto"/>
        <w:left w:val="none" w:sz="0" w:space="0" w:color="auto"/>
        <w:bottom w:val="none" w:sz="0" w:space="0" w:color="auto"/>
        <w:right w:val="none" w:sz="0" w:space="0" w:color="auto"/>
      </w:divBdr>
      <w:divsChild>
        <w:div w:id="2013607099">
          <w:marLeft w:val="0"/>
          <w:marRight w:val="0"/>
          <w:marTop w:val="0"/>
          <w:marBottom w:val="0"/>
          <w:divBdr>
            <w:top w:val="none" w:sz="0" w:space="0" w:color="auto"/>
            <w:left w:val="none" w:sz="0" w:space="0" w:color="auto"/>
            <w:bottom w:val="none" w:sz="0" w:space="0" w:color="auto"/>
            <w:right w:val="none" w:sz="0" w:space="0" w:color="auto"/>
          </w:divBdr>
        </w:div>
        <w:div w:id="72356185">
          <w:marLeft w:val="0"/>
          <w:marRight w:val="0"/>
          <w:marTop w:val="0"/>
          <w:marBottom w:val="0"/>
          <w:divBdr>
            <w:top w:val="none" w:sz="0" w:space="0" w:color="auto"/>
            <w:left w:val="none" w:sz="0" w:space="0" w:color="auto"/>
            <w:bottom w:val="none" w:sz="0" w:space="0" w:color="auto"/>
            <w:right w:val="none" w:sz="0" w:space="0" w:color="auto"/>
          </w:divBdr>
        </w:div>
        <w:div w:id="26149092">
          <w:marLeft w:val="0"/>
          <w:marRight w:val="0"/>
          <w:marTop w:val="0"/>
          <w:marBottom w:val="0"/>
          <w:divBdr>
            <w:top w:val="none" w:sz="0" w:space="0" w:color="auto"/>
            <w:left w:val="none" w:sz="0" w:space="0" w:color="auto"/>
            <w:bottom w:val="none" w:sz="0" w:space="0" w:color="auto"/>
            <w:right w:val="none" w:sz="0" w:space="0" w:color="auto"/>
          </w:divBdr>
        </w:div>
      </w:divsChild>
    </w:div>
    <w:div w:id="707921492">
      <w:bodyDiv w:val="1"/>
      <w:marLeft w:val="0"/>
      <w:marRight w:val="0"/>
      <w:marTop w:val="0"/>
      <w:marBottom w:val="0"/>
      <w:divBdr>
        <w:top w:val="none" w:sz="0" w:space="0" w:color="auto"/>
        <w:left w:val="none" w:sz="0" w:space="0" w:color="auto"/>
        <w:bottom w:val="none" w:sz="0" w:space="0" w:color="auto"/>
        <w:right w:val="none" w:sz="0" w:space="0" w:color="auto"/>
      </w:divBdr>
      <w:divsChild>
        <w:div w:id="24138228">
          <w:marLeft w:val="0"/>
          <w:marRight w:val="0"/>
          <w:marTop w:val="0"/>
          <w:marBottom w:val="0"/>
          <w:divBdr>
            <w:top w:val="none" w:sz="0" w:space="0" w:color="auto"/>
            <w:left w:val="none" w:sz="0" w:space="0" w:color="auto"/>
            <w:bottom w:val="none" w:sz="0" w:space="0" w:color="auto"/>
            <w:right w:val="none" w:sz="0" w:space="0" w:color="auto"/>
          </w:divBdr>
        </w:div>
        <w:div w:id="303850393">
          <w:marLeft w:val="0"/>
          <w:marRight w:val="0"/>
          <w:marTop w:val="0"/>
          <w:marBottom w:val="0"/>
          <w:divBdr>
            <w:top w:val="none" w:sz="0" w:space="0" w:color="auto"/>
            <w:left w:val="none" w:sz="0" w:space="0" w:color="auto"/>
            <w:bottom w:val="none" w:sz="0" w:space="0" w:color="auto"/>
            <w:right w:val="none" w:sz="0" w:space="0" w:color="auto"/>
          </w:divBdr>
        </w:div>
        <w:div w:id="1779829291">
          <w:marLeft w:val="0"/>
          <w:marRight w:val="0"/>
          <w:marTop w:val="0"/>
          <w:marBottom w:val="0"/>
          <w:divBdr>
            <w:top w:val="none" w:sz="0" w:space="0" w:color="auto"/>
            <w:left w:val="none" w:sz="0" w:space="0" w:color="auto"/>
            <w:bottom w:val="none" w:sz="0" w:space="0" w:color="auto"/>
            <w:right w:val="none" w:sz="0" w:space="0" w:color="auto"/>
          </w:divBdr>
        </w:div>
      </w:divsChild>
    </w:div>
    <w:div w:id="708385273">
      <w:bodyDiv w:val="1"/>
      <w:marLeft w:val="0"/>
      <w:marRight w:val="0"/>
      <w:marTop w:val="0"/>
      <w:marBottom w:val="0"/>
      <w:divBdr>
        <w:top w:val="none" w:sz="0" w:space="0" w:color="auto"/>
        <w:left w:val="none" w:sz="0" w:space="0" w:color="auto"/>
        <w:bottom w:val="none" w:sz="0" w:space="0" w:color="auto"/>
        <w:right w:val="none" w:sz="0" w:space="0" w:color="auto"/>
      </w:divBdr>
    </w:div>
    <w:div w:id="741177889">
      <w:bodyDiv w:val="1"/>
      <w:marLeft w:val="0"/>
      <w:marRight w:val="0"/>
      <w:marTop w:val="0"/>
      <w:marBottom w:val="0"/>
      <w:divBdr>
        <w:top w:val="none" w:sz="0" w:space="0" w:color="auto"/>
        <w:left w:val="none" w:sz="0" w:space="0" w:color="auto"/>
        <w:bottom w:val="none" w:sz="0" w:space="0" w:color="auto"/>
        <w:right w:val="none" w:sz="0" w:space="0" w:color="auto"/>
      </w:divBdr>
    </w:div>
    <w:div w:id="763111832">
      <w:bodyDiv w:val="1"/>
      <w:marLeft w:val="0"/>
      <w:marRight w:val="0"/>
      <w:marTop w:val="0"/>
      <w:marBottom w:val="0"/>
      <w:divBdr>
        <w:top w:val="none" w:sz="0" w:space="0" w:color="auto"/>
        <w:left w:val="none" w:sz="0" w:space="0" w:color="auto"/>
        <w:bottom w:val="none" w:sz="0" w:space="0" w:color="auto"/>
        <w:right w:val="none" w:sz="0" w:space="0" w:color="auto"/>
      </w:divBdr>
      <w:divsChild>
        <w:div w:id="496382781">
          <w:marLeft w:val="0"/>
          <w:marRight w:val="0"/>
          <w:marTop w:val="0"/>
          <w:marBottom w:val="0"/>
          <w:divBdr>
            <w:top w:val="none" w:sz="0" w:space="0" w:color="auto"/>
            <w:left w:val="none" w:sz="0" w:space="0" w:color="auto"/>
            <w:bottom w:val="none" w:sz="0" w:space="0" w:color="auto"/>
            <w:right w:val="none" w:sz="0" w:space="0" w:color="auto"/>
          </w:divBdr>
          <w:divsChild>
            <w:div w:id="1920140602">
              <w:marLeft w:val="180"/>
              <w:marRight w:val="0"/>
              <w:marTop w:val="0"/>
              <w:marBottom w:val="0"/>
              <w:divBdr>
                <w:top w:val="none" w:sz="0" w:space="0" w:color="auto"/>
                <w:left w:val="none" w:sz="0" w:space="0" w:color="auto"/>
                <w:bottom w:val="none" w:sz="0" w:space="0" w:color="auto"/>
                <w:right w:val="none" w:sz="0" w:space="0" w:color="auto"/>
              </w:divBdr>
              <w:divsChild>
                <w:div w:id="1855799460">
                  <w:marLeft w:val="0"/>
                  <w:marRight w:val="0"/>
                  <w:marTop w:val="0"/>
                  <w:marBottom w:val="0"/>
                  <w:divBdr>
                    <w:top w:val="single" w:sz="6" w:space="0" w:color="E7E7E7"/>
                    <w:left w:val="single" w:sz="6" w:space="0" w:color="E7E7E7"/>
                    <w:bottom w:val="single" w:sz="6" w:space="0" w:color="E7E7E7"/>
                    <w:right w:val="single" w:sz="6" w:space="0" w:color="E7E7E7"/>
                  </w:divBdr>
                  <w:divsChild>
                    <w:div w:id="730928663">
                      <w:marLeft w:val="0"/>
                      <w:marRight w:val="0"/>
                      <w:marTop w:val="0"/>
                      <w:marBottom w:val="0"/>
                      <w:divBdr>
                        <w:top w:val="none" w:sz="0" w:space="0" w:color="auto"/>
                        <w:left w:val="none" w:sz="0" w:space="0" w:color="auto"/>
                        <w:bottom w:val="none" w:sz="0" w:space="0" w:color="auto"/>
                        <w:right w:val="none" w:sz="0" w:space="0" w:color="auto"/>
                      </w:divBdr>
                      <w:divsChild>
                        <w:div w:id="171772156">
                          <w:marLeft w:val="0"/>
                          <w:marRight w:val="0"/>
                          <w:marTop w:val="180"/>
                          <w:marBottom w:val="180"/>
                          <w:divBdr>
                            <w:top w:val="none" w:sz="0" w:space="0" w:color="auto"/>
                            <w:left w:val="none" w:sz="0" w:space="0" w:color="auto"/>
                            <w:bottom w:val="none" w:sz="0" w:space="0" w:color="auto"/>
                            <w:right w:val="none" w:sz="0" w:space="0" w:color="auto"/>
                          </w:divBdr>
                        </w:div>
                      </w:divsChild>
                    </w:div>
                    <w:div w:id="770587112">
                      <w:marLeft w:val="0"/>
                      <w:marRight w:val="0"/>
                      <w:marTop w:val="0"/>
                      <w:marBottom w:val="0"/>
                      <w:divBdr>
                        <w:top w:val="none" w:sz="0" w:space="0" w:color="auto"/>
                        <w:left w:val="none" w:sz="0" w:space="0" w:color="auto"/>
                        <w:bottom w:val="none" w:sz="0" w:space="0" w:color="auto"/>
                        <w:right w:val="none" w:sz="0" w:space="0" w:color="auto"/>
                      </w:divBdr>
                      <w:divsChild>
                        <w:div w:id="101542477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085759377">
              <w:marLeft w:val="0"/>
              <w:marRight w:val="0"/>
              <w:marTop w:val="0"/>
              <w:marBottom w:val="0"/>
              <w:divBdr>
                <w:top w:val="none" w:sz="0" w:space="0" w:color="auto"/>
                <w:left w:val="none" w:sz="0" w:space="0" w:color="auto"/>
                <w:bottom w:val="none" w:sz="0" w:space="0" w:color="auto"/>
                <w:right w:val="none" w:sz="0" w:space="0" w:color="auto"/>
              </w:divBdr>
            </w:div>
          </w:divsChild>
        </w:div>
        <w:div w:id="1950509915">
          <w:marLeft w:val="0"/>
          <w:marRight w:val="0"/>
          <w:marTop w:val="0"/>
          <w:marBottom w:val="0"/>
          <w:divBdr>
            <w:top w:val="none" w:sz="0" w:space="0" w:color="auto"/>
            <w:left w:val="none" w:sz="0" w:space="0" w:color="auto"/>
            <w:bottom w:val="none" w:sz="0" w:space="0" w:color="auto"/>
            <w:right w:val="none" w:sz="0" w:space="0" w:color="auto"/>
          </w:divBdr>
          <w:divsChild>
            <w:div w:id="619805424">
              <w:marLeft w:val="0"/>
              <w:marRight w:val="0"/>
              <w:marTop w:val="0"/>
              <w:marBottom w:val="0"/>
              <w:divBdr>
                <w:top w:val="none" w:sz="0" w:space="0" w:color="auto"/>
                <w:left w:val="none" w:sz="0" w:space="0" w:color="auto"/>
                <w:bottom w:val="none" w:sz="0" w:space="0" w:color="auto"/>
                <w:right w:val="none" w:sz="0" w:space="0" w:color="auto"/>
              </w:divBdr>
              <w:divsChild>
                <w:div w:id="805927705">
                  <w:marLeft w:val="0"/>
                  <w:marRight w:val="0"/>
                  <w:marTop w:val="0"/>
                  <w:marBottom w:val="0"/>
                  <w:divBdr>
                    <w:top w:val="none" w:sz="0" w:space="0" w:color="auto"/>
                    <w:left w:val="none" w:sz="0" w:space="0" w:color="auto"/>
                    <w:bottom w:val="none" w:sz="0" w:space="0" w:color="auto"/>
                    <w:right w:val="none" w:sz="0" w:space="0" w:color="auto"/>
                  </w:divBdr>
                  <w:divsChild>
                    <w:div w:id="2053191618">
                      <w:marLeft w:val="0"/>
                      <w:marRight w:val="0"/>
                      <w:marTop w:val="0"/>
                      <w:marBottom w:val="0"/>
                      <w:divBdr>
                        <w:top w:val="none" w:sz="0" w:space="0" w:color="auto"/>
                        <w:left w:val="none" w:sz="0" w:space="0" w:color="auto"/>
                        <w:bottom w:val="none" w:sz="0" w:space="0" w:color="auto"/>
                        <w:right w:val="none" w:sz="0" w:space="0" w:color="auto"/>
                      </w:divBdr>
                      <w:divsChild>
                        <w:div w:id="1363439390">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9542272">
      <w:bodyDiv w:val="1"/>
      <w:marLeft w:val="0"/>
      <w:marRight w:val="0"/>
      <w:marTop w:val="0"/>
      <w:marBottom w:val="0"/>
      <w:divBdr>
        <w:top w:val="none" w:sz="0" w:space="0" w:color="auto"/>
        <w:left w:val="none" w:sz="0" w:space="0" w:color="auto"/>
        <w:bottom w:val="none" w:sz="0" w:space="0" w:color="auto"/>
        <w:right w:val="none" w:sz="0" w:space="0" w:color="auto"/>
      </w:divBdr>
    </w:div>
    <w:div w:id="821821654">
      <w:bodyDiv w:val="1"/>
      <w:marLeft w:val="0"/>
      <w:marRight w:val="0"/>
      <w:marTop w:val="0"/>
      <w:marBottom w:val="0"/>
      <w:divBdr>
        <w:top w:val="none" w:sz="0" w:space="0" w:color="auto"/>
        <w:left w:val="none" w:sz="0" w:space="0" w:color="auto"/>
        <w:bottom w:val="none" w:sz="0" w:space="0" w:color="auto"/>
        <w:right w:val="none" w:sz="0" w:space="0" w:color="auto"/>
      </w:divBdr>
    </w:div>
    <w:div w:id="838038270">
      <w:bodyDiv w:val="1"/>
      <w:marLeft w:val="0"/>
      <w:marRight w:val="0"/>
      <w:marTop w:val="0"/>
      <w:marBottom w:val="0"/>
      <w:divBdr>
        <w:top w:val="none" w:sz="0" w:space="0" w:color="auto"/>
        <w:left w:val="none" w:sz="0" w:space="0" w:color="auto"/>
        <w:bottom w:val="none" w:sz="0" w:space="0" w:color="auto"/>
        <w:right w:val="none" w:sz="0" w:space="0" w:color="auto"/>
      </w:divBdr>
    </w:div>
    <w:div w:id="858273171">
      <w:bodyDiv w:val="1"/>
      <w:marLeft w:val="0"/>
      <w:marRight w:val="0"/>
      <w:marTop w:val="0"/>
      <w:marBottom w:val="0"/>
      <w:divBdr>
        <w:top w:val="none" w:sz="0" w:space="0" w:color="auto"/>
        <w:left w:val="none" w:sz="0" w:space="0" w:color="auto"/>
        <w:bottom w:val="none" w:sz="0" w:space="0" w:color="auto"/>
        <w:right w:val="none" w:sz="0" w:space="0" w:color="auto"/>
      </w:divBdr>
      <w:divsChild>
        <w:div w:id="1868639202">
          <w:marLeft w:val="0"/>
          <w:marRight w:val="0"/>
          <w:marTop w:val="0"/>
          <w:marBottom w:val="0"/>
          <w:divBdr>
            <w:top w:val="none" w:sz="0" w:space="0" w:color="auto"/>
            <w:left w:val="none" w:sz="0" w:space="0" w:color="auto"/>
            <w:bottom w:val="none" w:sz="0" w:space="0" w:color="auto"/>
            <w:right w:val="none" w:sz="0" w:space="0" w:color="auto"/>
          </w:divBdr>
        </w:div>
        <w:div w:id="258755061">
          <w:marLeft w:val="0"/>
          <w:marRight w:val="0"/>
          <w:marTop w:val="0"/>
          <w:marBottom w:val="0"/>
          <w:divBdr>
            <w:top w:val="none" w:sz="0" w:space="0" w:color="auto"/>
            <w:left w:val="none" w:sz="0" w:space="0" w:color="auto"/>
            <w:bottom w:val="none" w:sz="0" w:space="0" w:color="auto"/>
            <w:right w:val="none" w:sz="0" w:space="0" w:color="auto"/>
          </w:divBdr>
        </w:div>
        <w:div w:id="1230338251">
          <w:marLeft w:val="0"/>
          <w:marRight w:val="0"/>
          <w:marTop w:val="0"/>
          <w:marBottom w:val="0"/>
          <w:divBdr>
            <w:top w:val="none" w:sz="0" w:space="0" w:color="auto"/>
            <w:left w:val="none" w:sz="0" w:space="0" w:color="auto"/>
            <w:bottom w:val="none" w:sz="0" w:space="0" w:color="auto"/>
            <w:right w:val="none" w:sz="0" w:space="0" w:color="auto"/>
          </w:divBdr>
        </w:div>
      </w:divsChild>
    </w:div>
    <w:div w:id="872575700">
      <w:bodyDiv w:val="1"/>
      <w:marLeft w:val="0"/>
      <w:marRight w:val="0"/>
      <w:marTop w:val="0"/>
      <w:marBottom w:val="0"/>
      <w:divBdr>
        <w:top w:val="none" w:sz="0" w:space="0" w:color="auto"/>
        <w:left w:val="none" w:sz="0" w:space="0" w:color="auto"/>
        <w:bottom w:val="none" w:sz="0" w:space="0" w:color="auto"/>
        <w:right w:val="none" w:sz="0" w:space="0" w:color="auto"/>
      </w:divBdr>
    </w:div>
    <w:div w:id="882132704">
      <w:bodyDiv w:val="1"/>
      <w:marLeft w:val="0"/>
      <w:marRight w:val="0"/>
      <w:marTop w:val="0"/>
      <w:marBottom w:val="0"/>
      <w:divBdr>
        <w:top w:val="none" w:sz="0" w:space="0" w:color="auto"/>
        <w:left w:val="none" w:sz="0" w:space="0" w:color="auto"/>
        <w:bottom w:val="none" w:sz="0" w:space="0" w:color="auto"/>
        <w:right w:val="none" w:sz="0" w:space="0" w:color="auto"/>
      </w:divBdr>
    </w:div>
    <w:div w:id="918513978">
      <w:bodyDiv w:val="1"/>
      <w:marLeft w:val="0"/>
      <w:marRight w:val="0"/>
      <w:marTop w:val="0"/>
      <w:marBottom w:val="0"/>
      <w:divBdr>
        <w:top w:val="none" w:sz="0" w:space="0" w:color="auto"/>
        <w:left w:val="none" w:sz="0" w:space="0" w:color="auto"/>
        <w:bottom w:val="none" w:sz="0" w:space="0" w:color="auto"/>
        <w:right w:val="none" w:sz="0" w:space="0" w:color="auto"/>
      </w:divBdr>
    </w:div>
    <w:div w:id="950866429">
      <w:bodyDiv w:val="1"/>
      <w:marLeft w:val="0"/>
      <w:marRight w:val="0"/>
      <w:marTop w:val="0"/>
      <w:marBottom w:val="0"/>
      <w:divBdr>
        <w:top w:val="none" w:sz="0" w:space="0" w:color="auto"/>
        <w:left w:val="none" w:sz="0" w:space="0" w:color="auto"/>
        <w:bottom w:val="none" w:sz="0" w:space="0" w:color="auto"/>
        <w:right w:val="none" w:sz="0" w:space="0" w:color="auto"/>
      </w:divBdr>
    </w:div>
    <w:div w:id="951128119">
      <w:bodyDiv w:val="1"/>
      <w:marLeft w:val="0"/>
      <w:marRight w:val="0"/>
      <w:marTop w:val="0"/>
      <w:marBottom w:val="0"/>
      <w:divBdr>
        <w:top w:val="none" w:sz="0" w:space="0" w:color="auto"/>
        <w:left w:val="none" w:sz="0" w:space="0" w:color="auto"/>
        <w:bottom w:val="none" w:sz="0" w:space="0" w:color="auto"/>
        <w:right w:val="none" w:sz="0" w:space="0" w:color="auto"/>
      </w:divBdr>
    </w:div>
    <w:div w:id="955598712">
      <w:bodyDiv w:val="1"/>
      <w:marLeft w:val="0"/>
      <w:marRight w:val="0"/>
      <w:marTop w:val="0"/>
      <w:marBottom w:val="0"/>
      <w:divBdr>
        <w:top w:val="none" w:sz="0" w:space="0" w:color="auto"/>
        <w:left w:val="none" w:sz="0" w:space="0" w:color="auto"/>
        <w:bottom w:val="none" w:sz="0" w:space="0" w:color="auto"/>
        <w:right w:val="none" w:sz="0" w:space="0" w:color="auto"/>
      </w:divBdr>
    </w:div>
    <w:div w:id="973221369">
      <w:bodyDiv w:val="1"/>
      <w:marLeft w:val="0"/>
      <w:marRight w:val="0"/>
      <w:marTop w:val="0"/>
      <w:marBottom w:val="0"/>
      <w:divBdr>
        <w:top w:val="none" w:sz="0" w:space="0" w:color="auto"/>
        <w:left w:val="none" w:sz="0" w:space="0" w:color="auto"/>
        <w:bottom w:val="none" w:sz="0" w:space="0" w:color="auto"/>
        <w:right w:val="none" w:sz="0" w:space="0" w:color="auto"/>
      </w:divBdr>
    </w:div>
    <w:div w:id="994142593">
      <w:bodyDiv w:val="1"/>
      <w:marLeft w:val="0"/>
      <w:marRight w:val="0"/>
      <w:marTop w:val="0"/>
      <w:marBottom w:val="0"/>
      <w:divBdr>
        <w:top w:val="none" w:sz="0" w:space="0" w:color="auto"/>
        <w:left w:val="none" w:sz="0" w:space="0" w:color="auto"/>
        <w:bottom w:val="none" w:sz="0" w:space="0" w:color="auto"/>
        <w:right w:val="none" w:sz="0" w:space="0" w:color="auto"/>
      </w:divBdr>
    </w:div>
    <w:div w:id="1001006439">
      <w:bodyDiv w:val="1"/>
      <w:marLeft w:val="0"/>
      <w:marRight w:val="0"/>
      <w:marTop w:val="0"/>
      <w:marBottom w:val="0"/>
      <w:divBdr>
        <w:top w:val="none" w:sz="0" w:space="0" w:color="auto"/>
        <w:left w:val="none" w:sz="0" w:space="0" w:color="auto"/>
        <w:bottom w:val="none" w:sz="0" w:space="0" w:color="auto"/>
        <w:right w:val="none" w:sz="0" w:space="0" w:color="auto"/>
      </w:divBdr>
      <w:divsChild>
        <w:div w:id="1267538505">
          <w:marLeft w:val="0"/>
          <w:marRight w:val="0"/>
          <w:marTop w:val="0"/>
          <w:marBottom w:val="0"/>
          <w:divBdr>
            <w:top w:val="none" w:sz="0" w:space="0" w:color="auto"/>
            <w:left w:val="none" w:sz="0" w:space="0" w:color="auto"/>
            <w:bottom w:val="none" w:sz="0" w:space="0" w:color="auto"/>
            <w:right w:val="none" w:sz="0" w:space="0" w:color="auto"/>
          </w:divBdr>
        </w:div>
        <w:div w:id="1921400197">
          <w:marLeft w:val="0"/>
          <w:marRight w:val="0"/>
          <w:marTop w:val="0"/>
          <w:marBottom w:val="0"/>
          <w:divBdr>
            <w:top w:val="none" w:sz="0" w:space="0" w:color="auto"/>
            <w:left w:val="none" w:sz="0" w:space="0" w:color="auto"/>
            <w:bottom w:val="none" w:sz="0" w:space="0" w:color="auto"/>
            <w:right w:val="none" w:sz="0" w:space="0" w:color="auto"/>
          </w:divBdr>
        </w:div>
      </w:divsChild>
    </w:div>
    <w:div w:id="1009673725">
      <w:bodyDiv w:val="1"/>
      <w:marLeft w:val="0"/>
      <w:marRight w:val="0"/>
      <w:marTop w:val="0"/>
      <w:marBottom w:val="0"/>
      <w:divBdr>
        <w:top w:val="none" w:sz="0" w:space="0" w:color="auto"/>
        <w:left w:val="none" w:sz="0" w:space="0" w:color="auto"/>
        <w:bottom w:val="none" w:sz="0" w:space="0" w:color="auto"/>
        <w:right w:val="none" w:sz="0" w:space="0" w:color="auto"/>
      </w:divBdr>
    </w:div>
    <w:div w:id="1014498990">
      <w:bodyDiv w:val="1"/>
      <w:marLeft w:val="0"/>
      <w:marRight w:val="0"/>
      <w:marTop w:val="0"/>
      <w:marBottom w:val="0"/>
      <w:divBdr>
        <w:top w:val="none" w:sz="0" w:space="0" w:color="auto"/>
        <w:left w:val="none" w:sz="0" w:space="0" w:color="auto"/>
        <w:bottom w:val="none" w:sz="0" w:space="0" w:color="auto"/>
        <w:right w:val="none" w:sz="0" w:space="0" w:color="auto"/>
      </w:divBdr>
    </w:div>
    <w:div w:id="1015038391">
      <w:bodyDiv w:val="1"/>
      <w:marLeft w:val="0"/>
      <w:marRight w:val="0"/>
      <w:marTop w:val="0"/>
      <w:marBottom w:val="0"/>
      <w:divBdr>
        <w:top w:val="none" w:sz="0" w:space="0" w:color="auto"/>
        <w:left w:val="none" w:sz="0" w:space="0" w:color="auto"/>
        <w:bottom w:val="none" w:sz="0" w:space="0" w:color="auto"/>
        <w:right w:val="none" w:sz="0" w:space="0" w:color="auto"/>
      </w:divBdr>
    </w:div>
    <w:div w:id="1020280808">
      <w:bodyDiv w:val="1"/>
      <w:marLeft w:val="0"/>
      <w:marRight w:val="0"/>
      <w:marTop w:val="0"/>
      <w:marBottom w:val="0"/>
      <w:divBdr>
        <w:top w:val="none" w:sz="0" w:space="0" w:color="auto"/>
        <w:left w:val="none" w:sz="0" w:space="0" w:color="auto"/>
        <w:bottom w:val="none" w:sz="0" w:space="0" w:color="auto"/>
        <w:right w:val="none" w:sz="0" w:space="0" w:color="auto"/>
      </w:divBdr>
    </w:div>
    <w:div w:id="1021396187">
      <w:bodyDiv w:val="1"/>
      <w:marLeft w:val="0"/>
      <w:marRight w:val="0"/>
      <w:marTop w:val="0"/>
      <w:marBottom w:val="0"/>
      <w:divBdr>
        <w:top w:val="none" w:sz="0" w:space="0" w:color="auto"/>
        <w:left w:val="none" w:sz="0" w:space="0" w:color="auto"/>
        <w:bottom w:val="none" w:sz="0" w:space="0" w:color="auto"/>
        <w:right w:val="none" w:sz="0" w:space="0" w:color="auto"/>
      </w:divBdr>
    </w:div>
    <w:div w:id="1035891005">
      <w:bodyDiv w:val="1"/>
      <w:marLeft w:val="0"/>
      <w:marRight w:val="0"/>
      <w:marTop w:val="0"/>
      <w:marBottom w:val="0"/>
      <w:divBdr>
        <w:top w:val="none" w:sz="0" w:space="0" w:color="auto"/>
        <w:left w:val="none" w:sz="0" w:space="0" w:color="auto"/>
        <w:bottom w:val="none" w:sz="0" w:space="0" w:color="auto"/>
        <w:right w:val="none" w:sz="0" w:space="0" w:color="auto"/>
      </w:divBdr>
    </w:div>
    <w:div w:id="1038429514">
      <w:bodyDiv w:val="1"/>
      <w:marLeft w:val="0"/>
      <w:marRight w:val="0"/>
      <w:marTop w:val="0"/>
      <w:marBottom w:val="0"/>
      <w:divBdr>
        <w:top w:val="none" w:sz="0" w:space="0" w:color="auto"/>
        <w:left w:val="none" w:sz="0" w:space="0" w:color="auto"/>
        <w:bottom w:val="none" w:sz="0" w:space="0" w:color="auto"/>
        <w:right w:val="none" w:sz="0" w:space="0" w:color="auto"/>
      </w:divBdr>
    </w:div>
    <w:div w:id="1038773966">
      <w:bodyDiv w:val="1"/>
      <w:marLeft w:val="0"/>
      <w:marRight w:val="0"/>
      <w:marTop w:val="0"/>
      <w:marBottom w:val="0"/>
      <w:divBdr>
        <w:top w:val="none" w:sz="0" w:space="0" w:color="auto"/>
        <w:left w:val="none" w:sz="0" w:space="0" w:color="auto"/>
        <w:bottom w:val="none" w:sz="0" w:space="0" w:color="auto"/>
        <w:right w:val="none" w:sz="0" w:space="0" w:color="auto"/>
      </w:divBdr>
    </w:div>
    <w:div w:id="1040397867">
      <w:bodyDiv w:val="1"/>
      <w:marLeft w:val="0"/>
      <w:marRight w:val="0"/>
      <w:marTop w:val="0"/>
      <w:marBottom w:val="0"/>
      <w:divBdr>
        <w:top w:val="none" w:sz="0" w:space="0" w:color="auto"/>
        <w:left w:val="none" w:sz="0" w:space="0" w:color="auto"/>
        <w:bottom w:val="none" w:sz="0" w:space="0" w:color="auto"/>
        <w:right w:val="none" w:sz="0" w:space="0" w:color="auto"/>
      </w:divBdr>
      <w:divsChild>
        <w:div w:id="10569717">
          <w:marLeft w:val="0"/>
          <w:marRight w:val="0"/>
          <w:marTop w:val="0"/>
          <w:marBottom w:val="0"/>
          <w:divBdr>
            <w:top w:val="none" w:sz="0" w:space="0" w:color="auto"/>
            <w:left w:val="none" w:sz="0" w:space="0" w:color="auto"/>
            <w:bottom w:val="none" w:sz="0" w:space="0" w:color="auto"/>
            <w:right w:val="none" w:sz="0" w:space="0" w:color="auto"/>
          </w:divBdr>
        </w:div>
        <w:div w:id="838422481">
          <w:marLeft w:val="0"/>
          <w:marRight w:val="0"/>
          <w:marTop w:val="0"/>
          <w:marBottom w:val="0"/>
          <w:divBdr>
            <w:top w:val="none" w:sz="0" w:space="0" w:color="auto"/>
            <w:left w:val="none" w:sz="0" w:space="0" w:color="auto"/>
            <w:bottom w:val="none" w:sz="0" w:space="0" w:color="auto"/>
            <w:right w:val="none" w:sz="0" w:space="0" w:color="auto"/>
          </w:divBdr>
        </w:div>
        <w:div w:id="474756301">
          <w:marLeft w:val="0"/>
          <w:marRight w:val="0"/>
          <w:marTop w:val="0"/>
          <w:marBottom w:val="0"/>
          <w:divBdr>
            <w:top w:val="none" w:sz="0" w:space="0" w:color="auto"/>
            <w:left w:val="none" w:sz="0" w:space="0" w:color="auto"/>
            <w:bottom w:val="none" w:sz="0" w:space="0" w:color="auto"/>
            <w:right w:val="none" w:sz="0" w:space="0" w:color="auto"/>
          </w:divBdr>
        </w:div>
      </w:divsChild>
    </w:div>
    <w:div w:id="1059014642">
      <w:bodyDiv w:val="1"/>
      <w:marLeft w:val="0"/>
      <w:marRight w:val="0"/>
      <w:marTop w:val="0"/>
      <w:marBottom w:val="0"/>
      <w:divBdr>
        <w:top w:val="none" w:sz="0" w:space="0" w:color="auto"/>
        <w:left w:val="none" w:sz="0" w:space="0" w:color="auto"/>
        <w:bottom w:val="none" w:sz="0" w:space="0" w:color="auto"/>
        <w:right w:val="none" w:sz="0" w:space="0" w:color="auto"/>
      </w:divBdr>
    </w:div>
    <w:div w:id="1071342640">
      <w:bodyDiv w:val="1"/>
      <w:marLeft w:val="0"/>
      <w:marRight w:val="0"/>
      <w:marTop w:val="0"/>
      <w:marBottom w:val="0"/>
      <w:divBdr>
        <w:top w:val="none" w:sz="0" w:space="0" w:color="auto"/>
        <w:left w:val="none" w:sz="0" w:space="0" w:color="auto"/>
        <w:bottom w:val="none" w:sz="0" w:space="0" w:color="auto"/>
        <w:right w:val="none" w:sz="0" w:space="0" w:color="auto"/>
      </w:divBdr>
    </w:div>
    <w:div w:id="1077557934">
      <w:bodyDiv w:val="1"/>
      <w:marLeft w:val="0"/>
      <w:marRight w:val="0"/>
      <w:marTop w:val="0"/>
      <w:marBottom w:val="0"/>
      <w:divBdr>
        <w:top w:val="none" w:sz="0" w:space="0" w:color="auto"/>
        <w:left w:val="none" w:sz="0" w:space="0" w:color="auto"/>
        <w:bottom w:val="none" w:sz="0" w:space="0" w:color="auto"/>
        <w:right w:val="none" w:sz="0" w:space="0" w:color="auto"/>
      </w:divBdr>
      <w:divsChild>
        <w:div w:id="1464302796">
          <w:marLeft w:val="0"/>
          <w:marRight w:val="0"/>
          <w:marTop w:val="450"/>
          <w:marBottom w:val="0"/>
          <w:divBdr>
            <w:top w:val="none" w:sz="0" w:space="0" w:color="auto"/>
            <w:left w:val="none" w:sz="0" w:space="0" w:color="auto"/>
            <w:bottom w:val="none" w:sz="0" w:space="0" w:color="auto"/>
            <w:right w:val="none" w:sz="0" w:space="0" w:color="auto"/>
          </w:divBdr>
        </w:div>
      </w:divsChild>
    </w:div>
    <w:div w:id="1125807094">
      <w:bodyDiv w:val="1"/>
      <w:marLeft w:val="0"/>
      <w:marRight w:val="0"/>
      <w:marTop w:val="0"/>
      <w:marBottom w:val="0"/>
      <w:divBdr>
        <w:top w:val="none" w:sz="0" w:space="0" w:color="auto"/>
        <w:left w:val="none" w:sz="0" w:space="0" w:color="auto"/>
        <w:bottom w:val="none" w:sz="0" w:space="0" w:color="auto"/>
        <w:right w:val="none" w:sz="0" w:space="0" w:color="auto"/>
      </w:divBdr>
    </w:div>
    <w:div w:id="1149710227">
      <w:bodyDiv w:val="1"/>
      <w:marLeft w:val="0"/>
      <w:marRight w:val="0"/>
      <w:marTop w:val="0"/>
      <w:marBottom w:val="0"/>
      <w:divBdr>
        <w:top w:val="none" w:sz="0" w:space="0" w:color="auto"/>
        <w:left w:val="none" w:sz="0" w:space="0" w:color="auto"/>
        <w:bottom w:val="none" w:sz="0" w:space="0" w:color="auto"/>
        <w:right w:val="none" w:sz="0" w:space="0" w:color="auto"/>
      </w:divBdr>
      <w:divsChild>
        <w:div w:id="1966542382">
          <w:marLeft w:val="0"/>
          <w:marRight w:val="0"/>
          <w:marTop w:val="0"/>
          <w:marBottom w:val="0"/>
          <w:divBdr>
            <w:top w:val="none" w:sz="0" w:space="0" w:color="auto"/>
            <w:left w:val="none" w:sz="0" w:space="0" w:color="auto"/>
            <w:bottom w:val="none" w:sz="0" w:space="0" w:color="auto"/>
            <w:right w:val="none" w:sz="0" w:space="0" w:color="auto"/>
          </w:divBdr>
        </w:div>
        <w:div w:id="64452815">
          <w:marLeft w:val="0"/>
          <w:marRight w:val="0"/>
          <w:marTop w:val="0"/>
          <w:marBottom w:val="0"/>
          <w:divBdr>
            <w:top w:val="none" w:sz="0" w:space="0" w:color="auto"/>
            <w:left w:val="none" w:sz="0" w:space="0" w:color="auto"/>
            <w:bottom w:val="none" w:sz="0" w:space="0" w:color="auto"/>
            <w:right w:val="none" w:sz="0" w:space="0" w:color="auto"/>
          </w:divBdr>
        </w:div>
      </w:divsChild>
    </w:div>
    <w:div w:id="1194032433">
      <w:bodyDiv w:val="1"/>
      <w:marLeft w:val="0"/>
      <w:marRight w:val="0"/>
      <w:marTop w:val="0"/>
      <w:marBottom w:val="0"/>
      <w:divBdr>
        <w:top w:val="none" w:sz="0" w:space="0" w:color="auto"/>
        <w:left w:val="none" w:sz="0" w:space="0" w:color="auto"/>
        <w:bottom w:val="none" w:sz="0" w:space="0" w:color="auto"/>
        <w:right w:val="none" w:sz="0" w:space="0" w:color="auto"/>
      </w:divBdr>
    </w:div>
    <w:div w:id="1218933325">
      <w:bodyDiv w:val="1"/>
      <w:marLeft w:val="0"/>
      <w:marRight w:val="0"/>
      <w:marTop w:val="0"/>
      <w:marBottom w:val="0"/>
      <w:divBdr>
        <w:top w:val="none" w:sz="0" w:space="0" w:color="auto"/>
        <w:left w:val="none" w:sz="0" w:space="0" w:color="auto"/>
        <w:bottom w:val="none" w:sz="0" w:space="0" w:color="auto"/>
        <w:right w:val="none" w:sz="0" w:space="0" w:color="auto"/>
      </w:divBdr>
    </w:div>
    <w:div w:id="1232430151">
      <w:bodyDiv w:val="1"/>
      <w:marLeft w:val="0"/>
      <w:marRight w:val="0"/>
      <w:marTop w:val="0"/>
      <w:marBottom w:val="0"/>
      <w:divBdr>
        <w:top w:val="none" w:sz="0" w:space="0" w:color="auto"/>
        <w:left w:val="none" w:sz="0" w:space="0" w:color="auto"/>
        <w:bottom w:val="none" w:sz="0" w:space="0" w:color="auto"/>
        <w:right w:val="none" w:sz="0" w:space="0" w:color="auto"/>
      </w:divBdr>
    </w:div>
    <w:div w:id="1243219833">
      <w:bodyDiv w:val="1"/>
      <w:marLeft w:val="0"/>
      <w:marRight w:val="0"/>
      <w:marTop w:val="0"/>
      <w:marBottom w:val="0"/>
      <w:divBdr>
        <w:top w:val="none" w:sz="0" w:space="0" w:color="auto"/>
        <w:left w:val="none" w:sz="0" w:space="0" w:color="auto"/>
        <w:bottom w:val="none" w:sz="0" w:space="0" w:color="auto"/>
        <w:right w:val="none" w:sz="0" w:space="0" w:color="auto"/>
      </w:divBdr>
    </w:div>
    <w:div w:id="1256211893">
      <w:bodyDiv w:val="1"/>
      <w:marLeft w:val="0"/>
      <w:marRight w:val="0"/>
      <w:marTop w:val="0"/>
      <w:marBottom w:val="0"/>
      <w:divBdr>
        <w:top w:val="none" w:sz="0" w:space="0" w:color="auto"/>
        <w:left w:val="none" w:sz="0" w:space="0" w:color="auto"/>
        <w:bottom w:val="none" w:sz="0" w:space="0" w:color="auto"/>
        <w:right w:val="none" w:sz="0" w:space="0" w:color="auto"/>
      </w:divBdr>
    </w:div>
    <w:div w:id="1261907644">
      <w:bodyDiv w:val="1"/>
      <w:marLeft w:val="0"/>
      <w:marRight w:val="0"/>
      <w:marTop w:val="0"/>
      <w:marBottom w:val="0"/>
      <w:divBdr>
        <w:top w:val="none" w:sz="0" w:space="0" w:color="auto"/>
        <w:left w:val="none" w:sz="0" w:space="0" w:color="auto"/>
        <w:bottom w:val="none" w:sz="0" w:space="0" w:color="auto"/>
        <w:right w:val="none" w:sz="0" w:space="0" w:color="auto"/>
      </w:divBdr>
    </w:div>
    <w:div w:id="1263223482">
      <w:bodyDiv w:val="1"/>
      <w:marLeft w:val="0"/>
      <w:marRight w:val="0"/>
      <w:marTop w:val="0"/>
      <w:marBottom w:val="0"/>
      <w:divBdr>
        <w:top w:val="none" w:sz="0" w:space="0" w:color="auto"/>
        <w:left w:val="none" w:sz="0" w:space="0" w:color="auto"/>
        <w:bottom w:val="none" w:sz="0" w:space="0" w:color="auto"/>
        <w:right w:val="none" w:sz="0" w:space="0" w:color="auto"/>
      </w:divBdr>
    </w:div>
    <w:div w:id="1288585379">
      <w:bodyDiv w:val="1"/>
      <w:marLeft w:val="0"/>
      <w:marRight w:val="0"/>
      <w:marTop w:val="0"/>
      <w:marBottom w:val="0"/>
      <w:divBdr>
        <w:top w:val="none" w:sz="0" w:space="0" w:color="auto"/>
        <w:left w:val="none" w:sz="0" w:space="0" w:color="auto"/>
        <w:bottom w:val="none" w:sz="0" w:space="0" w:color="auto"/>
        <w:right w:val="none" w:sz="0" w:space="0" w:color="auto"/>
      </w:divBdr>
    </w:div>
    <w:div w:id="1291207939">
      <w:bodyDiv w:val="1"/>
      <w:marLeft w:val="0"/>
      <w:marRight w:val="0"/>
      <w:marTop w:val="0"/>
      <w:marBottom w:val="0"/>
      <w:divBdr>
        <w:top w:val="none" w:sz="0" w:space="0" w:color="auto"/>
        <w:left w:val="none" w:sz="0" w:space="0" w:color="auto"/>
        <w:bottom w:val="none" w:sz="0" w:space="0" w:color="auto"/>
        <w:right w:val="none" w:sz="0" w:space="0" w:color="auto"/>
      </w:divBdr>
    </w:div>
    <w:div w:id="1293051914">
      <w:bodyDiv w:val="1"/>
      <w:marLeft w:val="0"/>
      <w:marRight w:val="0"/>
      <w:marTop w:val="0"/>
      <w:marBottom w:val="0"/>
      <w:divBdr>
        <w:top w:val="none" w:sz="0" w:space="0" w:color="auto"/>
        <w:left w:val="none" w:sz="0" w:space="0" w:color="auto"/>
        <w:bottom w:val="none" w:sz="0" w:space="0" w:color="auto"/>
        <w:right w:val="none" w:sz="0" w:space="0" w:color="auto"/>
      </w:divBdr>
      <w:divsChild>
        <w:div w:id="714475186">
          <w:marLeft w:val="0"/>
          <w:marRight w:val="0"/>
          <w:marTop w:val="0"/>
          <w:marBottom w:val="0"/>
          <w:divBdr>
            <w:top w:val="none" w:sz="0" w:space="0" w:color="auto"/>
            <w:left w:val="none" w:sz="0" w:space="0" w:color="auto"/>
            <w:bottom w:val="none" w:sz="0" w:space="0" w:color="auto"/>
            <w:right w:val="none" w:sz="0" w:space="0" w:color="auto"/>
          </w:divBdr>
        </w:div>
        <w:div w:id="1976331337">
          <w:marLeft w:val="0"/>
          <w:marRight w:val="0"/>
          <w:marTop w:val="0"/>
          <w:marBottom w:val="0"/>
          <w:divBdr>
            <w:top w:val="none" w:sz="0" w:space="0" w:color="auto"/>
            <w:left w:val="none" w:sz="0" w:space="0" w:color="auto"/>
            <w:bottom w:val="none" w:sz="0" w:space="0" w:color="auto"/>
            <w:right w:val="none" w:sz="0" w:space="0" w:color="auto"/>
          </w:divBdr>
        </w:div>
        <w:div w:id="471872047">
          <w:marLeft w:val="0"/>
          <w:marRight w:val="0"/>
          <w:marTop w:val="0"/>
          <w:marBottom w:val="0"/>
          <w:divBdr>
            <w:top w:val="none" w:sz="0" w:space="0" w:color="auto"/>
            <w:left w:val="none" w:sz="0" w:space="0" w:color="auto"/>
            <w:bottom w:val="none" w:sz="0" w:space="0" w:color="auto"/>
            <w:right w:val="none" w:sz="0" w:space="0" w:color="auto"/>
          </w:divBdr>
        </w:div>
      </w:divsChild>
    </w:div>
    <w:div w:id="1305966368">
      <w:bodyDiv w:val="1"/>
      <w:marLeft w:val="0"/>
      <w:marRight w:val="0"/>
      <w:marTop w:val="0"/>
      <w:marBottom w:val="0"/>
      <w:divBdr>
        <w:top w:val="none" w:sz="0" w:space="0" w:color="auto"/>
        <w:left w:val="none" w:sz="0" w:space="0" w:color="auto"/>
        <w:bottom w:val="none" w:sz="0" w:space="0" w:color="auto"/>
        <w:right w:val="none" w:sz="0" w:space="0" w:color="auto"/>
      </w:divBdr>
    </w:div>
    <w:div w:id="1314680916">
      <w:bodyDiv w:val="1"/>
      <w:marLeft w:val="0"/>
      <w:marRight w:val="0"/>
      <w:marTop w:val="0"/>
      <w:marBottom w:val="0"/>
      <w:divBdr>
        <w:top w:val="none" w:sz="0" w:space="0" w:color="auto"/>
        <w:left w:val="none" w:sz="0" w:space="0" w:color="auto"/>
        <w:bottom w:val="none" w:sz="0" w:space="0" w:color="auto"/>
        <w:right w:val="none" w:sz="0" w:space="0" w:color="auto"/>
      </w:divBdr>
    </w:div>
    <w:div w:id="1336153527">
      <w:bodyDiv w:val="1"/>
      <w:marLeft w:val="0"/>
      <w:marRight w:val="0"/>
      <w:marTop w:val="0"/>
      <w:marBottom w:val="0"/>
      <w:divBdr>
        <w:top w:val="none" w:sz="0" w:space="0" w:color="auto"/>
        <w:left w:val="none" w:sz="0" w:space="0" w:color="auto"/>
        <w:bottom w:val="none" w:sz="0" w:space="0" w:color="auto"/>
        <w:right w:val="none" w:sz="0" w:space="0" w:color="auto"/>
      </w:divBdr>
    </w:div>
    <w:div w:id="1342968698">
      <w:bodyDiv w:val="1"/>
      <w:marLeft w:val="0"/>
      <w:marRight w:val="0"/>
      <w:marTop w:val="0"/>
      <w:marBottom w:val="0"/>
      <w:divBdr>
        <w:top w:val="none" w:sz="0" w:space="0" w:color="auto"/>
        <w:left w:val="none" w:sz="0" w:space="0" w:color="auto"/>
        <w:bottom w:val="none" w:sz="0" w:space="0" w:color="auto"/>
        <w:right w:val="none" w:sz="0" w:space="0" w:color="auto"/>
      </w:divBdr>
    </w:div>
    <w:div w:id="1368287542">
      <w:bodyDiv w:val="1"/>
      <w:marLeft w:val="0"/>
      <w:marRight w:val="0"/>
      <w:marTop w:val="0"/>
      <w:marBottom w:val="0"/>
      <w:divBdr>
        <w:top w:val="none" w:sz="0" w:space="0" w:color="auto"/>
        <w:left w:val="none" w:sz="0" w:space="0" w:color="auto"/>
        <w:bottom w:val="none" w:sz="0" w:space="0" w:color="auto"/>
        <w:right w:val="none" w:sz="0" w:space="0" w:color="auto"/>
      </w:divBdr>
    </w:div>
    <w:div w:id="1368989111">
      <w:bodyDiv w:val="1"/>
      <w:marLeft w:val="0"/>
      <w:marRight w:val="0"/>
      <w:marTop w:val="0"/>
      <w:marBottom w:val="0"/>
      <w:divBdr>
        <w:top w:val="none" w:sz="0" w:space="0" w:color="auto"/>
        <w:left w:val="none" w:sz="0" w:space="0" w:color="auto"/>
        <w:bottom w:val="none" w:sz="0" w:space="0" w:color="auto"/>
        <w:right w:val="none" w:sz="0" w:space="0" w:color="auto"/>
      </w:divBdr>
    </w:div>
    <w:div w:id="1381587377">
      <w:bodyDiv w:val="1"/>
      <w:marLeft w:val="0"/>
      <w:marRight w:val="0"/>
      <w:marTop w:val="0"/>
      <w:marBottom w:val="0"/>
      <w:divBdr>
        <w:top w:val="none" w:sz="0" w:space="0" w:color="auto"/>
        <w:left w:val="none" w:sz="0" w:space="0" w:color="auto"/>
        <w:bottom w:val="none" w:sz="0" w:space="0" w:color="auto"/>
        <w:right w:val="none" w:sz="0" w:space="0" w:color="auto"/>
      </w:divBdr>
    </w:div>
    <w:div w:id="1394619515">
      <w:bodyDiv w:val="1"/>
      <w:marLeft w:val="0"/>
      <w:marRight w:val="0"/>
      <w:marTop w:val="0"/>
      <w:marBottom w:val="0"/>
      <w:divBdr>
        <w:top w:val="none" w:sz="0" w:space="0" w:color="auto"/>
        <w:left w:val="none" w:sz="0" w:space="0" w:color="auto"/>
        <w:bottom w:val="none" w:sz="0" w:space="0" w:color="auto"/>
        <w:right w:val="none" w:sz="0" w:space="0" w:color="auto"/>
      </w:divBdr>
    </w:div>
    <w:div w:id="1395006782">
      <w:bodyDiv w:val="1"/>
      <w:marLeft w:val="0"/>
      <w:marRight w:val="0"/>
      <w:marTop w:val="0"/>
      <w:marBottom w:val="0"/>
      <w:divBdr>
        <w:top w:val="none" w:sz="0" w:space="0" w:color="auto"/>
        <w:left w:val="none" w:sz="0" w:space="0" w:color="auto"/>
        <w:bottom w:val="none" w:sz="0" w:space="0" w:color="auto"/>
        <w:right w:val="none" w:sz="0" w:space="0" w:color="auto"/>
      </w:divBdr>
    </w:div>
    <w:div w:id="1399018788">
      <w:bodyDiv w:val="1"/>
      <w:marLeft w:val="0"/>
      <w:marRight w:val="0"/>
      <w:marTop w:val="0"/>
      <w:marBottom w:val="0"/>
      <w:divBdr>
        <w:top w:val="none" w:sz="0" w:space="0" w:color="auto"/>
        <w:left w:val="none" w:sz="0" w:space="0" w:color="auto"/>
        <w:bottom w:val="none" w:sz="0" w:space="0" w:color="auto"/>
        <w:right w:val="none" w:sz="0" w:space="0" w:color="auto"/>
      </w:divBdr>
    </w:div>
    <w:div w:id="1399093701">
      <w:bodyDiv w:val="1"/>
      <w:marLeft w:val="0"/>
      <w:marRight w:val="0"/>
      <w:marTop w:val="0"/>
      <w:marBottom w:val="0"/>
      <w:divBdr>
        <w:top w:val="none" w:sz="0" w:space="0" w:color="auto"/>
        <w:left w:val="none" w:sz="0" w:space="0" w:color="auto"/>
        <w:bottom w:val="none" w:sz="0" w:space="0" w:color="auto"/>
        <w:right w:val="none" w:sz="0" w:space="0" w:color="auto"/>
      </w:divBdr>
      <w:divsChild>
        <w:div w:id="756707145">
          <w:marLeft w:val="0"/>
          <w:marRight w:val="0"/>
          <w:marTop w:val="0"/>
          <w:marBottom w:val="0"/>
          <w:divBdr>
            <w:top w:val="none" w:sz="0" w:space="0" w:color="auto"/>
            <w:left w:val="none" w:sz="0" w:space="0" w:color="auto"/>
            <w:bottom w:val="none" w:sz="0" w:space="0" w:color="auto"/>
            <w:right w:val="none" w:sz="0" w:space="0" w:color="auto"/>
          </w:divBdr>
          <w:divsChild>
            <w:div w:id="236522841">
              <w:marLeft w:val="0"/>
              <w:marRight w:val="0"/>
              <w:marTop w:val="0"/>
              <w:marBottom w:val="0"/>
              <w:divBdr>
                <w:top w:val="none" w:sz="0" w:space="0" w:color="auto"/>
                <w:left w:val="none" w:sz="0" w:space="0" w:color="auto"/>
                <w:bottom w:val="none" w:sz="0" w:space="0" w:color="auto"/>
                <w:right w:val="none" w:sz="0" w:space="0" w:color="auto"/>
              </w:divBdr>
            </w:div>
            <w:div w:id="498009473">
              <w:marLeft w:val="180"/>
              <w:marRight w:val="0"/>
              <w:marTop w:val="0"/>
              <w:marBottom w:val="0"/>
              <w:divBdr>
                <w:top w:val="none" w:sz="0" w:space="0" w:color="auto"/>
                <w:left w:val="none" w:sz="0" w:space="0" w:color="auto"/>
                <w:bottom w:val="none" w:sz="0" w:space="0" w:color="auto"/>
                <w:right w:val="none" w:sz="0" w:space="0" w:color="auto"/>
              </w:divBdr>
              <w:divsChild>
                <w:div w:id="436413333">
                  <w:marLeft w:val="0"/>
                  <w:marRight w:val="0"/>
                  <w:marTop w:val="0"/>
                  <w:marBottom w:val="0"/>
                  <w:divBdr>
                    <w:top w:val="single" w:sz="6" w:space="0" w:color="E7E7E7"/>
                    <w:left w:val="single" w:sz="6" w:space="0" w:color="E7E7E7"/>
                    <w:bottom w:val="single" w:sz="6" w:space="0" w:color="E7E7E7"/>
                    <w:right w:val="single" w:sz="6" w:space="0" w:color="E7E7E7"/>
                  </w:divBdr>
                  <w:divsChild>
                    <w:div w:id="177429224">
                      <w:marLeft w:val="0"/>
                      <w:marRight w:val="0"/>
                      <w:marTop w:val="0"/>
                      <w:marBottom w:val="0"/>
                      <w:divBdr>
                        <w:top w:val="none" w:sz="0" w:space="0" w:color="auto"/>
                        <w:left w:val="none" w:sz="0" w:space="0" w:color="auto"/>
                        <w:bottom w:val="none" w:sz="0" w:space="0" w:color="auto"/>
                        <w:right w:val="none" w:sz="0" w:space="0" w:color="auto"/>
                      </w:divBdr>
                      <w:divsChild>
                        <w:div w:id="26608454">
                          <w:marLeft w:val="0"/>
                          <w:marRight w:val="0"/>
                          <w:marTop w:val="180"/>
                          <w:marBottom w:val="180"/>
                          <w:divBdr>
                            <w:top w:val="none" w:sz="0" w:space="0" w:color="auto"/>
                            <w:left w:val="none" w:sz="0" w:space="0" w:color="auto"/>
                            <w:bottom w:val="none" w:sz="0" w:space="0" w:color="auto"/>
                            <w:right w:val="none" w:sz="0" w:space="0" w:color="auto"/>
                          </w:divBdr>
                        </w:div>
                      </w:divsChild>
                    </w:div>
                    <w:div w:id="929463408">
                      <w:marLeft w:val="0"/>
                      <w:marRight w:val="0"/>
                      <w:marTop w:val="0"/>
                      <w:marBottom w:val="0"/>
                      <w:divBdr>
                        <w:top w:val="none" w:sz="0" w:space="0" w:color="auto"/>
                        <w:left w:val="none" w:sz="0" w:space="0" w:color="auto"/>
                        <w:bottom w:val="none" w:sz="0" w:space="0" w:color="auto"/>
                        <w:right w:val="none" w:sz="0" w:space="0" w:color="auto"/>
                      </w:divBdr>
                      <w:divsChild>
                        <w:div w:id="17519840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109814315">
          <w:marLeft w:val="0"/>
          <w:marRight w:val="0"/>
          <w:marTop w:val="0"/>
          <w:marBottom w:val="0"/>
          <w:divBdr>
            <w:top w:val="none" w:sz="0" w:space="0" w:color="auto"/>
            <w:left w:val="none" w:sz="0" w:space="0" w:color="auto"/>
            <w:bottom w:val="none" w:sz="0" w:space="0" w:color="auto"/>
            <w:right w:val="none" w:sz="0" w:space="0" w:color="auto"/>
          </w:divBdr>
          <w:divsChild>
            <w:div w:id="1728531686">
              <w:marLeft w:val="0"/>
              <w:marRight w:val="0"/>
              <w:marTop w:val="0"/>
              <w:marBottom w:val="0"/>
              <w:divBdr>
                <w:top w:val="none" w:sz="0" w:space="0" w:color="auto"/>
                <w:left w:val="none" w:sz="0" w:space="0" w:color="auto"/>
                <w:bottom w:val="none" w:sz="0" w:space="0" w:color="auto"/>
                <w:right w:val="none" w:sz="0" w:space="0" w:color="auto"/>
              </w:divBdr>
              <w:divsChild>
                <w:div w:id="50856452">
                  <w:marLeft w:val="0"/>
                  <w:marRight w:val="0"/>
                  <w:marTop w:val="0"/>
                  <w:marBottom w:val="0"/>
                  <w:divBdr>
                    <w:top w:val="none" w:sz="0" w:space="0" w:color="auto"/>
                    <w:left w:val="none" w:sz="0" w:space="0" w:color="auto"/>
                    <w:bottom w:val="none" w:sz="0" w:space="0" w:color="auto"/>
                    <w:right w:val="none" w:sz="0" w:space="0" w:color="auto"/>
                  </w:divBdr>
                  <w:divsChild>
                    <w:div w:id="275599829">
                      <w:marLeft w:val="0"/>
                      <w:marRight w:val="0"/>
                      <w:marTop w:val="0"/>
                      <w:marBottom w:val="0"/>
                      <w:divBdr>
                        <w:top w:val="none" w:sz="0" w:space="0" w:color="auto"/>
                        <w:left w:val="none" w:sz="0" w:space="0" w:color="auto"/>
                        <w:bottom w:val="none" w:sz="0" w:space="0" w:color="auto"/>
                        <w:right w:val="none" w:sz="0" w:space="0" w:color="auto"/>
                      </w:divBdr>
                      <w:divsChild>
                        <w:div w:id="469372305">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1534271137">
          <w:marLeft w:val="0"/>
          <w:marRight w:val="0"/>
          <w:marTop w:val="0"/>
          <w:marBottom w:val="0"/>
          <w:divBdr>
            <w:top w:val="none" w:sz="0" w:space="0" w:color="auto"/>
            <w:left w:val="none" w:sz="0" w:space="0" w:color="auto"/>
            <w:bottom w:val="none" w:sz="0" w:space="0" w:color="auto"/>
            <w:right w:val="none" w:sz="0" w:space="0" w:color="auto"/>
          </w:divBdr>
          <w:divsChild>
            <w:div w:id="360283924">
              <w:marLeft w:val="0"/>
              <w:marRight w:val="0"/>
              <w:marTop w:val="0"/>
              <w:marBottom w:val="0"/>
              <w:divBdr>
                <w:top w:val="none" w:sz="0" w:space="0" w:color="auto"/>
                <w:left w:val="none" w:sz="0" w:space="0" w:color="auto"/>
                <w:bottom w:val="none" w:sz="0" w:space="0" w:color="auto"/>
                <w:right w:val="none" w:sz="0" w:space="0" w:color="auto"/>
              </w:divBdr>
              <w:divsChild>
                <w:div w:id="970787718">
                  <w:marLeft w:val="0"/>
                  <w:marRight w:val="0"/>
                  <w:marTop w:val="0"/>
                  <w:marBottom w:val="0"/>
                  <w:divBdr>
                    <w:top w:val="none" w:sz="0" w:space="0" w:color="auto"/>
                    <w:left w:val="none" w:sz="0" w:space="0" w:color="auto"/>
                    <w:bottom w:val="none" w:sz="0" w:space="0" w:color="auto"/>
                    <w:right w:val="none" w:sz="0" w:space="0" w:color="auto"/>
                  </w:divBdr>
                  <w:divsChild>
                    <w:div w:id="687146232">
                      <w:marLeft w:val="0"/>
                      <w:marRight w:val="0"/>
                      <w:marTop w:val="0"/>
                      <w:marBottom w:val="0"/>
                      <w:divBdr>
                        <w:top w:val="none" w:sz="0" w:space="0" w:color="auto"/>
                        <w:left w:val="none" w:sz="0" w:space="0" w:color="auto"/>
                        <w:bottom w:val="none" w:sz="0" w:space="0" w:color="auto"/>
                        <w:right w:val="none" w:sz="0" w:space="0" w:color="auto"/>
                      </w:divBdr>
                      <w:divsChild>
                        <w:div w:id="1159463503">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2079590783">
          <w:marLeft w:val="0"/>
          <w:marRight w:val="0"/>
          <w:marTop w:val="0"/>
          <w:marBottom w:val="0"/>
          <w:divBdr>
            <w:top w:val="none" w:sz="0" w:space="0" w:color="auto"/>
            <w:left w:val="none" w:sz="0" w:space="0" w:color="auto"/>
            <w:bottom w:val="none" w:sz="0" w:space="0" w:color="auto"/>
            <w:right w:val="none" w:sz="0" w:space="0" w:color="auto"/>
          </w:divBdr>
          <w:divsChild>
            <w:div w:id="665015959">
              <w:marLeft w:val="0"/>
              <w:marRight w:val="0"/>
              <w:marTop w:val="0"/>
              <w:marBottom w:val="0"/>
              <w:divBdr>
                <w:top w:val="none" w:sz="0" w:space="0" w:color="auto"/>
                <w:left w:val="none" w:sz="0" w:space="0" w:color="auto"/>
                <w:bottom w:val="none" w:sz="0" w:space="0" w:color="auto"/>
                <w:right w:val="none" w:sz="0" w:space="0" w:color="auto"/>
              </w:divBdr>
              <w:divsChild>
                <w:div w:id="323165430">
                  <w:marLeft w:val="0"/>
                  <w:marRight w:val="0"/>
                  <w:marTop w:val="0"/>
                  <w:marBottom w:val="0"/>
                  <w:divBdr>
                    <w:top w:val="none" w:sz="0" w:space="0" w:color="auto"/>
                    <w:left w:val="none" w:sz="0" w:space="0" w:color="auto"/>
                    <w:bottom w:val="none" w:sz="0" w:space="0" w:color="auto"/>
                    <w:right w:val="none" w:sz="0" w:space="0" w:color="auto"/>
                  </w:divBdr>
                  <w:divsChild>
                    <w:div w:id="45304467">
                      <w:marLeft w:val="0"/>
                      <w:marRight w:val="0"/>
                      <w:marTop w:val="0"/>
                      <w:marBottom w:val="0"/>
                      <w:divBdr>
                        <w:top w:val="none" w:sz="0" w:space="0" w:color="auto"/>
                        <w:left w:val="none" w:sz="0" w:space="0" w:color="auto"/>
                        <w:bottom w:val="none" w:sz="0" w:space="0" w:color="auto"/>
                        <w:right w:val="none" w:sz="0" w:space="0" w:color="auto"/>
                      </w:divBdr>
                      <w:divsChild>
                        <w:div w:id="1751192914">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2747879">
      <w:bodyDiv w:val="1"/>
      <w:marLeft w:val="0"/>
      <w:marRight w:val="0"/>
      <w:marTop w:val="0"/>
      <w:marBottom w:val="0"/>
      <w:divBdr>
        <w:top w:val="none" w:sz="0" w:space="0" w:color="auto"/>
        <w:left w:val="none" w:sz="0" w:space="0" w:color="auto"/>
        <w:bottom w:val="none" w:sz="0" w:space="0" w:color="auto"/>
        <w:right w:val="none" w:sz="0" w:space="0" w:color="auto"/>
      </w:divBdr>
      <w:divsChild>
        <w:div w:id="1040519745">
          <w:marLeft w:val="0"/>
          <w:marRight w:val="0"/>
          <w:marTop w:val="0"/>
          <w:marBottom w:val="240"/>
          <w:divBdr>
            <w:top w:val="none" w:sz="0" w:space="0" w:color="auto"/>
            <w:left w:val="none" w:sz="0" w:space="0" w:color="auto"/>
            <w:bottom w:val="none" w:sz="0" w:space="0" w:color="auto"/>
            <w:right w:val="none" w:sz="0" w:space="0" w:color="auto"/>
          </w:divBdr>
        </w:div>
        <w:div w:id="1058355571">
          <w:marLeft w:val="0"/>
          <w:marRight w:val="0"/>
          <w:marTop w:val="0"/>
          <w:marBottom w:val="240"/>
          <w:divBdr>
            <w:top w:val="none" w:sz="0" w:space="0" w:color="auto"/>
            <w:left w:val="none" w:sz="0" w:space="0" w:color="auto"/>
            <w:bottom w:val="none" w:sz="0" w:space="0" w:color="auto"/>
            <w:right w:val="none" w:sz="0" w:space="0" w:color="auto"/>
          </w:divBdr>
        </w:div>
        <w:div w:id="2030133530">
          <w:marLeft w:val="0"/>
          <w:marRight w:val="0"/>
          <w:marTop w:val="0"/>
          <w:marBottom w:val="240"/>
          <w:divBdr>
            <w:top w:val="none" w:sz="0" w:space="0" w:color="auto"/>
            <w:left w:val="none" w:sz="0" w:space="0" w:color="auto"/>
            <w:bottom w:val="none" w:sz="0" w:space="0" w:color="auto"/>
            <w:right w:val="none" w:sz="0" w:space="0" w:color="auto"/>
          </w:divBdr>
        </w:div>
      </w:divsChild>
    </w:div>
    <w:div w:id="1457479661">
      <w:bodyDiv w:val="1"/>
      <w:marLeft w:val="0"/>
      <w:marRight w:val="0"/>
      <w:marTop w:val="0"/>
      <w:marBottom w:val="0"/>
      <w:divBdr>
        <w:top w:val="none" w:sz="0" w:space="0" w:color="auto"/>
        <w:left w:val="none" w:sz="0" w:space="0" w:color="auto"/>
        <w:bottom w:val="none" w:sz="0" w:space="0" w:color="auto"/>
        <w:right w:val="none" w:sz="0" w:space="0" w:color="auto"/>
      </w:divBdr>
    </w:div>
    <w:div w:id="1467235169">
      <w:bodyDiv w:val="1"/>
      <w:marLeft w:val="0"/>
      <w:marRight w:val="0"/>
      <w:marTop w:val="0"/>
      <w:marBottom w:val="0"/>
      <w:divBdr>
        <w:top w:val="none" w:sz="0" w:space="0" w:color="auto"/>
        <w:left w:val="none" w:sz="0" w:space="0" w:color="auto"/>
        <w:bottom w:val="none" w:sz="0" w:space="0" w:color="auto"/>
        <w:right w:val="none" w:sz="0" w:space="0" w:color="auto"/>
      </w:divBdr>
    </w:div>
    <w:div w:id="1493832832">
      <w:bodyDiv w:val="1"/>
      <w:marLeft w:val="0"/>
      <w:marRight w:val="0"/>
      <w:marTop w:val="0"/>
      <w:marBottom w:val="0"/>
      <w:divBdr>
        <w:top w:val="none" w:sz="0" w:space="0" w:color="auto"/>
        <w:left w:val="none" w:sz="0" w:space="0" w:color="auto"/>
        <w:bottom w:val="none" w:sz="0" w:space="0" w:color="auto"/>
        <w:right w:val="none" w:sz="0" w:space="0" w:color="auto"/>
      </w:divBdr>
      <w:divsChild>
        <w:div w:id="456144601">
          <w:marLeft w:val="0"/>
          <w:marRight w:val="0"/>
          <w:marTop w:val="0"/>
          <w:marBottom w:val="0"/>
          <w:divBdr>
            <w:top w:val="none" w:sz="0" w:space="0" w:color="auto"/>
            <w:left w:val="none" w:sz="0" w:space="0" w:color="auto"/>
            <w:bottom w:val="none" w:sz="0" w:space="0" w:color="auto"/>
            <w:right w:val="none" w:sz="0" w:space="0" w:color="auto"/>
          </w:divBdr>
        </w:div>
        <w:div w:id="866795386">
          <w:marLeft w:val="0"/>
          <w:marRight w:val="0"/>
          <w:marTop w:val="0"/>
          <w:marBottom w:val="0"/>
          <w:divBdr>
            <w:top w:val="none" w:sz="0" w:space="0" w:color="auto"/>
            <w:left w:val="none" w:sz="0" w:space="0" w:color="auto"/>
            <w:bottom w:val="none" w:sz="0" w:space="0" w:color="auto"/>
            <w:right w:val="none" w:sz="0" w:space="0" w:color="auto"/>
          </w:divBdr>
        </w:div>
      </w:divsChild>
    </w:div>
    <w:div w:id="1517649268">
      <w:bodyDiv w:val="1"/>
      <w:marLeft w:val="0"/>
      <w:marRight w:val="0"/>
      <w:marTop w:val="0"/>
      <w:marBottom w:val="0"/>
      <w:divBdr>
        <w:top w:val="none" w:sz="0" w:space="0" w:color="auto"/>
        <w:left w:val="none" w:sz="0" w:space="0" w:color="auto"/>
        <w:bottom w:val="none" w:sz="0" w:space="0" w:color="auto"/>
        <w:right w:val="none" w:sz="0" w:space="0" w:color="auto"/>
      </w:divBdr>
    </w:div>
    <w:div w:id="1525754232">
      <w:bodyDiv w:val="1"/>
      <w:marLeft w:val="0"/>
      <w:marRight w:val="0"/>
      <w:marTop w:val="0"/>
      <w:marBottom w:val="0"/>
      <w:divBdr>
        <w:top w:val="none" w:sz="0" w:space="0" w:color="auto"/>
        <w:left w:val="none" w:sz="0" w:space="0" w:color="auto"/>
        <w:bottom w:val="none" w:sz="0" w:space="0" w:color="auto"/>
        <w:right w:val="none" w:sz="0" w:space="0" w:color="auto"/>
      </w:divBdr>
    </w:div>
    <w:div w:id="1542941588">
      <w:bodyDiv w:val="1"/>
      <w:marLeft w:val="0"/>
      <w:marRight w:val="0"/>
      <w:marTop w:val="0"/>
      <w:marBottom w:val="0"/>
      <w:divBdr>
        <w:top w:val="none" w:sz="0" w:space="0" w:color="auto"/>
        <w:left w:val="none" w:sz="0" w:space="0" w:color="auto"/>
        <w:bottom w:val="none" w:sz="0" w:space="0" w:color="auto"/>
        <w:right w:val="none" w:sz="0" w:space="0" w:color="auto"/>
      </w:divBdr>
    </w:div>
    <w:div w:id="1559247990">
      <w:bodyDiv w:val="1"/>
      <w:marLeft w:val="0"/>
      <w:marRight w:val="0"/>
      <w:marTop w:val="0"/>
      <w:marBottom w:val="0"/>
      <w:divBdr>
        <w:top w:val="none" w:sz="0" w:space="0" w:color="auto"/>
        <w:left w:val="none" w:sz="0" w:space="0" w:color="auto"/>
        <w:bottom w:val="none" w:sz="0" w:space="0" w:color="auto"/>
        <w:right w:val="none" w:sz="0" w:space="0" w:color="auto"/>
      </w:divBdr>
    </w:div>
    <w:div w:id="1577594156">
      <w:bodyDiv w:val="1"/>
      <w:marLeft w:val="0"/>
      <w:marRight w:val="0"/>
      <w:marTop w:val="0"/>
      <w:marBottom w:val="0"/>
      <w:divBdr>
        <w:top w:val="none" w:sz="0" w:space="0" w:color="auto"/>
        <w:left w:val="none" w:sz="0" w:space="0" w:color="auto"/>
        <w:bottom w:val="none" w:sz="0" w:space="0" w:color="auto"/>
        <w:right w:val="none" w:sz="0" w:space="0" w:color="auto"/>
      </w:divBdr>
    </w:div>
    <w:div w:id="1582178831">
      <w:bodyDiv w:val="1"/>
      <w:marLeft w:val="0"/>
      <w:marRight w:val="0"/>
      <w:marTop w:val="0"/>
      <w:marBottom w:val="0"/>
      <w:divBdr>
        <w:top w:val="none" w:sz="0" w:space="0" w:color="auto"/>
        <w:left w:val="none" w:sz="0" w:space="0" w:color="auto"/>
        <w:bottom w:val="none" w:sz="0" w:space="0" w:color="auto"/>
        <w:right w:val="none" w:sz="0" w:space="0" w:color="auto"/>
      </w:divBdr>
    </w:div>
    <w:div w:id="1585529090">
      <w:bodyDiv w:val="1"/>
      <w:marLeft w:val="0"/>
      <w:marRight w:val="0"/>
      <w:marTop w:val="0"/>
      <w:marBottom w:val="0"/>
      <w:divBdr>
        <w:top w:val="none" w:sz="0" w:space="0" w:color="auto"/>
        <w:left w:val="none" w:sz="0" w:space="0" w:color="auto"/>
        <w:bottom w:val="none" w:sz="0" w:space="0" w:color="auto"/>
        <w:right w:val="none" w:sz="0" w:space="0" w:color="auto"/>
      </w:divBdr>
    </w:div>
    <w:div w:id="1589532565">
      <w:bodyDiv w:val="1"/>
      <w:marLeft w:val="0"/>
      <w:marRight w:val="0"/>
      <w:marTop w:val="0"/>
      <w:marBottom w:val="0"/>
      <w:divBdr>
        <w:top w:val="none" w:sz="0" w:space="0" w:color="auto"/>
        <w:left w:val="none" w:sz="0" w:space="0" w:color="auto"/>
        <w:bottom w:val="none" w:sz="0" w:space="0" w:color="auto"/>
        <w:right w:val="none" w:sz="0" w:space="0" w:color="auto"/>
      </w:divBdr>
    </w:div>
    <w:div w:id="1593515891">
      <w:bodyDiv w:val="1"/>
      <w:marLeft w:val="0"/>
      <w:marRight w:val="0"/>
      <w:marTop w:val="0"/>
      <w:marBottom w:val="0"/>
      <w:divBdr>
        <w:top w:val="none" w:sz="0" w:space="0" w:color="auto"/>
        <w:left w:val="none" w:sz="0" w:space="0" w:color="auto"/>
        <w:bottom w:val="none" w:sz="0" w:space="0" w:color="auto"/>
        <w:right w:val="none" w:sz="0" w:space="0" w:color="auto"/>
      </w:divBdr>
    </w:div>
    <w:div w:id="1618640430">
      <w:bodyDiv w:val="1"/>
      <w:marLeft w:val="0"/>
      <w:marRight w:val="0"/>
      <w:marTop w:val="0"/>
      <w:marBottom w:val="0"/>
      <w:divBdr>
        <w:top w:val="none" w:sz="0" w:space="0" w:color="auto"/>
        <w:left w:val="none" w:sz="0" w:space="0" w:color="auto"/>
        <w:bottom w:val="none" w:sz="0" w:space="0" w:color="auto"/>
        <w:right w:val="none" w:sz="0" w:space="0" w:color="auto"/>
      </w:divBdr>
    </w:div>
    <w:div w:id="1620844216">
      <w:bodyDiv w:val="1"/>
      <w:marLeft w:val="0"/>
      <w:marRight w:val="0"/>
      <w:marTop w:val="0"/>
      <w:marBottom w:val="0"/>
      <w:divBdr>
        <w:top w:val="none" w:sz="0" w:space="0" w:color="auto"/>
        <w:left w:val="none" w:sz="0" w:space="0" w:color="auto"/>
        <w:bottom w:val="none" w:sz="0" w:space="0" w:color="auto"/>
        <w:right w:val="none" w:sz="0" w:space="0" w:color="auto"/>
      </w:divBdr>
      <w:divsChild>
        <w:div w:id="2064517768">
          <w:marLeft w:val="0"/>
          <w:marRight w:val="0"/>
          <w:marTop w:val="0"/>
          <w:marBottom w:val="0"/>
          <w:divBdr>
            <w:top w:val="none" w:sz="0" w:space="0" w:color="auto"/>
            <w:left w:val="none" w:sz="0" w:space="0" w:color="auto"/>
            <w:bottom w:val="none" w:sz="0" w:space="0" w:color="auto"/>
            <w:right w:val="none" w:sz="0" w:space="0" w:color="auto"/>
          </w:divBdr>
        </w:div>
        <w:div w:id="320894800">
          <w:marLeft w:val="0"/>
          <w:marRight w:val="0"/>
          <w:marTop w:val="0"/>
          <w:marBottom w:val="0"/>
          <w:divBdr>
            <w:top w:val="none" w:sz="0" w:space="0" w:color="auto"/>
            <w:left w:val="none" w:sz="0" w:space="0" w:color="auto"/>
            <w:bottom w:val="none" w:sz="0" w:space="0" w:color="auto"/>
            <w:right w:val="none" w:sz="0" w:space="0" w:color="auto"/>
          </w:divBdr>
        </w:div>
      </w:divsChild>
    </w:div>
    <w:div w:id="1623918451">
      <w:bodyDiv w:val="1"/>
      <w:marLeft w:val="0"/>
      <w:marRight w:val="0"/>
      <w:marTop w:val="0"/>
      <w:marBottom w:val="0"/>
      <w:divBdr>
        <w:top w:val="none" w:sz="0" w:space="0" w:color="auto"/>
        <w:left w:val="none" w:sz="0" w:space="0" w:color="auto"/>
        <w:bottom w:val="none" w:sz="0" w:space="0" w:color="auto"/>
        <w:right w:val="none" w:sz="0" w:space="0" w:color="auto"/>
      </w:divBdr>
    </w:div>
    <w:div w:id="1641885574">
      <w:bodyDiv w:val="1"/>
      <w:marLeft w:val="0"/>
      <w:marRight w:val="0"/>
      <w:marTop w:val="0"/>
      <w:marBottom w:val="0"/>
      <w:divBdr>
        <w:top w:val="none" w:sz="0" w:space="0" w:color="auto"/>
        <w:left w:val="none" w:sz="0" w:space="0" w:color="auto"/>
        <w:bottom w:val="none" w:sz="0" w:space="0" w:color="auto"/>
        <w:right w:val="none" w:sz="0" w:space="0" w:color="auto"/>
      </w:divBdr>
    </w:div>
    <w:div w:id="1643195864">
      <w:bodyDiv w:val="1"/>
      <w:marLeft w:val="0"/>
      <w:marRight w:val="0"/>
      <w:marTop w:val="0"/>
      <w:marBottom w:val="0"/>
      <w:divBdr>
        <w:top w:val="none" w:sz="0" w:space="0" w:color="auto"/>
        <w:left w:val="none" w:sz="0" w:space="0" w:color="auto"/>
        <w:bottom w:val="none" w:sz="0" w:space="0" w:color="auto"/>
        <w:right w:val="none" w:sz="0" w:space="0" w:color="auto"/>
      </w:divBdr>
    </w:div>
    <w:div w:id="1647201327">
      <w:bodyDiv w:val="1"/>
      <w:marLeft w:val="0"/>
      <w:marRight w:val="0"/>
      <w:marTop w:val="0"/>
      <w:marBottom w:val="0"/>
      <w:divBdr>
        <w:top w:val="none" w:sz="0" w:space="0" w:color="auto"/>
        <w:left w:val="none" w:sz="0" w:space="0" w:color="auto"/>
        <w:bottom w:val="none" w:sz="0" w:space="0" w:color="auto"/>
        <w:right w:val="none" w:sz="0" w:space="0" w:color="auto"/>
      </w:divBdr>
    </w:div>
    <w:div w:id="1654916870">
      <w:bodyDiv w:val="1"/>
      <w:marLeft w:val="0"/>
      <w:marRight w:val="0"/>
      <w:marTop w:val="0"/>
      <w:marBottom w:val="0"/>
      <w:divBdr>
        <w:top w:val="none" w:sz="0" w:space="0" w:color="auto"/>
        <w:left w:val="none" w:sz="0" w:space="0" w:color="auto"/>
        <w:bottom w:val="none" w:sz="0" w:space="0" w:color="auto"/>
        <w:right w:val="none" w:sz="0" w:space="0" w:color="auto"/>
      </w:divBdr>
    </w:div>
    <w:div w:id="1668627618">
      <w:bodyDiv w:val="1"/>
      <w:marLeft w:val="0"/>
      <w:marRight w:val="0"/>
      <w:marTop w:val="0"/>
      <w:marBottom w:val="0"/>
      <w:divBdr>
        <w:top w:val="none" w:sz="0" w:space="0" w:color="auto"/>
        <w:left w:val="none" w:sz="0" w:space="0" w:color="auto"/>
        <w:bottom w:val="none" w:sz="0" w:space="0" w:color="auto"/>
        <w:right w:val="none" w:sz="0" w:space="0" w:color="auto"/>
      </w:divBdr>
    </w:div>
    <w:div w:id="1669793585">
      <w:bodyDiv w:val="1"/>
      <w:marLeft w:val="0"/>
      <w:marRight w:val="0"/>
      <w:marTop w:val="0"/>
      <w:marBottom w:val="0"/>
      <w:divBdr>
        <w:top w:val="none" w:sz="0" w:space="0" w:color="auto"/>
        <w:left w:val="none" w:sz="0" w:space="0" w:color="auto"/>
        <w:bottom w:val="none" w:sz="0" w:space="0" w:color="auto"/>
        <w:right w:val="none" w:sz="0" w:space="0" w:color="auto"/>
      </w:divBdr>
    </w:div>
    <w:div w:id="1674065846">
      <w:bodyDiv w:val="1"/>
      <w:marLeft w:val="0"/>
      <w:marRight w:val="0"/>
      <w:marTop w:val="0"/>
      <w:marBottom w:val="0"/>
      <w:divBdr>
        <w:top w:val="none" w:sz="0" w:space="0" w:color="auto"/>
        <w:left w:val="none" w:sz="0" w:space="0" w:color="auto"/>
        <w:bottom w:val="none" w:sz="0" w:space="0" w:color="auto"/>
        <w:right w:val="none" w:sz="0" w:space="0" w:color="auto"/>
      </w:divBdr>
      <w:divsChild>
        <w:div w:id="224075357">
          <w:marLeft w:val="0"/>
          <w:marRight w:val="0"/>
          <w:marTop w:val="0"/>
          <w:marBottom w:val="0"/>
          <w:divBdr>
            <w:top w:val="none" w:sz="0" w:space="0" w:color="auto"/>
            <w:left w:val="none" w:sz="0" w:space="0" w:color="auto"/>
            <w:bottom w:val="none" w:sz="0" w:space="0" w:color="auto"/>
            <w:right w:val="none" w:sz="0" w:space="0" w:color="auto"/>
          </w:divBdr>
          <w:divsChild>
            <w:div w:id="215512606">
              <w:marLeft w:val="0"/>
              <w:marRight w:val="0"/>
              <w:marTop w:val="0"/>
              <w:marBottom w:val="0"/>
              <w:divBdr>
                <w:top w:val="single" w:sz="6" w:space="0" w:color="CCCCCC"/>
                <w:left w:val="none" w:sz="0" w:space="0" w:color="CCCCCC"/>
                <w:bottom w:val="single" w:sz="6" w:space="0" w:color="CCCCCC"/>
                <w:right w:val="none" w:sz="0" w:space="8" w:color="CCCCCC"/>
              </w:divBdr>
              <w:divsChild>
                <w:div w:id="754060379">
                  <w:marLeft w:val="45"/>
                  <w:marRight w:val="75"/>
                  <w:marTop w:val="0"/>
                  <w:marBottom w:val="0"/>
                  <w:divBdr>
                    <w:top w:val="none" w:sz="0" w:space="0" w:color="auto"/>
                    <w:left w:val="none" w:sz="0" w:space="0" w:color="auto"/>
                    <w:bottom w:val="none" w:sz="0" w:space="0" w:color="auto"/>
                    <w:right w:val="none" w:sz="0" w:space="0" w:color="auto"/>
                  </w:divBdr>
                </w:div>
                <w:div w:id="1853641928">
                  <w:marLeft w:val="225"/>
                  <w:marRight w:val="0"/>
                  <w:marTop w:val="0"/>
                  <w:marBottom w:val="0"/>
                  <w:divBdr>
                    <w:top w:val="none" w:sz="0" w:space="0" w:color="auto"/>
                    <w:left w:val="none" w:sz="0" w:space="0" w:color="auto"/>
                    <w:bottom w:val="none" w:sz="0" w:space="0" w:color="auto"/>
                    <w:right w:val="none" w:sz="0" w:space="0" w:color="auto"/>
                  </w:divBdr>
                </w:div>
              </w:divsChild>
            </w:div>
            <w:div w:id="898134378">
              <w:marLeft w:val="0"/>
              <w:marRight w:val="150"/>
              <w:marTop w:val="0"/>
              <w:marBottom w:val="0"/>
              <w:divBdr>
                <w:top w:val="none" w:sz="0" w:space="0" w:color="auto"/>
                <w:left w:val="none" w:sz="0" w:space="0" w:color="auto"/>
                <w:bottom w:val="none" w:sz="0" w:space="0" w:color="auto"/>
                <w:right w:val="none" w:sz="0" w:space="0" w:color="auto"/>
              </w:divBdr>
              <w:divsChild>
                <w:div w:id="1077283792">
                  <w:marLeft w:val="0"/>
                  <w:marRight w:val="0"/>
                  <w:marTop w:val="0"/>
                  <w:marBottom w:val="0"/>
                  <w:divBdr>
                    <w:top w:val="none" w:sz="0" w:space="0" w:color="auto"/>
                    <w:left w:val="none" w:sz="0" w:space="0" w:color="auto"/>
                    <w:bottom w:val="none" w:sz="0" w:space="0" w:color="auto"/>
                    <w:right w:val="none" w:sz="0" w:space="0" w:color="auto"/>
                  </w:divBdr>
                  <w:divsChild>
                    <w:div w:id="42889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843943">
      <w:bodyDiv w:val="1"/>
      <w:marLeft w:val="0"/>
      <w:marRight w:val="0"/>
      <w:marTop w:val="0"/>
      <w:marBottom w:val="0"/>
      <w:divBdr>
        <w:top w:val="none" w:sz="0" w:space="0" w:color="auto"/>
        <w:left w:val="none" w:sz="0" w:space="0" w:color="auto"/>
        <w:bottom w:val="none" w:sz="0" w:space="0" w:color="auto"/>
        <w:right w:val="none" w:sz="0" w:space="0" w:color="auto"/>
      </w:divBdr>
    </w:div>
    <w:div w:id="1720862268">
      <w:bodyDiv w:val="1"/>
      <w:marLeft w:val="0"/>
      <w:marRight w:val="0"/>
      <w:marTop w:val="0"/>
      <w:marBottom w:val="0"/>
      <w:divBdr>
        <w:top w:val="none" w:sz="0" w:space="0" w:color="auto"/>
        <w:left w:val="none" w:sz="0" w:space="0" w:color="auto"/>
        <w:bottom w:val="none" w:sz="0" w:space="0" w:color="auto"/>
        <w:right w:val="none" w:sz="0" w:space="0" w:color="auto"/>
      </w:divBdr>
      <w:divsChild>
        <w:div w:id="1565753286">
          <w:marLeft w:val="0"/>
          <w:marRight w:val="0"/>
          <w:marTop w:val="0"/>
          <w:marBottom w:val="0"/>
          <w:divBdr>
            <w:top w:val="none" w:sz="0" w:space="0" w:color="auto"/>
            <w:left w:val="none" w:sz="0" w:space="0" w:color="auto"/>
            <w:bottom w:val="none" w:sz="0" w:space="0" w:color="auto"/>
            <w:right w:val="none" w:sz="0" w:space="0" w:color="auto"/>
          </w:divBdr>
        </w:div>
        <w:div w:id="1108701551">
          <w:marLeft w:val="0"/>
          <w:marRight w:val="0"/>
          <w:marTop w:val="0"/>
          <w:marBottom w:val="0"/>
          <w:divBdr>
            <w:top w:val="none" w:sz="0" w:space="0" w:color="auto"/>
            <w:left w:val="none" w:sz="0" w:space="0" w:color="auto"/>
            <w:bottom w:val="none" w:sz="0" w:space="0" w:color="auto"/>
            <w:right w:val="none" w:sz="0" w:space="0" w:color="auto"/>
          </w:divBdr>
        </w:div>
      </w:divsChild>
    </w:div>
    <w:div w:id="1728799310">
      <w:bodyDiv w:val="1"/>
      <w:marLeft w:val="0"/>
      <w:marRight w:val="0"/>
      <w:marTop w:val="0"/>
      <w:marBottom w:val="0"/>
      <w:divBdr>
        <w:top w:val="none" w:sz="0" w:space="0" w:color="auto"/>
        <w:left w:val="none" w:sz="0" w:space="0" w:color="auto"/>
        <w:bottom w:val="none" w:sz="0" w:space="0" w:color="auto"/>
        <w:right w:val="none" w:sz="0" w:space="0" w:color="auto"/>
      </w:divBdr>
    </w:div>
    <w:div w:id="1734238391">
      <w:bodyDiv w:val="1"/>
      <w:marLeft w:val="0"/>
      <w:marRight w:val="0"/>
      <w:marTop w:val="0"/>
      <w:marBottom w:val="0"/>
      <w:divBdr>
        <w:top w:val="none" w:sz="0" w:space="0" w:color="auto"/>
        <w:left w:val="none" w:sz="0" w:space="0" w:color="auto"/>
        <w:bottom w:val="none" w:sz="0" w:space="0" w:color="auto"/>
        <w:right w:val="none" w:sz="0" w:space="0" w:color="auto"/>
      </w:divBdr>
    </w:div>
    <w:div w:id="1747871833">
      <w:bodyDiv w:val="1"/>
      <w:marLeft w:val="0"/>
      <w:marRight w:val="0"/>
      <w:marTop w:val="0"/>
      <w:marBottom w:val="0"/>
      <w:divBdr>
        <w:top w:val="none" w:sz="0" w:space="0" w:color="auto"/>
        <w:left w:val="none" w:sz="0" w:space="0" w:color="auto"/>
        <w:bottom w:val="none" w:sz="0" w:space="0" w:color="auto"/>
        <w:right w:val="none" w:sz="0" w:space="0" w:color="auto"/>
      </w:divBdr>
    </w:div>
    <w:div w:id="1749814084">
      <w:bodyDiv w:val="1"/>
      <w:marLeft w:val="0"/>
      <w:marRight w:val="0"/>
      <w:marTop w:val="0"/>
      <w:marBottom w:val="0"/>
      <w:divBdr>
        <w:top w:val="none" w:sz="0" w:space="0" w:color="auto"/>
        <w:left w:val="none" w:sz="0" w:space="0" w:color="auto"/>
        <w:bottom w:val="none" w:sz="0" w:space="0" w:color="auto"/>
        <w:right w:val="none" w:sz="0" w:space="0" w:color="auto"/>
      </w:divBdr>
      <w:divsChild>
        <w:div w:id="1281958819">
          <w:marLeft w:val="0"/>
          <w:marRight w:val="0"/>
          <w:marTop w:val="0"/>
          <w:marBottom w:val="0"/>
          <w:divBdr>
            <w:top w:val="none" w:sz="0" w:space="0" w:color="auto"/>
            <w:left w:val="none" w:sz="0" w:space="0" w:color="auto"/>
            <w:bottom w:val="none" w:sz="0" w:space="0" w:color="auto"/>
            <w:right w:val="none" w:sz="0" w:space="0" w:color="auto"/>
          </w:divBdr>
        </w:div>
        <w:div w:id="1230848834">
          <w:marLeft w:val="0"/>
          <w:marRight w:val="0"/>
          <w:marTop w:val="0"/>
          <w:marBottom w:val="0"/>
          <w:divBdr>
            <w:top w:val="none" w:sz="0" w:space="0" w:color="auto"/>
            <w:left w:val="none" w:sz="0" w:space="0" w:color="auto"/>
            <w:bottom w:val="none" w:sz="0" w:space="0" w:color="auto"/>
            <w:right w:val="none" w:sz="0" w:space="0" w:color="auto"/>
          </w:divBdr>
        </w:div>
      </w:divsChild>
    </w:div>
    <w:div w:id="1781223649">
      <w:bodyDiv w:val="1"/>
      <w:marLeft w:val="0"/>
      <w:marRight w:val="0"/>
      <w:marTop w:val="0"/>
      <w:marBottom w:val="0"/>
      <w:divBdr>
        <w:top w:val="none" w:sz="0" w:space="0" w:color="auto"/>
        <w:left w:val="none" w:sz="0" w:space="0" w:color="auto"/>
        <w:bottom w:val="none" w:sz="0" w:space="0" w:color="auto"/>
        <w:right w:val="none" w:sz="0" w:space="0" w:color="auto"/>
      </w:divBdr>
    </w:div>
    <w:div w:id="1790051346">
      <w:bodyDiv w:val="1"/>
      <w:marLeft w:val="0"/>
      <w:marRight w:val="0"/>
      <w:marTop w:val="0"/>
      <w:marBottom w:val="0"/>
      <w:divBdr>
        <w:top w:val="none" w:sz="0" w:space="0" w:color="auto"/>
        <w:left w:val="none" w:sz="0" w:space="0" w:color="auto"/>
        <w:bottom w:val="none" w:sz="0" w:space="0" w:color="auto"/>
        <w:right w:val="none" w:sz="0" w:space="0" w:color="auto"/>
      </w:divBdr>
      <w:divsChild>
        <w:div w:id="2128311380">
          <w:marLeft w:val="0"/>
          <w:marRight w:val="0"/>
          <w:marTop w:val="0"/>
          <w:marBottom w:val="0"/>
          <w:divBdr>
            <w:top w:val="none" w:sz="0" w:space="0" w:color="auto"/>
            <w:left w:val="none" w:sz="0" w:space="0" w:color="auto"/>
            <w:bottom w:val="none" w:sz="0" w:space="0" w:color="auto"/>
            <w:right w:val="none" w:sz="0" w:space="0" w:color="auto"/>
          </w:divBdr>
        </w:div>
        <w:div w:id="1855876900">
          <w:marLeft w:val="0"/>
          <w:marRight w:val="0"/>
          <w:marTop w:val="0"/>
          <w:marBottom w:val="0"/>
          <w:divBdr>
            <w:top w:val="none" w:sz="0" w:space="0" w:color="auto"/>
            <w:left w:val="none" w:sz="0" w:space="0" w:color="auto"/>
            <w:bottom w:val="none" w:sz="0" w:space="0" w:color="auto"/>
            <w:right w:val="none" w:sz="0" w:space="0" w:color="auto"/>
          </w:divBdr>
        </w:div>
      </w:divsChild>
    </w:div>
    <w:div w:id="1800300825">
      <w:bodyDiv w:val="1"/>
      <w:marLeft w:val="0"/>
      <w:marRight w:val="0"/>
      <w:marTop w:val="0"/>
      <w:marBottom w:val="0"/>
      <w:divBdr>
        <w:top w:val="none" w:sz="0" w:space="0" w:color="auto"/>
        <w:left w:val="none" w:sz="0" w:space="0" w:color="auto"/>
        <w:bottom w:val="none" w:sz="0" w:space="0" w:color="auto"/>
        <w:right w:val="none" w:sz="0" w:space="0" w:color="auto"/>
      </w:divBdr>
    </w:div>
    <w:div w:id="1834909347">
      <w:bodyDiv w:val="1"/>
      <w:marLeft w:val="0"/>
      <w:marRight w:val="0"/>
      <w:marTop w:val="0"/>
      <w:marBottom w:val="0"/>
      <w:divBdr>
        <w:top w:val="none" w:sz="0" w:space="0" w:color="auto"/>
        <w:left w:val="none" w:sz="0" w:space="0" w:color="auto"/>
        <w:bottom w:val="none" w:sz="0" w:space="0" w:color="auto"/>
        <w:right w:val="none" w:sz="0" w:space="0" w:color="auto"/>
      </w:divBdr>
    </w:div>
    <w:div w:id="1849753817">
      <w:bodyDiv w:val="1"/>
      <w:marLeft w:val="0"/>
      <w:marRight w:val="0"/>
      <w:marTop w:val="0"/>
      <w:marBottom w:val="0"/>
      <w:divBdr>
        <w:top w:val="none" w:sz="0" w:space="0" w:color="auto"/>
        <w:left w:val="none" w:sz="0" w:space="0" w:color="auto"/>
        <w:bottom w:val="none" w:sz="0" w:space="0" w:color="auto"/>
        <w:right w:val="none" w:sz="0" w:space="0" w:color="auto"/>
      </w:divBdr>
    </w:div>
    <w:div w:id="1854877081">
      <w:bodyDiv w:val="1"/>
      <w:marLeft w:val="0"/>
      <w:marRight w:val="0"/>
      <w:marTop w:val="0"/>
      <w:marBottom w:val="0"/>
      <w:divBdr>
        <w:top w:val="none" w:sz="0" w:space="0" w:color="auto"/>
        <w:left w:val="none" w:sz="0" w:space="0" w:color="auto"/>
        <w:bottom w:val="none" w:sz="0" w:space="0" w:color="auto"/>
        <w:right w:val="none" w:sz="0" w:space="0" w:color="auto"/>
      </w:divBdr>
      <w:divsChild>
        <w:div w:id="1039863814">
          <w:marLeft w:val="0"/>
          <w:marRight w:val="0"/>
          <w:marTop w:val="0"/>
          <w:marBottom w:val="0"/>
          <w:divBdr>
            <w:top w:val="none" w:sz="0" w:space="0" w:color="auto"/>
            <w:left w:val="none" w:sz="0" w:space="0" w:color="auto"/>
            <w:bottom w:val="none" w:sz="0" w:space="0" w:color="auto"/>
            <w:right w:val="none" w:sz="0" w:space="0" w:color="auto"/>
          </w:divBdr>
        </w:div>
        <w:div w:id="1234588544">
          <w:marLeft w:val="0"/>
          <w:marRight w:val="0"/>
          <w:marTop w:val="0"/>
          <w:marBottom w:val="0"/>
          <w:divBdr>
            <w:top w:val="none" w:sz="0" w:space="0" w:color="auto"/>
            <w:left w:val="none" w:sz="0" w:space="0" w:color="auto"/>
            <w:bottom w:val="none" w:sz="0" w:space="0" w:color="auto"/>
            <w:right w:val="none" w:sz="0" w:space="0" w:color="auto"/>
          </w:divBdr>
        </w:div>
      </w:divsChild>
    </w:div>
    <w:div w:id="1890607831">
      <w:bodyDiv w:val="1"/>
      <w:marLeft w:val="0"/>
      <w:marRight w:val="0"/>
      <w:marTop w:val="0"/>
      <w:marBottom w:val="0"/>
      <w:divBdr>
        <w:top w:val="none" w:sz="0" w:space="0" w:color="auto"/>
        <w:left w:val="none" w:sz="0" w:space="0" w:color="auto"/>
        <w:bottom w:val="none" w:sz="0" w:space="0" w:color="auto"/>
        <w:right w:val="none" w:sz="0" w:space="0" w:color="auto"/>
      </w:divBdr>
    </w:div>
    <w:div w:id="1958490284">
      <w:bodyDiv w:val="1"/>
      <w:marLeft w:val="0"/>
      <w:marRight w:val="0"/>
      <w:marTop w:val="0"/>
      <w:marBottom w:val="0"/>
      <w:divBdr>
        <w:top w:val="none" w:sz="0" w:space="0" w:color="auto"/>
        <w:left w:val="none" w:sz="0" w:space="0" w:color="auto"/>
        <w:bottom w:val="none" w:sz="0" w:space="0" w:color="auto"/>
        <w:right w:val="none" w:sz="0" w:space="0" w:color="auto"/>
      </w:divBdr>
    </w:div>
    <w:div w:id="1965699200">
      <w:bodyDiv w:val="1"/>
      <w:marLeft w:val="0"/>
      <w:marRight w:val="0"/>
      <w:marTop w:val="0"/>
      <w:marBottom w:val="0"/>
      <w:divBdr>
        <w:top w:val="none" w:sz="0" w:space="0" w:color="auto"/>
        <w:left w:val="none" w:sz="0" w:space="0" w:color="auto"/>
        <w:bottom w:val="none" w:sz="0" w:space="0" w:color="auto"/>
        <w:right w:val="none" w:sz="0" w:space="0" w:color="auto"/>
      </w:divBdr>
    </w:div>
    <w:div w:id="2006932370">
      <w:bodyDiv w:val="1"/>
      <w:marLeft w:val="0"/>
      <w:marRight w:val="0"/>
      <w:marTop w:val="0"/>
      <w:marBottom w:val="0"/>
      <w:divBdr>
        <w:top w:val="none" w:sz="0" w:space="0" w:color="auto"/>
        <w:left w:val="none" w:sz="0" w:space="0" w:color="auto"/>
        <w:bottom w:val="none" w:sz="0" w:space="0" w:color="auto"/>
        <w:right w:val="none" w:sz="0" w:space="0" w:color="auto"/>
      </w:divBdr>
    </w:div>
    <w:div w:id="2011718581">
      <w:bodyDiv w:val="1"/>
      <w:marLeft w:val="0"/>
      <w:marRight w:val="0"/>
      <w:marTop w:val="0"/>
      <w:marBottom w:val="0"/>
      <w:divBdr>
        <w:top w:val="none" w:sz="0" w:space="0" w:color="auto"/>
        <w:left w:val="none" w:sz="0" w:space="0" w:color="auto"/>
        <w:bottom w:val="none" w:sz="0" w:space="0" w:color="auto"/>
        <w:right w:val="none" w:sz="0" w:space="0" w:color="auto"/>
      </w:divBdr>
      <w:divsChild>
        <w:div w:id="1774781756">
          <w:marLeft w:val="0"/>
          <w:marRight w:val="0"/>
          <w:marTop w:val="0"/>
          <w:marBottom w:val="0"/>
          <w:divBdr>
            <w:top w:val="none" w:sz="0" w:space="0" w:color="auto"/>
            <w:left w:val="none" w:sz="0" w:space="0" w:color="auto"/>
            <w:bottom w:val="none" w:sz="0" w:space="0" w:color="auto"/>
            <w:right w:val="none" w:sz="0" w:space="0" w:color="auto"/>
          </w:divBdr>
        </w:div>
        <w:div w:id="333145712">
          <w:marLeft w:val="0"/>
          <w:marRight w:val="0"/>
          <w:marTop w:val="0"/>
          <w:marBottom w:val="0"/>
          <w:divBdr>
            <w:top w:val="none" w:sz="0" w:space="0" w:color="auto"/>
            <w:left w:val="none" w:sz="0" w:space="0" w:color="auto"/>
            <w:bottom w:val="none" w:sz="0" w:space="0" w:color="auto"/>
            <w:right w:val="none" w:sz="0" w:space="0" w:color="auto"/>
          </w:divBdr>
        </w:div>
      </w:divsChild>
    </w:div>
    <w:div w:id="2030839155">
      <w:bodyDiv w:val="1"/>
      <w:marLeft w:val="0"/>
      <w:marRight w:val="0"/>
      <w:marTop w:val="0"/>
      <w:marBottom w:val="0"/>
      <w:divBdr>
        <w:top w:val="none" w:sz="0" w:space="0" w:color="auto"/>
        <w:left w:val="none" w:sz="0" w:space="0" w:color="auto"/>
        <w:bottom w:val="none" w:sz="0" w:space="0" w:color="auto"/>
        <w:right w:val="none" w:sz="0" w:space="0" w:color="auto"/>
      </w:divBdr>
    </w:div>
    <w:div w:id="2031829658">
      <w:bodyDiv w:val="1"/>
      <w:marLeft w:val="0"/>
      <w:marRight w:val="0"/>
      <w:marTop w:val="0"/>
      <w:marBottom w:val="0"/>
      <w:divBdr>
        <w:top w:val="none" w:sz="0" w:space="0" w:color="auto"/>
        <w:left w:val="none" w:sz="0" w:space="0" w:color="auto"/>
        <w:bottom w:val="none" w:sz="0" w:space="0" w:color="auto"/>
        <w:right w:val="none" w:sz="0" w:space="0" w:color="auto"/>
      </w:divBdr>
      <w:divsChild>
        <w:div w:id="164980379">
          <w:marLeft w:val="0"/>
          <w:marRight w:val="0"/>
          <w:marTop w:val="0"/>
          <w:marBottom w:val="0"/>
          <w:divBdr>
            <w:top w:val="none" w:sz="0" w:space="0" w:color="auto"/>
            <w:left w:val="none" w:sz="0" w:space="0" w:color="auto"/>
            <w:bottom w:val="none" w:sz="0" w:space="0" w:color="auto"/>
            <w:right w:val="none" w:sz="0" w:space="0" w:color="auto"/>
          </w:divBdr>
          <w:divsChild>
            <w:div w:id="207488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565909">
      <w:bodyDiv w:val="1"/>
      <w:marLeft w:val="0"/>
      <w:marRight w:val="0"/>
      <w:marTop w:val="0"/>
      <w:marBottom w:val="0"/>
      <w:divBdr>
        <w:top w:val="none" w:sz="0" w:space="0" w:color="auto"/>
        <w:left w:val="none" w:sz="0" w:space="0" w:color="auto"/>
        <w:bottom w:val="none" w:sz="0" w:space="0" w:color="auto"/>
        <w:right w:val="none" w:sz="0" w:space="0" w:color="auto"/>
      </w:divBdr>
    </w:div>
    <w:div w:id="2033609349">
      <w:bodyDiv w:val="1"/>
      <w:marLeft w:val="0"/>
      <w:marRight w:val="0"/>
      <w:marTop w:val="0"/>
      <w:marBottom w:val="0"/>
      <w:divBdr>
        <w:top w:val="none" w:sz="0" w:space="0" w:color="auto"/>
        <w:left w:val="none" w:sz="0" w:space="0" w:color="auto"/>
        <w:bottom w:val="none" w:sz="0" w:space="0" w:color="auto"/>
        <w:right w:val="none" w:sz="0" w:space="0" w:color="auto"/>
      </w:divBdr>
    </w:div>
    <w:div w:id="2069185806">
      <w:bodyDiv w:val="1"/>
      <w:marLeft w:val="0"/>
      <w:marRight w:val="0"/>
      <w:marTop w:val="0"/>
      <w:marBottom w:val="0"/>
      <w:divBdr>
        <w:top w:val="none" w:sz="0" w:space="0" w:color="auto"/>
        <w:left w:val="none" w:sz="0" w:space="0" w:color="auto"/>
        <w:bottom w:val="none" w:sz="0" w:space="0" w:color="auto"/>
        <w:right w:val="none" w:sz="0" w:space="0" w:color="auto"/>
      </w:divBdr>
    </w:div>
    <w:div w:id="2069496684">
      <w:bodyDiv w:val="1"/>
      <w:marLeft w:val="0"/>
      <w:marRight w:val="0"/>
      <w:marTop w:val="0"/>
      <w:marBottom w:val="0"/>
      <w:divBdr>
        <w:top w:val="none" w:sz="0" w:space="0" w:color="auto"/>
        <w:left w:val="none" w:sz="0" w:space="0" w:color="auto"/>
        <w:bottom w:val="none" w:sz="0" w:space="0" w:color="auto"/>
        <w:right w:val="none" w:sz="0" w:space="0" w:color="auto"/>
      </w:divBdr>
      <w:divsChild>
        <w:div w:id="637151738">
          <w:marLeft w:val="0"/>
          <w:marRight w:val="0"/>
          <w:marTop w:val="0"/>
          <w:marBottom w:val="0"/>
          <w:divBdr>
            <w:top w:val="none" w:sz="0" w:space="0" w:color="auto"/>
            <w:left w:val="none" w:sz="0" w:space="0" w:color="auto"/>
            <w:bottom w:val="none" w:sz="0" w:space="0" w:color="auto"/>
            <w:right w:val="none" w:sz="0" w:space="0" w:color="auto"/>
          </w:divBdr>
          <w:divsChild>
            <w:div w:id="1544829447">
              <w:marLeft w:val="0"/>
              <w:marRight w:val="0"/>
              <w:marTop w:val="0"/>
              <w:marBottom w:val="0"/>
              <w:divBdr>
                <w:top w:val="none" w:sz="0" w:space="0" w:color="auto"/>
                <w:left w:val="none" w:sz="0" w:space="0" w:color="auto"/>
                <w:bottom w:val="none" w:sz="0" w:space="0" w:color="auto"/>
                <w:right w:val="none" w:sz="0" w:space="0" w:color="auto"/>
              </w:divBdr>
            </w:div>
          </w:divsChild>
        </w:div>
        <w:div w:id="229770895">
          <w:marLeft w:val="0"/>
          <w:marRight w:val="0"/>
          <w:marTop w:val="0"/>
          <w:marBottom w:val="0"/>
          <w:divBdr>
            <w:top w:val="none" w:sz="0" w:space="0" w:color="auto"/>
            <w:left w:val="none" w:sz="0" w:space="0" w:color="auto"/>
            <w:bottom w:val="none" w:sz="0" w:space="0" w:color="auto"/>
            <w:right w:val="none" w:sz="0" w:space="0" w:color="auto"/>
          </w:divBdr>
          <w:divsChild>
            <w:div w:id="1786385563">
              <w:marLeft w:val="0"/>
              <w:marRight w:val="0"/>
              <w:marTop w:val="0"/>
              <w:marBottom w:val="0"/>
              <w:divBdr>
                <w:top w:val="none" w:sz="0" w:space="0" w:color="auto"/>
                <w:left w:val="none" w:sz="0" w:space="0" w:color="auto"/>
                <w:bottom w:val="none" w:sz="0" w:space="0" w:color="auto"/>
                <w:right w:val="none" w:sz="0" w:space="0" w:color="auto"/>
              </w:divBdr>
            </w:div>
          </w:divsChild>
        </w:div>
        <w:div w:id="2137749405">
          <w:marLeft w:val="0"/>
          <w:marRight w:val="0"/>
          <w:marTop w:val="0"/>
          <w:marBottom w:val="0"/>
          <w:divBdr>
            <w:top w:val="none" w:sz="0" w:space="0" w:color="auto"/>
            <w:left w:val="none" w:sz="0" w:space="0" w:color="auto"/>
            <w:bottom w:val="none" w:sz="0" w:space="0" w:color="auto"/>
            <w:right w:val="none" w:sz="0" w:space="0" w:color="auto"/>
          </w:divBdr>
          <w:divsChild>
            <w:div w:id="631209656">
              <w:marLeft w:val="0"/>
              <w:marRight w:val="0"/>
              <w:marTop w:val="0"/>
              <w:marBottom w:val="0"/>
              <w:divBdr>
                <w:top w:val="none" w:sz="0" w:space="0" w:color="auto"/>
                <w:left w:val="none" w:sz="0" w:space="0" w:color="auto"/>
                <w:bottom w:val="none" w:sz="0" w:space="0" w:color="auto"/>
                <w:right w:val="none" w:sz="0" w:space="0" w:color="auto"/>
              </w:divBdr>
            </w:div>
          </w:divsChild>
        </w:div>
        <w:div w:id="675183215">
          <w:marLeft w:val="0"/>
          <w:marRight w:val="0"/>
          <w:marTop w:val="0"/>
          <w:marBottom w:val="0"/>
          <w:divBdr>
            <w:top w:val="none" w:sz="0" w:space="0" w:color="auto"/>
            <w:left w:val="none" w:sz="0" w:space="0" w:color="auto"/>
            <w:bottom w:val="none" w:sz="0" w:space="0" w:color="auto"/>
            <w:right w:val="none" w:sz="0" w:space="0" w:color="auto"/>
          </w:divBdr>
          <w:divsChild>
            <w:div w:id="1954895045">
              <w:marLeft w:val="0"/>
              <w:marRight w:val="0"/>
              <w:marTop w:val="0"/>
              <w:marBottom w:val="0"/>
              <w:divBdr>
                <w:top w:val="none" w:sz="0" w:space="0" w:color="auto"/>
                <w:left w:val="none" w:sz="0" w:space="0" w:color="auto"/>
                <w:bottom w:val="none" w:sz="0" w:space="0" w:color="auto"/>
                <w:right w:val="none" w:sz="0" w:space="0" w:color="auto"/>
              </w:divBdr>
            </w:div>
          </w:divsChild>
        </w:div>
        <w:div w:id="765613777">
          <w:marLeft w:val="0"/>
          <w:marRight w:val="0"/>
          <w:marTop w:val="0"/>
          <w:marBottom w:val="0"/>
          <w:divBdr>
            <w:top w:val="none" w:sz="0" w:space="0" w:color="auto"/>
            <w:left w:val="none" w:sz="0" w:space="0" w:color="auto"/>
            <w:bottom w:val="none" w:sz="0" w:space="0" w:color="auto"/>
            <w:right w:val="none" w:sz="0" w:space="0" w:color="auto"/>
          </w:divBdr>
          <w:divsChild>
            <w:div w:id="779573899">
              <w:marLeft w:val="0"/>
              <w:marRight w:val="0"/>
              <w:marTop w:val="0"/>
              <w:marBottom w:val="0"/>
              <w:divBdr>
                <w:top w:val="none" w:sz="0" w:space="0" w:color="auto"/>
                <w:left w:val="none" w:sz="0" w:space="0" w:color="auto"/>
                <w:bottom w:val="none" w:sz="0" w:space="0" w:color="auto"/>
                <w:right w:val="none" w:sz="0" w:space="0" w:color="auto"/>
              </w:divBdr>
            </w:div>
          </w:divsChild>
        </w:div>
        <w:div w:id="1149705985">
          <w:marLeft w:val="0"/>
          <w:marRight w:val="0"/>
          <w:marTop w:val="0"/>
          <w:marBottom w:val="0"/>
          <w:divBdr>
            <w:top w:val="none" w:sz="0" w:space="0" w:color="auto"/>
            <w:left w:val="none" w:sz="0" w:space="0" w:color="auto"/>
            <w:bottom w:val="none" w:sz="0" w:space="0" w:color="auto"/>
            <w:right w:val="none" w:sz="0" w:space="0" w:color="auto"/>
          </w:divBdr>
          <w:divsChild>
            <w:div w:id="1044333354">
              <w:marLeft w:val="0"/>
              <w:marRight w:val="0"/>
              <w:marTop w:val="0"/>
              <w:marBottom w:val="0"/>
              <w:divBdr>
                <w:top w:val="none" w:sz="0" w:space="0" w:color="auto"/>
                <w:left w:val="none" w:sz="0" w:space="0" w:color="auto"/>
                <w:bottom w:val="none" w:sz="0" w:space="0" w:color="auto"/>
                <w:right w:val="none" w:sz="0" w:space="0" w:color="auto"/>
              </w:divBdr>
            </w:div>
          </w:divsChild>
        </w:div>
        <w:div w:id="1748991298">
          <w:marLeft w:val="0"/>
          <w:marRight w:val="0"/>
          <w:marTop w:val="0"/>
          <w:marBottom w:val="0"/>
          <w:divBdr>
            <w:top w:val="none" w:sz="0" w:space="0" w:color="auto"/>
            <w:left w:val="none" w:sz="0" w:space="0" w:color="auto"/>
            <w:bottom w:val="none" w:sz="0" w:space="0" w:color="auto"/>
            <w:right w:val="none" w:sz="0" w:space="0" w:color="auto"/>
          </w:divBdr>
          <w:divsChild>
            <w:div w:id="14696535">
              <w:marLeft w:val="0"/>
              <w:marRight w:val="0"/>
              <w:marTop w:val="0"/>
              <w:marBottom w:val="0"/>
              <w:divBdr>
                <w:top w:val="none" w:sz="0" w:space="0" w:color="auto"/>
                <w:left w:val="none" w:sz="0" w:space="0" w:color="auto"/>
                <w:bottom w:val="none" w:sz="0" w:space="0" w:color="auto"/>
                <w:right w:val="none" w:sz="0" w:space="0" w:color="auto"/>
              </w:divBdr>
            </w:div>
          </w:divsChild>
        </w:div>
        <w:div w:id="1800302460">
          <w:marLeft w:val="0"/>
          <w:marRight w:val="0"/>
          <w:marTop w:val="0"/>
          <w:marBottom w:val="0"/>
          <w:divBdr>
            <w:top w:val="none" w:sz="0" w:space="0" w:color="auto"/>
            <w:left w:val="none" w:sz="0" w:space="0" w:color="auto"/>
            <w:bottom w:val="none" w:sz="0" w:space="0" w:color="auto"/>
            <w:right w:val="none" w:sz="0" w:space="0" w:color="auto"/>
          </w:divBdr>
          <w:divsChild>
            <w:div w:id="1734890231">
              <w:marLeft w:val="0"/>
              <w:marRight w:val="0"/>
              <w:marTop w:val="0"/>
              <w:marBottom w:val="0"/>
              <w:divBdr>
                <w:top w:val="none" w:sz="0" w:space="0" w:color="auto"/>
                <w:left w:val="none" w:sz="0" w:space="0" w:color="auto"/>
                <w:bottom w:val="none" w:sz="0" w:space="0" w:color="auto"/>
                <w:right w:val="none" w:sz="0" w:space="0" w:color="auto"/>
              </w:divBdr>
            </w:div>
          </w:divsChild>
        </w:div>
        <w:div w:id="516239078">
          <w:marLeft w:val="0"/>
          <w:marRight w:val="0"/>
          <w:marTop w:val="0"/>
          <w:marBottom w:val="0"/>
          <w:divBdr>
            <w:top w:val="none" w:sz="0" w:space="0" w:color="auto"/>
            <w:left w:val="none" w:sz="0" w:space="0" w:color="auto"/>
            <w:bottom w:val="none" w:sz="0" w:space="0" w:color="auto"/>
            <w:right w:val="none" w:sz="0" w:space="0" w:color="auto"/>
          </w:divBdr>
          <w:divsChild>
            <w:div w:id="139545786">
              <w:marLeft w:val="0"/>
              <w:marRight w:val="0"/>
              <w:marTop w:val="0"/>
              <w:marBottom w:val="0"/>
              <w:divBdr>
                <w:top w:val="none" w:sz="0" w:space="0" w:color="auto"/>
                <w:left w:val="none" w:sz="0" w:space="0" w:color="auto"/>
                <w:bottom w:val="none" w:sz="0" w:space="0" w:color="auto"/>
                <w:right w:val="none" w:sz="0" w:space="0" w:color="auto"/>
              </w:divBdr>
            </w:div>
          </w:divsChild>
        </w:div>
        <w:div w:id="301420900">
          <w:marLeft w:val="0"/>
          <w:marRight w:val="0"/>
          <w:marTop w:val="0"/>
          <w:marBottom w:val="0"/>
          <w:divBdr>
            <w:top w:val="none" w:sz="0" w:space="0" w:color="auto"/>
            <w:left w:val="none" w:sz="0" w:space="0" w:color="auto"/>
            <w:bottom w:val="none" w:sz="0" w:space="0" w:color="auto"/>
            <w:right w:val="none" w:sz="0" w:space="0" w:color="auto"/>
          </w:divBdr>
          <w:divsChild>
            <w:div w:id="1056781429">
              <w:marLeft w:val="0"/>
              <w:marRight w:val="0"/>
              <w:marTop w:val="0"/>
              <w:marBottom w:val="0"/>
              <w:divBdr>
                <w:top w:val="none" w:sz="0" w:space="0" w:color="auto"/>
                <w:left w:val="none" w:sz="0" w:space="0" w:color="auto"/>
                <w:bottom w:val="none" w:sz="0" w:space="0" w:color="auto"/>
                <w:right w:val="none" w:sz="0" w:space="0" w:color="auto"/>
              </w:divBdr>
            </w:div>
          </w:divsChild>
        </w:div>
        <w:div w:id="1432319628">
          <w:marLeft w:val="0"/>
          <w:marRight w:val="0"/>
          <w:marTop w:val="0"/>
          <w:marBottom w:val="0"/>
          <w:divBdr>
            <w:top w:val="none" w:sz="0" w:space="0" w:color="auto"/>
            <w:left w:val="none" w:sz="0" w:space="0" w:color="auto"/>
            <w:bottom w:val="none" w:sz="0" w:space="0" w:color="auto"/>
            <w:right w:val="none" w:sz="0" w:space="0" w:color="auto"/>
          </w:divBdr>
          <w:divsChild>
            <w:div w:id="368184119">
              <w:marLeft w:val="0"/>
              <w:marRight w:val="0"/>
              <w:marTop w:val="0"/>
              <w:marBottom w:val="0"/>
              <w:divBdr>
                <w:top w:val="none" w:sz="0" w:space="0" w:color="auto"/>
                <w:left w:val="none" w:sz="0" w:space="0" w:color="auto"/>
                <w:bottom w:val="none" w:sz="0" w:space="0" w:color="auto"/>
                <w:right w:val="none" w:sz="0" w:space="0" w:color="auto"/>
              </w:divBdr>
            </w:div>
          </w:divsChild>
        </w:div>
        <w:div w:id="596256548">
          <w:marLeft w:val="0"/>
          <w:marRight w:val="0"/>
          <w:marTop w:val="0"/>
          <w:marBottom w:val="0"/>
          <w:divBdr>
            <w:top w:val="none" w:sz="0" w:space="0" w:color="auto"/>
            <w:left w:val="none" w:sz="0" w:space="0" w:color="auto"/>
            <w:bottom w:val="none" w:sz="0" w:space="0" w:color="auto"/>
            <w:right w:val="none" w:sz="0" w:space="0" w:color="auto"/>
          </w:divBdr>
          <w:divsChild>
            <w:div w:id="184490317">
              <w:marLeft w:val="0"/>
              <w:marRight w:val="0"/>
              <w:marTop w:val="0"/>
              <w:marBottom w:val="0"/>
              <w:divBdr>
                <w:top w:val="none" w:sz="0" w:space="0" w:color="auto"/>
                <w:left w:val="none" w:sz="0" w:space="0" w:color="auto"/>
                <w:bottom w:val="none" w:sz="0" w:space="0" w:color="auto"/>
                <w:right w:val="none" w:sz="0" w:space="0" w:color="auto"/>
              </w:divBdr>
            </w:div>
          </w:divsChild>
        </w:div>
        <w:div w:id="1718772579">
          <w:marLeft w:val="0"/>
          <w:marRight w:val="0"/>
          <w:marTop w:val="0"/>
          <w:marBottom w:val="0"/>
          <w:divBdr>
            <w:top w:val="none" w:sz="0" w:space="0" w:color="auto"/>
            <w:left w:val="none" w:sz="0" w:space="0" w:color="auto"/>
            <w:bottom w:val="none" w:sz="0" w:space="0" w:color="auto"/>
            <w:right w:val="none" w:sz="0" w:space="0" w:color="auto"/>
          </w:divBdr>
          <w:divsChild>
            <w:div w:id="282267952">
              <w:marLeft w:val="0"/>
              <w:marRight w:val="0"/>
              <w:marTop w:val="0"/>
              <w:marBottom w:val="0"/>
              <w:divBdr>
                <w:top w:val="none" w:sz="0" w:space="0" w:color="auto"/>
                <w:left w:val="none" w:sz="0" w:space="0" w:color="auto"/>
                <w:bottom w:val="none" w:sz="0" w:space="0" w:color="auto"/>
                <w:right w:val="none" w:sz="0" w:space="0" w:color="auto"/>
              </w:divBdr>
            </w:div>
          </w:divsChild>
        </w:div>
        <w:div w:id="859974674">
          <w:marLeft w:val="0"/>
          <w:marRight w:val="0"/>
          <w:marTop w:val="0"/>
          <w:marBottom w:val="0"/>
          <w:divBdr>
            <w:top w:val="none" w:sz="0" w:space="0" w:color="auto"/>
            <w:left w:val="none" w:sz="0" w:space="0" w:color="auto"/>
            <w:bottom w:val="none" w:sz="0" w:space="0" w:color="auto"/>
            <w:right w:val="none" w:sz="0" w:space="0" w:color="auto"/>
          </w:divBdr>
          <w:divsChild>
            <w:div w:id="1940599139">
              <w:marLeft w:val="0"/>
              <w:marRight w:val="0"/>
              <w:marTop w:val="0"/>
              <w:marBottom w:val="0"/>
              <w:divBdr>
                <w:top w:val="none" w:sz="0" w:space="0" w:color="auto"/>
                <w:left w:val="none" w:sz="0" w:space="0" w:color="auto"/>
                <w:bottom w:val="none" w:sz="0" w:space="0" w:color="auto"/>
                <w:right w:val="none" w:sz="0" w:space="0" w:color="auto"/>
              </w:divBdr>
            </w:div>
          </w:divsChild>
        </w:div>
        <w:div w:id="1681739751">
          <w:marLeft w:val="0"/>
          <w:marRight w:val="0"/>
          <w:marTop w:val="0"/>
          <w:marBottom w:val="0"/>
          <w:divBdr>
            <w:top w:val="none" w:sz="0" w:space="0" w:color="auto"/>
            <w:left w:val="none" w:sz="0" w:space="0" w:color="auto"/>
            <w:bottom w:val="none" w:sz="0" w:space="0" w:color="auto"/>
            <w:right w:val="none" w:sz="0" w:space="0" w:color="auto"/>
          </w:divBdr>
          <w:divsChild>
            <w:div w:id="1101023810">
              <w:marLeft w:val="0"/>
              <w:marRight w:val="0"/>
              <w:marTop w:val="0"/>
              <w:marBottom w:val="0"/>
              <w:divBdr>
                <w:top w:val="none" w:sz="0" w:space="0" w:color="auto"/>
                <w:left w:val="none" w:sz="0" w:space="0" w:color="auto"/>
                <w:bottom w:val="none" w:sz="0" w:space="0" w:color="auto"/>
                <w:right w:val="none" w:sz="0" w:space="0" w:color="auto"/>
              </w:divBdr>
            </w:div>
          </w:divsChild>
        </w:div>
        <w:div w:id="380640150">
          <w:marLeft w:val="0"/>
          <w:marRight w:val="0"/>
          <w:marTop w:val="0"/>
          <w:marBottom w:val="0"/>
          <w:divBdr>
            <w:top w:val="none" w:sz="0" w:space="0" w:color="auto"/>
            <w:left w:val="none" w:sz="0" w:space="0" w:color="auto"/>
            <w:bottom w:val="none" w:sz="0" w:space="0" w:color="auto"/>
            <w:right w:val="none" w:sz="0" w:space="0" w:color="auto"/>
          </w:divBdr>
          <w:divsChild>
            <w:div w:id="1884826377">
              <w:marLeft w:val="0"/>
              <w:marRight w:val="0"/>
              <w:marTop w:val="0"/>
              <w:marBottom w:val="0"/>
              <w:divBdr>
                <w:top w:val="none" w:sz="0" w:space="0" w:color="auto"/>
                <w:left w:val="none" w:sz="0" w:space="0" w:color="auto"/>
                <w:bottom w:val="none" w:sz="0" w:space="0" w:color="auto"/>
                <w:right w:val="none" w:sz="0" w:space="0" w:color="auto"/>
              </w:divBdr>
            </w:div>
          </w:divsChild>
        </w:div>
        <w:div w:id="518356546">
          <w:marLeft w:val="0"/>
          <w:marRight w:val="0"/>
          <w:marTop w:val="0"/>
          <w:marBottom w:val="0"/>
          <w:divBdr>
            <w:top w:val="none" w:sz="0" w:space="0" w:color="auto"/>
            <w:left w:val="none" w:sz="0" w:space="0" w:color="auto"/>
            <w:bottom w:val="none" w:sz="0" w:space="0" w:color="auto"/>
            <w:right w:val="none" w:sz="0" w:space="0" w:color="auto"/>
          </w:divBdr>
          <w:divsChild>
            <w:div w:id="1524857111">
              <w:marLeft w:val="0"/>
              <w:marRight w:val="0"/>
              <w:marTop w:val="0"/>
              <w:marBottom w:val="0"/>
              <w:divBdr>
                <w:top w:val="none" w:sz="0" w:space="0" w:color="auto"/>
                <w:left w:val="none" w:sz="0" w:space="0" w:color="auto"/>
                <w:bottom w:val="none" w:sz="0" w:space="0" w:color="auto"/>
                <w:right w:val="none" w:sz="0" w:space="0" w:color="auto"/>
              </w:divBdr>
            </w:div>
          </w:divsChild>
        </w:div>
        <w:div w:id="1491096289">
          <w:marLeft w:val="0"/>
          <w:marRight w:val="0"/>
          <w:marTop w:val="0"/>
          <w:marBottom w:val="0"/>
          <w:divBdr>
            <w:top w:val="none" w:sz="0" w:space="0" w:color="auto"/>
            <w:left w:val="none" w:sz="0" w:space="0" w:color="auto"/>
            <w:bottom w:val="none" w:sz="0" w:space="0" w:color="auto"/>
            <w:right w:val="none" w:sz="0" w:space="0" w:color="auto"/>
          </w:divBdr>
          <w:divsChild>
            <w:div w:id="1768766073">
              <w:marLeft w:val="0"/>
              <w:marRight w:val="0"/>
              <w:marTop w:val="0"/>
              <w:marBottom w:val="0"/>
              <w:divBdr>
                <w:top w:val="none" w:sz="0" w:space="0" w:color="auto"/>
                <w:left w:val="none" w:sz="0" w:space="0" w:color="auto"/>
                <w:bottom w:val="none" w:sz="0" w:space="0" w:color="auto"/>
                <w:right w:val="none" w:sz="0" w:space="0" w:color="auto"/>
              </w:divBdr>
            </w:div>
          </w:divsChild>
        </w:div>
        <w:div w:id="1453015085">
          <w:marLeft w:val="0"/>
          <w:marRight w:val="0"/>
          <w:marTop w:val="0"/>
          <w:marBottom w:val="0"/>
          <w:divBdr>
            <w:top w:val="none" w:sz="0" w:space="0" w:color="auto"/>
            <w:left w:val="none" w:sz="0" w:space="0" w:color="auto"/>
            <w:bottom w:val="none" w:sz="0" w:space="0" w:color="auto"/>
            <w:right w:val="none" w:sz="0" w:space="0" w:color="auto"/>
          </w:divBdr>
          <w:divsChild>
            <w:div w:id="665590134">
              <w:marLeft w:val="0"/>
              <w:marRight w:val="0"/>
              <w:marTop w:val="0"/>
              <w:marBottom w:val="0"/>
              <w:divBdr>
                <w:top w:val="none" w:sz="0" w:space="0" w:color="auto"/>
                <w:left w:val="none" w:sz="0" w:space="0" w:color="auto"/>
                <w:bottom w:val="none" w:sz="0" w:space="0" w:color="auto"/>
                <w:right w:val="none" w:sz="0" w:space="0" w:color="auto"/>
              </w:divBdr>
            </w:div>
          </w:divsChild>
        </w:div>
        <w:div w:id="1549142294">
          <w:marLeft w:val="0"/>
          <w:marRight w:val="0"/>
          <w:marTop w:val="0"/>
          <w:marBottom w:val="0"/>
          <w:divBdr>
            <w:top w:val="none" w:sz="0" w:space="0" w:color="auto"/>
            <w:left w:val="none" w:sz="0" w:space="0" w:color="auto"/>
            <w:bottom w:val="none" w:sz="0" w:space="0" w:color="auto"/>
            <w:right w:val="none" w:sz="0" w:space="0" w:color="auto"/>
          </w:divBdr>
          <w:divsChild>
            <w:div w:id="194193113">
              <w:marLeft w:val="0"/>
              <w:marRight w:val="0"/>
              <w:marTop w:val="0"/>
              <w:marBottom w:val="0"/>
              <w:divBdr>
                <w:top w:val="none" w:sz="0" w:space="0" w:color="auto"/>
                <w:left w:val="none" w:sz="0" w:space="0" w:color="auto"/>
                <w:bottom w:val="none" w:sz="0" w:space="0" w:color="auto"/>
                <w:right w:val="none" w:sz="0" w:space="0" w:color="auto"/>
              </w:divBdr>
            </w:div>
          </w:divsChild>
        </w:div>
        <w:div w:id="313686517">
          <w:marLeft w:val="0"/>
          <w:marRight w:val="0"/>
          <w:marTop w:val="0"/>
          <w:marBottom w:val="0"/>
          <w:divBdr>
            <w:top w:val="none" w:sz="0" w:space="0" w:color="auto"/>
            <w:left w:val="none" w:sz="0" w:space="0" w:color="auto"/>
            <w:bottom w:val="none" w:sz="0" w:space="0" w:color="auto"/>
            <w:right w:val="none" w:sz="0" w:space="0" w:color="auto"/>
          </w:divBdr>
          <w:divsChild>
            <w:div w:id="753942569">
              <w:marLeft w:val="0"/>
              <w:marRight w:val="0"/>
              <w:marTop w:val="0"/>
              <w:marBottom w:val="0"/>
              <w:divBdr>
                <w:top w:val="none" w:sz="0" w:space="0" w:color="auto"/>
                <w:left w:val="none" w:sz="0" w:space="0" w:color="auto"/>
                <w:bottom w:val="none" w:sz="0" w:space="0" w:color="auto"/>
                <w:right w:val="none" w:sz="0" w:space="0" w:color="auto"/>
              </w:divBdr>
            </w:div>
          </w:divsChild>
        </w:div>
        <w:div w:id="107511109">
          <w:marLeft w:val="0"/>
          <w:marRight w:val="0"/>
          <w:marTop w:val="0"/>
          <w:marBottom w:val="0"/>
          <w:divBdr>
            <w:top w:val="none" w:sz="0" w:space="0" w:color="auto"/>
            <w:left w:val="none" w:sz="0" w:space="0" w:color="auto"/>
            <w:bottom w:val="none" w:sz="0" w:space="0" w:color="auto"/>
            <w:right w:val="none" w:sz="0" w:space="0" w:color="auto"/>
          </w:divBdr>
          <w:divsChild>
            <w:div w:id="1288470243">
              <w:marLeft w:val="0"/>
              <w:marRight w:val="0"/>
              <w:marTop w:val="0"/>
              <w:marBottom w:val="0"/>
              <w:divBdr>
                <w:top w:val="none" w:sz="0" w:space="0" w:color="auto"/>
                <w:left w:val="none" w:sz="0" w:space="0" w:color="auto"/>
                <w:bottom w:val="none" w:sz="0" w:space="0" w:color="auto"/>
                <w:right w:val="none" w:sz="0" w:space="0" w:color="auto"/>
              </w:divBdr>
            </w:div>
          </w:divsChild>
        </w:div>
        <w:div w:id="431973707">
          <w:marLeft w:val="0"/>
          <w:marRight w:val="0"/>
          <w:marTop w:val="0"/>
          <w:marBottom w:val="0"/>
          <w:divBdr>
            <w:top w:val="none" w:sz="0" w:space="0" w:color="auto"/>
            <w:left w:val="none" w:sz="0" w:space="0" w:color="auto"/>
            <w:bottom w:val="none" w:sz="0" w:space="0" w:color="auto"/>
            <w:right w:val="none" w:sz="0" w:space="0" w:color="auto"/>
          </w:divBdr>
          <w:divsChild>
            <w:div w:id="1521238194">
              <w:marLeft w:val="0"/>
              <w:marRight w:val="0"/>
              <w:marTop w:val="0"/>
              <w:marBottom w:val="0"/>
              <w:divBdr>
                <w:top w:val="none" w:sz="0" w:space="0" w:color="auto"/>
                <w:left w:val="none" w:sz="0" w:space="0" w:color="auto"/>
                <w:bottom w:val="none" w:sz="0" w:space="0" w:color="auto"/>
                <w:right w:val="none" w:sz="0" w:space="0" w:color="auto"/>
              </w:divBdr>
            </w:div>
          </w:divsChild>
        </w:div>
        <w:div w:id="1164786485">
          <w:marLeft w:val="0"/>
          <w:marRight w:val="0"/>
          <w:marTop w:val="0"/>
          <w:marBottom w:val="0"/>
          <w:divBdr>
            <w:top w:val="none" w:sz="0" w:space="0" w:color="auto"/>
            <w:left w:val="none" w:sz="0" w:space="0" w:color="auto"/>
            <w:bottom w:val="none" w:sz="0" w:space="0" w:color="auto"/>
            <w:right w:val="none" w:sz="0" w:space="0" w:color="auto"/>
          </w:divBdr>
          <w:divsChild>
            <w:div w:id="194732147">
              <w:marLeft w:val="0"/>
              <w:marRight w:val="0"/>
              <w:marTop w:val="0"/>
              <w:marBottom w:val="0"/>
              <w:divBdr>
                <w:top w:val="none" w:sz="0" w:space="0" w:color="auto"/>
                <w:left w:val="none" w:sz="0" w:space="0" w:color="auto"/>
                <w:bottom w:val="none" w:sz="0" w:space="0" w:color="auto"/>
                <w:right w:val="none" w:sz="0" w:space="0" w:color="auto"/>
              </w:divBdr>
            </w:div>
          </w:divsChild>
        </w:div>
        <w:div w:id="1556158730">
          <w:marLeft w:val="0"/>
          <w:marRight w:val="0"/>
          <w:marTop w:val="0"/>
          <w:marBottom w:val="0"/>
          <w:divBdr>
            <w:top w:val="none" w:sz="0" w:space="0" w:color="auto"/>
            <w:left w:val="none" w:sz="0" w:space="0" w:color="auto"/>
            <w:bottom w:val="none" w:sz="0" w:space="0" w:color="auto"/>
            <w:right w:val="none" w:sz="0" w:space="0" w:color="auto"/>
          </w:divBdr>
          <w:divsChild>
            <w:div w:id="2135438349">
              <w:marLeft w:val="0"/>
              <w:marRight w:val="0"/>
              <w:marTop w:val="0"/>
              <w:marBottom w:val="0"/>
              <w:divBdr>
                <w:top w:val="none" w:sz="0" w:space="0" w:color="auto"/>
                <w:left w:val="none" w:sz="0" w:space="0" w:color="auto"/>
                <w:bottom w:val="none" w:sz="0" w:space="0" w:color="auto"/>
                <w:right w:val="none" w:sz="0" w:space="0" w:color="auto"/>
              </w:divBdr>
            </w:div>
          </w:divsChild>
        </w:div>
        <w:div w:id="1408570853">
          <w:marLeft w:val="0"/>
          <w:marRight w:val="0"/>
          <w:marTop w:val="0"/>
          <w:marBottom w:val="0"/>
          <w:divBdr>
            <w:top w:val="none" w:sz="0" w:space="0" w:color="auto"/>
            <w:left w:val="none" w:sz="0" w:space="0" w:color="auto"/>
            <w:bottom w:val="none" w:sz="0" w:space="0" w:color="auto"/>
            <w:right w:val="none" w:sz="0" w:space="0" w:color="auto"/>
          </w:divBdr>
          <w:divsChild>
            <w:div w:id="793326067">
              <w:marLeft w:val="0"/>
              <w:marRight w:val="0"/>
              <w:marTop w:val="0"/>
              <w:marBottom w:val="0"/>
              <w:divBdr>
                <w:top w:val="none" w:sz="0" w:space="0" w:color="auto"/>
                <w:left w:val="none" w:sz="0" w:space="0" w:color="auto"/>
                <w:bottom w:val="none" w:sz="0" w:space="0" w:color="auto"/>
                <w:right w:val="none" w:sz="0" w:space="0" w:color="auto"/>
              </w:divBdr>
            </w:div>
          </w:divsChild>
        </w:div>
        <w:div w:id="485587664">
          <w:marLeft w:val="0"/>
          <w:marRight w:val="0"/>
          <w:marTop w:val="0"/>
          <w:marBottom w:val="0"/>
          <w:divBdr>
            <w:top w:val="none" w:sz="0" w:space="0" w:color="auto"/>
            <w:left w:val="none" w:sz="0" w:space="0" w:color="auto"/>
            <w:bottom w:val="none" w:sz="0" w:space="0" w:color="auto"/>
            <w:right w:val="none" w:sz="0" w:space="0" w:color="auto"/>
          </w:divBdr>
          <w:divsChild>
            <w:div w:id="2096248236">
              <w:marLeft w:val="0"/>
              <w:marRight w:val="0"/>
              <w:marTop w:val="0"/>
              <w:marBottom w:val="0"/>
              <w:divBdr>
                <w:top w:val="none" w:sz="0" w:space="0" w:color="auto"/>
                <w:left w:val="none" w:sz="0" w:space="0" w:color="auto"/>
                <w:bottom w:val="none" w:sz="0" w:space="0" w:color="auto"/>
                <w:right w:val="none" w:sz="0" w:space="0" w:color="auto"/>
              </w:divBdr>
            </w:div>
          </w:divsChild>
        </w:div>
        <w:div w:id="1668440640">
          <w:marLeft w:val="0"/>
          <w:marRight w:val="0"/>
          <w:marTop w:val="0"/>
          <w:marBottom w:val="0"/>
          <w:divBdr>
            <w:top w:val="none" w:sz="0" w:space="0" w:color="auto"/>
            <w:left w:val="none" w:sz="0" w:space="0" w:color="auto"/>
            <w:bottom w:val="none" w:sz="0" w:space="0" w:color="auto"/>
            <w:right w:val="none" w:sz="0" w:space="0" w:color="auto"/>
          </w:divBdr>
          <w:divsChild>
            <w:div w:id="888414486">
              <w:marLeft w:val="0"/>
              <w:marRight w:val="0"/>
              <w:marTop w:val="0"/>
              <w:marBottom w:val="0"/>
              <w:divBdr>
                <w:top w:val="none" w:sz="0" w:space="0" w:color="auto"/>
                <w:left w:val="none" w:sz="0" w:space="0" w:color="auto"/>
                <w:bottom w:val="none" w:sz="0" w:space="0" w:color="auto"/>
                <w:right w:val="none" w:sz="0" w:space="0" w:color="auto"/>
              </w:divBdr>
            </w:div>
          </w:divsChild>
        </w:div>
        <w:div w:id="307825796">
          <w:marLeft w:val="0"/>
          <w:marRight w:val="0"/>
          <w:marTop w:val="0"/>
          <w:marBottom w:val="0"/>
          <w:divBdr>
            <w:top w:val="none" w:sz="0" w:space="0" w:color="auto"/>
            <w:left w:val="none" w:sz="0" w:space="0" w:color="auto"/>
            <w:bottom w:val="none" w:sz="0" w:space="0" w:color="auto"/>
            <w:right w:val="none" w:sz="0" w:space="0" w:color="auto"/>
          </w:divBdr>
          <w:divsChild>
            <w:div w:id="1550604338">
              <w:marLeft w:val="0"/>
              <w:marRight w:val="0"/>
              <w:marTop w:val="0"/>
              <w:marBottom w:val="0"/>
              <w:divBdr>
                <w:top w:val="none" w:sz="0" w:space="0" w:color="auto"/>
                <w:left w:val="none" w:sz="0" w:space="0" w:color="auto"/>
                <w:bottom w:val="none" w:sz="0" w:space="0" w:color="auto"/>
                <w:right w:val="none" w:sz="0" w:space="0" w:color="auto"/>
              </w:divBdr>
            </w:div>
          </w:divsChild>
        </w:div>
        <w:div w:id="629554722">
          <w:marLeft w:val="0"/>
          <w:marRight w:val="0"/>
          <w:marTop w:val="0"/>
          <w:marBottom w:val="0"/>
          <w:divBdr>
            <w:top w:val="none" w:sz="0" w:space="0" w:color="auto"/>
            <w:left w:val="none" w:sz="0" w:space="0" w:color="auto"/>
            <w:bottom w:val="none" w:sz="0" w:space="0" w:color="auto"/>
            <w:right w:val="none" w:sz="0" w:space="0" w:color="auto"/>
          </w:divBdr>
          <w:divsChild>
            <w:div w:id="528300220">
              <w:marLeft w:val="0"/>
              <w:marRight w:val="0"/>
              <w:marTop w:val="0"/>
              <w:marBottom w:val="0"/>
              <w:divBdr>
                <w:top w:val="none" w:sz="0" w:space="0" w:color="auto"/>
                <w:left w:val="none" w:sz="0" w:space="0" w:color="auto"/>
                <w:bottom w:val="none" w:sz="0" w:space="0" w:color="auto"/>
                <w:right w:val="none" w:sz="0" w:space="0" w:color="auto"/>
              </w:divBdr>
            </w:div>
          </w:divsChild>
        </w:div>
        <w:div w:id="1150171075">
          <w:marLeft w:val="0"/>
          <w:marRight w:val="0"/>
          <w:marTop w:val="0"/>
          <w:marBottom w:val="0"/>
          <w:divBdr>
            <w:top w:val="none" w:sz="0" w:space="0" w:color="auto"/>
            <w:left w:val="none" w:sz="0" w:space="0" w:color="auto"/>
            <w:bottom w:val="none" w:sz="0" w:space="0" w:color="auto"/>
            <w:right w:val="none" w:sz="0" w:space="0" w:color="auto"/>
          </w:divBdr>
          <w:divsChild>
            <w:div w:id="877084835">
              <w:marLeft w:val="0"/>
              <w:marRight w:val="0"/>
              <w:marTop w:val="0"/>
              <w:marBottom w:val="0"/>
              <w:divBdr>
                <w:top w:val="none" w:sz="0" w:space="0" w:color="auto"/>
                <w:left w:val="none" w:sz="0" w:space="0" w:color="auto"/>
                <w:bottom w:val="none" w:sz="0" w:space="0" w:color="auto"/>
                <w:right w:val="none" w:sz="0" w:space="0" w:color="auto"/>
              </w:divBdr>
            </w:div>
          </w:divsChild>
        </w:div>
        <w:div w:id="625084130">
          <w:marLeft w:val="0"/>
          <w:marRight w:val="0"/>
          <w:marTop w:val="0"/>
          <w:marBottom w:val="0"/>
          <w:divBdr>
            <w:top w:val="none" w:sz="0" w:space="0" w:color="auto"/>
            <w:left w:val="none" w:sz="0" w:space="0" w:color="auto"/>
            <w:bottom w:val="none" w:sz="0" w:space="0" w:color="auto"/>
            <w:right w:val="none" w:sz="0" w:space="0" w:color="auto"/>
          </w:divBdr>
          <w:divsChild>
            <w:div w:id="1126042596">
              <w:marLeft w:val="0"/>
              <w:marRight w:val="0"/>
              <w:marTop w:val="0"/>
              <w:marBottom w:val="0"/>
              <w:divBdr>
                <w:top w:val="none" w:sz="0" w:space="0" w:color="auto"/>
                <w:left w:val="none" w:sz="0" w:space="0" w:color="auto"/>
                <w:bottom w:val="none" w:sz="0" w:space="0" w:color="auto"/>
                <w:right w:val="none" w:sz="0" w:space="0" w:color="auto"/>
              </w:divBdr>
            </w:div>
          </w:divsChild>
        </w:div>
        <w:div w:id="1053385773">
          <w:marLeft w:val="0"/>
          <w:marRight w:val="0"/>
          <w:marTop w:val="0"/>
          <w:marBottom w:val="0"/>
          <w:divBdr>
            <w:top w:val="none" w:sz="0" w:space="0" w:color="auto"/>
            <w:left w:val="none" w:sz="0" w:space="0" w:color="auto"/>
            <w:bottom w:val="none" w:sz="0" w:space="0" w:color="auto"/>
            <w:right w:val="none" w:sz="0" w:space="0" w:color="auto"/>
          </w:divBdr>
          <w:divsChild>
            <w:div w:id="587153130">
              <w:marLeft w:val="0"/>
              <w:marRight w:val="0"/>
              <w:marTop w:val="0"/>
              <w:marBottom w:val="0"/>
              <w:divBdr>
                <w:top w:val="none" w:sz="0" w:space="0" w:color="auto"/>
                <w:left w:val="none" w:sz="0" w:space="0" w:color="auto"/>
                <w:bottom w:val="none" w:sz="0" w:space="0" w:color="auto"/>
                <w:right w:val="none" w:sz="0" w:space="0" w:color="auto"/>
              </w:divBdr>
            </w:div>
          </w:divsChild>
        </w:div>
        <w:div w:id="297759032">
          <w:marLeft w:val="0"/>
          <w:marRight w:val="0"/>
          <w:marTop w:val="0"/>
          <w:marBottom w:val="0"/>
          <w:divBdr>
            <w:top w:val="none" w:sz="0" w:space="0" w:color="auto"/>
            <w:left w:val="none" w:sz="0" w:space="0" w:color="auto"/>
            <w:bottom w:val="none" w:sz="0" w:space="0" w:color="auto"/>
            <w:right w:val="none" w:sz="0" w:space="0" w:color="auto"/>
          </w:divBdr>
          <w:divsChild>
            <w:div w:id="1128862375">
              <w:marLeft w:val="0"/>
              <w:marRight w:val="0"/>
              <w:marTop w:val="0"/>
              <w:marBottom w:val="0"/>
              <w:divBdr>
                <w:top w:val="none" w:sz="0" w:space="0" w:color="auto"/>
                <w:left w:val="none" w:sz="0" w:space="0" w:color="auto"/>
                <w:bottom w:val="none" w:sz="0" w:space="0" w:color="auto"/>
                <w:right w:val="none" w:sz="0" w:space="0" w:color="auto"/>
              </w:divBdr>
            </w:div>
          </w:divsChild>
        </w:div>
        <w:div w:id="1040398012">
          <w:marLeft w:val="0"/>
          <w:marRight w:val="0"/>
          <w:marTop w:val="0"/>
          <w:marBottom w:val="0"/>
          <w:divBdr>
            <w:top w:val="none" w:sz="0" w:space="0" w:color="auto"/>
            <w:left w:val="none" w:sz="0" w:space="0" w:color="auto"/>
            <w:bottom w:val="none" w:sz="0" w:space="0" w:color="auto"/>
            <w:right w:val="none" w:sz="0" w:space="0" w:color="auto"/>
          </w:divBdr>
          <w:divsChild>
            <w:div w:id="65237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666919">
      <w:bodyDiv w:val="1"/>
      <w:marLeft w:val="0"/>
      <w:marRight w:val="0"/>
      <w:marTop w:val="0"/>
      <w:marBottom w:val="0"/>
      <w:divBdr>
        <w:top w:val="none" w:sz="0" w:space="0" w:color="auto"/>
        <w:left w:val="none" w:sz="0" w:space="0" w:color="auto"/>
        <w:bottom w:val="none" w:sz="0" w:space="0" w:color="auto"/>
        <w:right w:val="none" w:sz="0" w:space="0" w:color="auto"/>
      </w:divBdr>
      <w:divsChild>
        <w:div w:id="224146739">
          <w:marLeft w:val="0"/>
          <w:marRight w:val="0"/>
          <w:marTop w:val="0"/>
          <w:marBottom w:val="0"/>
          <w:divBdr>
            <w:top w:val="none" w:sz="0" w:space="0" w:color="auto"/>
            <w:left w:val="none" w:sz="0" w:space="0" w:color="auto"/>
            <w:bottom w:val="none" w:sz="0" w:space="0" w:color="auto"/>
            <w:right w:val="none" w:sz="0" w:space="0" w:color="auto"/>
          </w:divBdr>
          <w:divsChild>
            <w:div w:id="1362439155">
              <w:marLeft w:val="0"/>
              <w:marRight w:val="0"/>
              <w:marTop w:val="0"/>
              <w:marBottom w:val="0"/>
              <w:divBdr>
                <w:top w:val="single" w:sz="6" w:space="0" w:color="CCCCCC"/>
                <w:left w:val="none" w:sz="0" w:space="0" w:color="CCCCCC"/>
                <w:bottom w:val="single" w:sz="6" w:space="0" w:color="CCCCCC"/>
                <w:right w:val="none" w:sz="0" w:space="8" w:color="CCCCCC"/>
              </w:divBdr>
              <w:divsChild>
                <w:div w:id="153106187">
                  <w:marLeft w:val="225"/>
                  <w:marRight w:val="0"/>
                  <w:marTop w:val="0"/>
                  <w:marBottom w:val="0"/>
                  <w:divBdr>
                    <w:top w:val="none" w:sz="0" w:space="0" w:color="auto"/>
                    <w:left w:val="none" w:sz="0" w:space="0" w:color="auto"/>
                    <w:bottom w:val="none" w:sz="0" w:space="0" w:color="auto"/>
                    <w:right w:val="none" w:sz="0" w:space="0" w:color="auto"/>
                  </w:divBdr>
                </w:div>
                <w:div w:id="732242481">
                  <w:marLeft w:val="45"/>
                  <w:marRight w:val="75"/>
                  <w:marTop w:val="0"/>
                  <w:marBottom w:val="0"/>
                  <w:divBdr>
                    <w:top w:val="none" w:sz="0" w:space="0" w:color="auto"/>
                    <w:left w:val="none" w:sz="0" w:space="0" w:color="auto"/>
                    <w:bottom w:val="none" w:sz="0" w:space="0" w:color="auto"/>
                    <w:right w:val="none" w:sz="0" w:space="0" w:color="auto"/>
                  </w:divBdr>
                </w:div>
              </w:divsChild>
            </w:div>
            <w:div w:id="1950116888">
              <w:marLeft w:val="0"/>
              <w:marRight w:val="150"/>
              <w:marTop w:val="0"/>
              <w:marBottom w:val="0"/>
              <w:divBdr>
                <w:top w:val="none" w:sz="0" w:space="0" w:color="auto"/>
                <w:left w:val="none" w:sz="0" w:space="0" w:color="auto"/>
                <w:bottom w:val="none" w:sz="0" w:space="0" w:color="auto"/>
                <w:right w:val="none" w:sz="0" w:space="0" w:color="auto"/>
              </w:divBdr>
              <w:divsChild>
                <w:div w:id="560336857">
                  <w:marLeft w:val="0"/>
                  <w:marRight w:val="0"/>
                  <w:marTop w:val="0"/>
                  <w:marBottom w:val="0"/>
                  <w:divBdr>
                    <w:top w:val="none" w:sz="0" w:space="0" w:color="auto"/>
                    <w:left w:val="none" w:sz="0" w:space="0" w:color="auto"/>
                    <w:bottom w:val="none" w:sz="0" w:space="0" w:color="auto"/>
                    <w:right w:val="none" w:sz="0" w:space="0" w:color="auto"/>
                  </w:divBdr>
                  <w:divsChild>
                    <w:div w:id="43224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677598">
      <w:bodyDiv w:val="1"/>
      <w:marLeft w:val="0"/>
      <w:marRight w:val="0"/>
      <w:marTop w:val="0"/>
      <w:marBottom w:val="0"/>
      <w:divBdr>
        <w:top w:val="none" w:sz="0" w:space="0" w:color="auto"/>
        <w:left w:val="none" w:sz="0" w:space="0" w:color="auto"/>
        <w:bottom w:val="none" w:sz="0" w:space="0" w:color="auto"/>
        <w:right w:val="none" w:sz="0" w:space="0" w:color="auto"/>
      </w:divBdr>
    </w:div>
    <w:div w:id="2085447564">
      <w:bodyDiv w:val="1"/>
      <w:marLeft w:val="0"/>
      <w:marRight w:val="0"/>
      <w:marTop w:val="0"/>
      <w:marBottom w:val="0"/>
      <w:divBdr>
        <w:top w:val="none" w:sz="0" w:space="0" w:color="auto"/>
        <w:left w:val="none" w:sz="0" w:space="0" w:color="auto"/>
        <w:bottom w:val="none" w:sz="0" w:space="0" w:color="auto"/>
        <w:right w:val="none" w:sz="0" w:space="0" w:color="auto"/>
      </w:divBdr>
    </w:div>
    <w:div w:id="2088727161">
      <w:bodyDiv w:val="1"/>
      <w:marLeft w:val="0"/>
      <w:marRight w:val="0"/>
      <w:marTop w:val="0"/>
      <w:marBottom w:val="0"/>
      <w:divBdr>
        <w:top w:val="none" w:sz="0" w:space="0" w:color="auto"/>
        <w:left w:val="none" w:sz="0" w:space="0" w:color="auto"/>
        <w:bottom w:val="none" w:sz="0" w:space="0" w:color="auto"/>
        <w:right w:val="none" w:sz="0" w:space="0" w:color="auto"/>
      </w:divBdr>
    </w:div>
    <w:div w:id="2096441756">
      <w:bodyDiv w:val="1"/>
      <w:marLeft w:val="0"/>
      <w:marRight w:val="0"/>
      <w:marTop w:val="0"/>
      <w:marBottom w:val="0"/>
      <w:divBdr>
        <w:top w:val="none" w:sz="0" w:space="0" w:color="auto"/>
        <w:left w:val="none" w:sz="0" w:space="0" w:color="auto"/>
        <w:bottom w:val="none" w:sz="0" w:space="0" w:color="auto"/>
        <w:right w:val="none" w:sz="0" w:space="0" w:color="auto"/>
      </w:divBdr>
      <w:divsChild>
        <w:div w:id="1204946432">
          <w:marLeft w:val="-180"/>
          <w:marRight w:val="-195"/>
          <w:marTop w:val="0"/>
          <w:marBottom w:val="375"/>
          <w:divBdr>
            <w:top w:val="none" w:sz="0" w:space="0" w:color="auto"/>
            <w:left w:val="none" w:sz="0" w:space="0" w:color="auto"/>
            <w:bottom w:val="none" w:sz="0" w:space="0" w:color="auto"/>
            <w:right w:val="none" w:sz="0" w:space="0" w:color="auto"/>
          </w:divBdr>
          <w:divsChild>
            <w:div w:id="702942314">
              <w:marLeft w:val="0"/>
              <w:marRight w:val="0"/>
              <w:marTop w:val="0"/>
              <w:marBottom w:val="0"/>
              <w:divBdr>
                <w:top w:val="none" w:sz="0" w:space="0" w:color="auto"/>
                <w:left w:val="none" w:sz="0" w:space="0" w:color="auto"/>
                <w:bottom w:val="none" w:sz="0" w:space="0" w:color="auto"/>
                <w:right w:val="none" w:sz="0" w:space="0" w:color="auto"/>
              </w:divBdr>
            </w:div>
          </w:divsChild>
        </w:div>
        <w:div w:id="91509569">
          <w:marLeft w:val="0"/>
          <w:marRight w:val="0"/>
          <w:marTop w:val="0"/>
          <w:marBottom w:val="0"/>
          <w:divBdr>
            <w:top w:val="none" w:sz="0" w:space="0" w:color="auto"/>
            <w:left w:val="none" w:sz="0" w:space="0" w:color="auto"/>
            <w:bottom w:val="none" w:sz="0" w:space="0" w:color="auto"/>
            <w:right w:val="none" w:sz="0" w:space="0" w:color="auto"/>
          </w:divBdr>
        </w:div>
      </w:divsChild>
    </w:div>
    <w:div w:id="2121147743">
      <w:bodyDiv w:val="1"/>
      <w:marLeft w:val="0"/>
      <w:marRight w:val="0"/>
      <w:marTop w:val="0"/>
      <w:marBottom w:val="0"/>
      <w:divBdr>
        <w:top w:val="none" w:sz="0" w:space="0" w:color="auto"/>
        <w:left w:val="none" w:sz="0" w:space="0" w:color="auto"/>
        <w:bottom w:val="none" w:sz="0" w:space="0" w:color="auto"/>
        <w:right w:val="none" w:sz="0" w:space="0" w:color="auto"/>
      </w:divBdr>
    </w:div>
    <w:div w:id="2122801350">
      <w:bodyDiv w:val="1"/>
      <w:marLeft w:val="0"/>
      <w:marRight w:val="0"/>
      <w:marTop w:val="0"/>
      <w:marBottom w:val="0"/>
      <w:divBdr>
        <w:top w:val="none" w:sz="0" w:space="0" w:color="auto"/>
        <w:left w:val="none" w:sz="0" w:space="0" w:color="auto"/>
        <w:bottom w:val="none" w:sz="0" w:space="0" w:color="auto"/>
        <w:right w:val="none" w:sz="0" w:space="0" w:color="auto"/>
      </w:divBdr>
      <w:divsChild>
        <w:div w:id="161821429">
          <w:marLeft w:val="0"/>
          <w:marRight w:val="0"/>
          <w:marTop w:val="0"/>
          <w:marBottom w:val="0"/>
          <w:divBdr>
            <w:top w:val="none" w:sz="0" w:space="0" w:color="auto"/>
            <w:left w:val="none" w:sz="0" w:space="0" w:color="auto"/>
            <w:bottom w:val="none" w:sz="0" w:space="0" w:color="auto"/>
            <w:right w:val="none" w:sz="0" w:space="0" w:color="auto"/>
          </w:divBdr>
        </w:div>
        <w:div w:id="2046830775">
          <w:marLeft w:val="0"/>
          <w:marRight w:val="0"/>
          <w:marTop w:val="0"/>
          <w:marBottom w:val="0"/>
          <w:divBdr>
            <w:top w:val="none" w:sz="0" w:space="0" w:color="auto"/>
            <w:left w:val="none" w:sz="0" w:space="0" w:color="auto"/>
            <w:bottom w:val="none" w:sz="0" w:space="0" w:color="auto"/>
            <w:right w:val="none" w:sz="0" w:space="0" w:color="auto"/>
          </w:divBdr>
        </w:div>
      </w:divsChild>
    </w:div>
    <w:div w:id="2138641989">
      <w:bodyDiv w:val="1"/>
      <w:marLeft w:val="0"/>
      <w:marRight w:val="0"/>
      <w:marTop w:val="0"/>
      <w:marBottom w:val="0"/>
      <w:divBdr>
        <w:top w:val="none" w:sz="0" w:space="0" w:color="auto"/>
        <w:left w:val="none" w:sz="0" w:space="0" w:color="auto"/>
        <w:bottom w:val="none" w:sz="0" w:space="0" w:color="auto"/>
        <w:right w:val="none" w:sz="0" w:space="0" w:color="auto"/>
      </w:divBdr>
      <w:divsChild>
        <w:div w:id="80303133">
          <w:marLeft w:val="0"/>
          <w:marRight w:val="0"/>
          <w:marTop w:val="0"/>
          <w:marBottom w:val="0"/>
          <w:divBdr>
            <w:top w:val="none" w:sz="0" w:space="0" w:color="auto"/>
            <w:left w:val="none" w:sz="0" w:space="0" w:color="auto"/>
            <w:bottom w:val="none" w:sz="0" w:space="0" w:color="auto"/>
            <w:right w:val="none" w:sz="0" w:space="0" w:color="auto"/>
          </w:divBdr>
          <w:divsChild>
            <w:div w:id="1972516331">
              <w:marLeft w:val="0"/>
              <w:marRight w:val="0"/>
              <w:marTop w:val="0"/>
              <w:marBottom w:val="0"/>
              <w:divBdr>
                <w:top w:val="none" w:sz="0" w:space="0" w:color="auto"/>
                <w:left w:val="none" w:sz="0" w:space="0" w:color="auto"/>
                <w:bottom w:val="none" w:sz="0" w:space="0" w:color="auto"/>
                <w:right w:val="none" w:sz="0" w:space="0" w:color="auto"/>
              </w:divBdr>
              <w:divsChild>
                <w:div w:id="1904638657">
                  <w:marLeft w:val="0"/>
                  <w:marRight w:val="0"/>
                  <w:marTop w:val="0"/>
                  <w:marBottom w:val="0"/>
                  <w:divBdr>
                    <w:top w:val="none" w:sz="0" w:space="0" w:color="auto"/>
                    <w:left w:val="none" w:sz="0" w:space="0" w:color="auto"/>
                    <w:bottom w:val="none" w:sz="0" w:space="0" w:color="auto"/>
                    <w:right w:val="none" w:sz="0" w:space="0" w:color="auto"/>
                  </w:divBdr>
                  <w:divsChild>
                    <w:div w:id="117961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797415">
      <w:bodyDiv w:val="1"/>
      <w:marLeft w:val="0"/>
      <w:marRight w:val="0"/>
      <w:marTop w:val="0"/>
      <w:marBottom w:val="0"/>
      <w:divBdr>
        <w:top w:val="none" w:sz="0" w:space="0" w:color="auto"/>
        <w:left w:val="none" w:sz="0" w:space="0" w:color="auto"/>
        <w:bottom w:val="none" w:sz="0" w:space="0" w:color="auto"/>
        <w:right w:val="none" w:sz="0" w:space="0" w:color="auto"/>
      </w:divBdr>
      <w:divsChild>
        <w:div w:id="1788502089">
          <w:marLeft w:val="0"/>
          <w:marRight w:val="0"/>
          <w:marTop w:val="0"/>
          <w:marBottom w:val="0"/>
          <w:divBdr>
            <w:top w:val="none" w:sz="0" w:space="0" w:color="auto"/>
            <w:left w:val="none" w:sz="0" w:space="0" w:color="auto"/>
            <w:bottom w:val="none" w:sz="0" w:space="0" w:color="auto"/>
            <w:right w:val="none" w:sz="0" w:space="0" w:color="auto"/>
          </w:divBdr>
        </w:div>
        <w:div w:id="18157541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rvo.nl/subsidies-financiering/praktijkleren" TargetMode="External"/><Relationship Id="rId21" Type="http://schemas.openxmlformats.org/officeDocument/2006/relationships/hyperlink" Target="https://deeplink.rechtspraak.nl/uitspraak?id=ECLI:NL:HR:2025:1617" TargetMode="External"/><Relationship Id="rId42" Type="http://schemas.openxmlformats.org/officeDocument/2006/relationships/hyperlink" Target="https://ind.nl/nl/oekraine/richtlijn-tijdelijke-bescherming-oekraine" TargetMode="External"/><Relationship Id="rId47" Type="http://schemas.openxmlformats.org/officeDocument/2006/relationships/hyperlink" Target="https://www.uitvoeringvanbeleidszw.nl/documenten/subsidies/subsidieregeling-ondersteuning-werkgevers-inzet-statushouders-sowis/uitvoeren-en-verantwoorden/format-activiteitenplan" TargetMode="External"/><Relationship Id="rId63" Type="http://schemas.openxmlformats.org/officeDocument/2006/relationships/hyperlink" Target="https://deeplink.rechtspraak.nl/uitspraak?id=ECLI:NL:RBZWB:2025:5268" TargetMode="External"/><Relationship Id="rId68" Type="http://schemas.openxmlformats.org/officeDocument/2006/relationships/hyperlink" Target="https://deeplink.rechtspraak.nl/uitspraak?id=ECLI:NL:RBMNE:2025:2970" TargetMode="External"/><Relationship Id="rId16" Type="http://schemas.openxmlformats.org/officeDocument/2006/relationships/hyperlink" Target="https://www.belastingdienst.nl/wps/wcm/connect/bldcontentnl/themaoverstijgend/programmas_en_formulieren/aanvraag-verklaring-betalingsgedrag-ketenaansprakelijkheid-onderaannemer" TargetMode="External"/><Relationship Id="rId11" Type="http://schemas.openxmlformats.org/officeDocument/2006/relationships/hyperlink" Target="https://www.belastingdienst.nl/wps/wcm/connect/bldcontentnl/themaoverstijgend/programmas_en_formulieren/model_opgaaf_gegevens_voor_de_loonheffingen" TargetMode="External"/><Relationship Id="rId32" Type="http://schemas.openxmlformats.org/officeDocument/2006/relationships/hyperlink" Target="https://www.mijnuitvoeringvanbeleidszw.nl/runtime/server/session/login.html" TargetMode="External"/><Relationship Id="rId37" Type="http://schemas.openxmlformats.org/officeDocument/2006/relationships/hyperlink" Target="https://www.uwv.nl/nl/no-riskpolis" TargetMode="External"/><Relationship Id="rId53" Type="http://schemas.openxmlformats.org/officeDocument/2006/relationships/hyperlink" Target="https://www.internetconsultatie.nl/wijzigingvanhetbesluitminimumjeugdlooninverbandmetdeverhogingvanhetminimumjeugdloon/b1" TargetMode="External"/><Relationship Id="rId58" Type="http://schemas.openxmlformats.org/officeDocument/2006/relationships/hyperlink" Target="https://www.toelatinguitleenmarkt.nl/welke-stappen-moet-ik-zetten/je-voorbereiden-als-uitlener" TargetMode="External"/><Relationship Id="rId74" Type="http://schemas.openxmlformats.org/officeDocument/2006/relationships/hyperlink" Target="https://www.belastingdienst.nl/wps/wcm/connect/bldcontentnl/themaoverstijgend/brochures_en_publicaties/checklist-vooroverleg-beoordeling-arbeidsrelatie" TargetMode="External"/><Relationship Id="rId79" Type="http://schemas.openxmlformats.org/officeDocument/2006/relationships/footer" Target="footer2.xml"/><Relationship Id="rId5" Type="http://schemas.openxmlformats.org/officeDocument/2006/relationships/numbering" Target="numbering.xml"/><Relationship Id="rId61" Type="http://schemas.openxmlformats.org/officeDocument/2006/relationships/hyperlink" Target="https://uitspraken.rechtspraak.nl/details?id=ECLI:NL:HR:2025:1802" TargetMode="External"/><Relationship Id="rId82" Type="http://schemas.openxmlformats.org/officeDocument/2006/relationships/theme" Target="theme/theme1.xml"/><Relationship Id="rId19" Type="http://schemas.openxmlformats.org/officeDocument/2006/relationships/hyperlink" Target="https://kennisgroepen.belastingdienst.nl/publicaties/kg204202518-parkeren-tijdens-vakantie/" TargetMode="External"/><Relationship Id="rId14" Type="http://schemas.openxmlformats.org/officeDocument/2006/relationships/hyperlink" Target="https://kennisgroepen.belastingdienst.nl/publicaties/kg204202521-bepaling-loon-over-een-maand/" TargetMode="External"/><Relationship Id="rId22" Type="http://schemas.openxmlformats.org/officeDocument/2006/relationships/hyperlink" Target="https://www.caorijk.nl/cao-rijk/hoofdstuk-10/dienstreizen-buitenland" TargetMode="External"/><Relationship Id="rId27" Type="http://schemas.openxmlformats.org/officeDocument/2006/relationships/hyperlink" Target="https://zoek.officielebekendmakingen.nl/stcrt-2025-11299.html" TargetMode="External"/><Relationship Id="rId30" Type="http://schemas.openxmlformats.org/officeDocument/2006/relationships/hyperlink" Target="https://www.rijksoverheid.nl/ministeries/ministerie-van-sociale-zaken-en-werkgelegenheid/documenten/publicaties/2025/02/27/ontwikkelpaden-per-sector" TargetMode="External"/><Relationship Id="rId35" Type="http://schemas.openxmlformats.org/officeDocument/2006/relationships/hyperlink" Target="https://www.uwv.nl/nl/ondersteuning-werk-onderwijs/aangepaste-werkplek" TargetMode="External"/><Relationship Id="rId43" Type="http://schemas.openxmlformats.org/officeDocument/2006/relationships/hyperlink" Target="https://www.edisontd.nl/about" TargetMode="External"/><Relationship Id="rId48" Type="http://schemas.openxmlformats.org/officeDocument/2006/relationships/hyperlink" Target="https://www.uitvoeringvanbeleidszw.nl/documenten/2024/07/01/handreiking-voor-werkgevers" TargetMode="External"/><Relationship Id="rId56" Type="http://schemas.openxmlformats.org/officeDocument/2006/relationships/hyperlink" Target="https://www.uwv.nl/nl/persberichten/tijdelijke-beslistermijnverlenging-wia-uitkeringen-herbeoordelingen" TargetMode="External"/><Relationship Id="rId64" Type="http://schemas.openxmlformats.org/officeDocument/2006/relationships/hyperlink" Target="https://deeplink.rechtspraak.nl/uitspraak?id=ECLI:NL:RBMNE:2025:4897" TargetMode="External"/><Relationship Id="rId69" Type="http://schemas.openxmlformats.org/officeDocument/2006/relationships/image" Target="media/image1.emf"/><Relationship Id="rId77"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yperlink" Target="https://www.uwv.nl/nl/werkvergunning/oekrainer-aanmelden" TargetMode="External"/><Relationship Id="rId72" Type="http://schemas.openxmlformats.org/officeDocument/2006/relationships/hyperlink" Target="https://www.belastingdienst.nl/wps/wcm/connect/bldcontentnl/themaoverstijgend/brochures_en_publicaties/handhavingsplan-arbeidsrelaties" TargetMode="External"/><Relationship Id="rId80"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hyperlink" Target="https://www.uwv.nl/nl/premies-bedragen/whk-premie" TargetMode="External"/><Relationship Id="rId17" Type="http://schemas.openxmlformats.org/officeDocument/2006/relationships/hyperlink" Target="https://www.belastingdienst.nl/wps/wcm/connect/bldcontentnl/themaoverstijgend/programmas_en_formulieren/aanvraag-verklaring-betalingsgedrag-nakoming-fiscale-verplichtingen" TargetMode="External"/><Relationship Id="rId25" Type="http://schemas.openxmlformats.org/officeDocument/2006/relationships/hyperlink" Target="https://www.rvo.nl/subsidies-financiering/praktijkleren" TargetMode="External"/><Relationship Id="rId33" Type="http://schemas.openxmlformats.org/officeDocument/2006/relationships/hyperlink" Target="https://www.uitvoeringvanbeleidszw.nl/subsidies-en-regelingen/slim-scholingssubsidie" TargetMode="External"/><Relationship Id="rId38" Type="http://schemas.openxmlformats.org/officeDocument/2006/relationships/hyperlink" Target="https://www.uwv.nl/nl/voordelen-regelingen-werkgevers/proefplaatsing" TargetMode="External"/><Relationship Id="rId46" Type="http://schemas.openxmlformats.org/officeDocument/2006/relationships/hyperlink" Target="https://www.uwv.nl/nl/werkvergunning/asielzoeker" TargetMode="External"/><Relationship Id="rId59" Type="http://schemas.openxmlformats.org/officeDocument/2006/relationships/hyperlink" Target="https://deeplink.rechtspraak.nl/uitspraak?id=ECLI:NL:HR:2025:1733" TargetMode="External"/><Relationship Id="rId67" Type="http://schemas.openxmlformats.org/officeDocument/2006/relationships/hyperlink" Target="https://deeplink.rechtspraak.nl/uitspraak?id=ECLI:NL:RBGEL:2025:7054" TargetMode="External"/><Relationship Id="rId20" Type="http://schemas.openxmlformats.org/officeDocument/2006/relationships/hyperlink" Target="https://www.rvo.nl/onderwerpen/rapportage-wpm" TargetMode="External"/><Relationship Id="rId41" Type="http://schemas.openxmlformats.org/officeDocument/2006/relationships/hyperlink" Target="https://www.svb.nl/nl/id/u-werkt-in-meerdere-landen/uitzondering-op-de-europese-aanwijsregels-aanvragen" TargetMode="External"/><Relationship Id="rId54" Type="http://schemas.openxmlformats.org/officeDocument/2006/relationships/hyperlink" Target="https://www.uwv.nl/nl/ontslag/compensatie-transitievergoeding-langdurige-arbeidsongeschiktheid" TargetMode="External"/><Relationship Id="rId62" Type="http://schemas.openxmlformats.org/officeDocument/2006/relationships/hyperlink" Target="https://deeplink.rechtspraak.nl/uitspraak?id=ECLI:NL:RBROT:2025:11421" TargetMode="External"/><Relationship Id="rId70" Type="http://schemas.openxmlformats.org/officeDocument/2006/relationships/hyperlink" Target="https://www.belastingdienst.nl/wps/wcm/connect/bldcontentnl/themaoverstijgend/brochures_en_publicaties/toelichting-beoordeling-arbeidsrelaties" TargetMode="External"/><Relationship Id="rId75" Type="http://schemas.openxmlformats.org/officeDocument/2006/relationships/hyperlink" Target="https://kennisgroepen.belastingdienst.nl/publicaties/kg204202516-pensioen-apk-gesprek/"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belastingdienst.nl/wps/wcm/connect/bldcontentnl/themaoverstijgend/programmas_en_formulieren/aanvraag-verklaring-betalingsgedrag-inlenersaansprakelijkheid" TargetMode="External"/><Relationship Id="rId23" Type="http://schemas.openxmlformats.org/officeDocument/2006/relationships/hyperlink" Target="https://www.caorijk.nl/cao-rijk/bijlage-6" TargetMode="External"/><Relationship Id="rId28" Type="http://schemas.openxmlformats.org/officeDocument/2006/relationships/hyperlink" Target="https://www.rvo.nl/subsidies-financiering/praktijkleren-derde-leerweg" TargetMode="External"/><Relationship Id="rId36" Type="http://schemas.openxmlformats.org/officeDocument/2006/relationships/hyperlink" Target="https://www.uwv.nl/nl/jobcoach/jobcoach-vergoeding-aanvragen" TargetMode="External"/><Relationship Id="rId49" Type="http://schemas.openxmlformats.org/officeDocument/2006/relationships/hyperlink" Target="https://www.mijnuitvoeringvanbeleidszw.nl/runtime/server/session/login.html" TargetMode="External"/><Relationship Id="rId57" Type="http://schemas.openxmlformats.org/officeDocument/2006/relationships/hyperlink" Target="https://www.internetconsultatie.nl/wetsvoorstelwijzigingtoetsopreintegratieinspanningenenwiavoorschotregeling/b1" TargetMode="External"/><Relationship Id="rId10" Type="http://schemas.openxmlformats.org/officeDocument/2006/relationships/endnotes" Target="endnotes.xml"/><Relationship Id="rId31" Type="http://schemas.openxmlformats.org/officeDocument/2006/relationships/hyperlink" Target="https://www.rijksoverheid.nl/ministeries/ministerie-van-sociale-zaken-en-werkgelegenheid/documenten/publicaties/2025/02/27/ontwikkelpaden-per-sector" TargetMode="External"/><Relationship Id="rId44" Type="http://schemas.openxmlformats.org/officeDocument/2006/relationships/hyperlink" Target="https://www.uwv.nl/werkgevers/formulieren/melden-tewerkstelling-van-een-tijdelijk-beschermde-werknemer-uit-oekraine.aspx" TargetMode="External"/><Relationship Id="rId52" Type="http://schemas.openxmlformats.org/officeDocument/2006/relationships/hyperlink" Target="https://www.uwv.nl/nl/werkvergunning/internationaal-handelsverkeer" TargetMode="External"/><Relationship Id="rId60" Type="http://schemas.openxmlformats.org/officeDocument/2006/relationships/hyperlink" Target="https://uitspraken.rechtspraak.nl/details?id=ECLI:NL:HR:2025:1737" TargetMode="External"/><Relationship Id="rId65" Type="http://schemas.openxmlformats.org/officeDocument/2006/relationships/hyperlink" Target="https://deeplink.rechtspraak.nl/uitspraak?id=ECLI:NL:RBMNE:2025:2519" TargetMode="External"/><Relationship Id="rId73" Type="http://schemas.openxmlformats.org/officeDocument/2006/relationships/hyperlink" Target="https://www.belastingdienst.nl/wps/wcm/connect/bldcontentnl/themaoverstijgend/programmas_en_formulieren/verzoek-vooroverleg" TargetMode="External"/><Relationship Id="rId78" Type="http://schemas.openxmlformats.org/officeDocument/2006/relationships/footer" Target="footer1.xm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belastingdienst.nl/wps/wcm/connect/bldcontentnl/themaoverstijgend/programmas_en_formulieren/verzoek-teruggaaf-naheffing-nieuw-te-laat-vastgesteld-gedifferentieerd-premiepercentage-whk-2025" TargetMode="External"/><Relationship Id="rId18" Type="http://schemas.openxmlformats.org/officeDocument/2006/relationships/hyperlink" Target="https://deeplink.rechtspraak.nl/uitspraak?id=ECLI:NL:GHDHA:2019:3152" TargetMode="External"/><Relationship Id="rId39" Type="http://schemas.openxmlformats.org/officeDocument/2006/relationships/hyperlink" Target="https://www.belastingdienst.nl/wps/wcm/connect/bldcontentnl/themaoverstijgend/programmas_en_formulieren/verzoek-loonheffingen-30-regeling" TargetMode="External"/><Relationship Id="rId34" Type="http://schemas.openxmlformats.org/officeDocument/2006/relationships/hyperlink" Target="https://www.uitvoeringvanbeleidszw.nl/documenten/subsidies/inclusiviteitstechnologie-voor-het-mkb/overzicht-aanvraagcriteria/lijst-goedgekeurde-technologieen" TargetMode="External"/><Relationship Id="rId50" Type="http://schemas.openxmlformats.org/officeDocument/2006/relationships/hyperlink" Target="https://ind.nl/nl/verblijfsvergunningen/werken/verblijfsvergunning-intra-corporate-transferee-richtlijn-201466eu" TargetMode="External"/><Relationship Id="rId55" Type="http://schemas.openxmlformats.org/officeDocument/2006/relationships/hyperlink" Target="https://www.uwv.nl/nl/ontslag/compensatie-transitievergoeding-bedrijfsbeeindiging" TargetMode="External"/><Relationship Id="rId76"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hyperlink" Target="https://www.belastingdienst.nl/wps/wcm/connect/bldcontentnl/themaoverstijgend/brochures_en_publicaties/handhavingsplan-arbeidsrelaties" TargetMode="External"/><Relationship Id="rId2" Type="http://schemas.openxmlformats.org/officeDocument/2006/relationships/customXml" Target="../customXml/item2.xml"/><Relationship Id="rId29" Type="http://schemas.openxmlformats.org/officeDocument/2006/relationships/hyperlink" Target="https://www.rvo.nl/subsidies-financiering/groepshulpen-kinderopvang" TargetMode="External"/><Relationship Id="rId24" Type="http://schemas.openxmlformats.org/officeDocument/2006/relationships/hyperlink" Target="https://kennisgroepen.belastingdienst.nl/publicaties/kg204202519-genietingsmoment-outplacementtraject-bij-beeindigingsovereenkomst/" TargetMode="External"/><Relationship Id="rId40" Type="http://schemas.openxmlformats.org/officeDocument/2006/relationships/hyperlink" Target="https://www.svb.nl/nl/id/u-werkt-in-meerdere-landen/uitzondering-op-europese-aanwijsregels" TargetMode="External"/><Relationship Id="rId45" Type="http://schemas.openxmlformats.org/officeDocument/2006/relationships/hyperlink" Target="https://ind.nl/nl/oekraine/verblijf-niet-oekrainers-met-tijdelijke-oekraiense-verblijfsvergunning-derdelanders" TargetMode="External"/><Relationship Id="rId66" Type="http://schemas.openxmlformats.org/officeDocument/2006/relationships/hyperlink" Target="https://deeplink.rechtspraak.nl/uitspraak?id=ECLI:NL:RBROT:2025:1051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ffe711e-1bbd-4f65-aab4-383c33315cd5"/>
    <lcf76f155ced4ddcb4097134ff3c332f xmlns="d7b6e9b7-fb94-4a11-9f87-5ca99b94be13">
      <Terms xmlns="http://schemas.microsoft.com/office/infopath/2007/PartnerControls"/>
    </lcf76f155ced4ddcb4097134ff3c332f>
    <Product xmlns="d7b6e9b7-fb94-4a11-9f87-5ca99b94be13" xsi:nil="true"/>
    <Project xmlns="d7b6e9b7-fb94-4a11-9f87-5ca99b94be13" xsi:nil="true"/>
    <Opmerking xmlns="d7b6e9b7-fb94-4a11-9f87-5ca99b94be13" xsi:nil="true"/>
    <Partner xmlns="d7b6e9b7-fb94-4a11-9f87-5ca99b94be13" xsi:nil="true"/>
    <Statuscontract xmlns="d7b6e9b7-fb94-4a11-9f87-5ca99b94be13" xsi:nil="true"/>
    <Ingangsdatum xmlns="d7b6e9b7-fb94-4a11-9f87-5ca99b94be13" xsi:nil="true"/>
    <Einddatum xmlns="d7b6e9b7-fb94-4a11-9f87-5ca99b94be13" xsi:nil="true"/>
    <Documenttype xmlns="d7b6e9b7-fb94-4a11-9f87-5ca99b94be1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FFDBF62B2E9554DBE76A3CDACB7E478" ma:contentTypeVersion="25" ma:contentTypeDescription="Create a new document." ma:contentTypeScope="" ma:versionID="badb06453b8756716d0e2545d3ec0eff">
  <xsd:schema xmlns:xsd="http://www.w3.org/2001/XMLSchema" xmlns:xs="http://www.w3.org/2001/XMLSchema" xmlns:p="http://schemas.microsoft.com/office/2006/metadata/properties" xmlns:ns2="d7b6e9b7-fb94-4a11-9f87-5ca99b94be13" xmlns:ns3="3ffe711e-1bbd-4f65-aab4-383c33315cd5" targetNamespace="http://schemas.microsoft.com/office/2006/metadata/properties" ma:root="true" ma:fieldsID="43da024b62c57a8b6180b72a45fb5a23" ns2:_="" ns3:_="">
    <xsd:import namespace="d7b6e9b7-fb94-4a11-9f87-5ca99b94be13"/>
    <xsd:import namespace="3ffe711e-1bbd-4f65-aab4-383c33315cd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Statuscontract" minOccurs="0"/>
                <xsd:element ref="ns2:Documenttype" minOccurs="0"/>
                <xsd:element ref="ns2:Partner" minOccurs="0"/>
                <xsd:element ref="ns2:Product" minOccurs="0"/>
                <xsd:element ref="ns2:Project" minOccurs="0"/>
                <xsd:element ref="ns3:SharedWithUsers" minOccurs="0"/>
                <xsd:element ref="ns3:SharedWithDetails" minOccurs="0"/>
                <xsd:element ref="ns2:MediaServiceSearchProperties" minOccurs="0"/>
                <xsd:element ref="ns2:MediaServiceDateTaken" minOccurs="0"/>
                <xsd:element ref="ns2:MediaLengthInSeconds" minOccurs="0"/>
                <xsd:element ref="ns2:MediaServiceLocation" minOccurs="0"/>
                <xsd:element ref="ns2:Ingangsdatum" minOccurs="0"/>
                <xsd:element ref="ns2:Einddatum" minOccurs="0"/>
                <xsd:element ref="ns2:Opmerking"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6e9b7-fb94-4a11-9f87-5ca99b94be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e44fa77-20cf-4fb1-bc96-3b4a2c5ac40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Statuscontract" ma:index="17" nillable="true" ma:displayName="Status contract" ma:format="Dropdown" ma:internalName="Statuscontract">
      <xsd:simpleType>
        <xsd:union memberTypes="dms:Text">
          <xsd:simpleType>
            <xsd:restriction base="dms:Choice">
              <xsd:enumeration value="Lopend"/>
              <xsd:enumeration value="Opdracht afgerond"/>
              <xsd:enumeration value="Verlopen / ingetrokken"/>
              <xsd:enumeration value="N.v.t."/>
              <xsd:enumeration value="Open / in overweging"/>
              <xsd:enumeration value="Getekend (eenmalige aanschaf)"/>
            </xsd:restriction>
          </xsd:simpleType>
        </xsd:union>
      </xsd:simpleType>
    </xsd:element>
    <xsd:element name="Documenttype" ma:index="18" nillable="true" ma:displayName="Documenttype" ma:format="Dropdown" ma:internalName="Documenttype">
      <xsd:simpleType>
        <xsd:union memberTypes="dms:Text">
          <xsd:simpleType>
            <xsd:restriction base="dms:Choice">
              <xsd:enumeration value="Beleidsplan"/>
              <xsd:enumeration value="Concept"/>
              <xsd:enumeration value="E-Mail"/>
              <xsd:enumeration value="Informatiedocument"/>
              <xsd:enumeration value="Memo"/>
              <xsd:enumeration value="Prolongatie"/>
              <xsd:enumeration value="Opdrachtbevestiging"/>
              <xsd:enumeration value="Overeenkomst"/>
              <xsd:enumeration value="Procedures en Afspraken"/>
              <xsd:enumeration value="Rapportage"/>
              <xsd:enumeration value="Service Level Agreement"/>
              <xsd:enumeration value="Verwerkersovereenkomst"/>
              <xsd:enumeration value="Voorstel / offerte"/>
              <xsd:enumeration value="Voorwaarden"/>
            </xsd:restriction>
          </xsd:simpleType>
        </xsd:union>
      </xsd:simpleType>
    </xsd:element>
    <xsd:element name="Partner" ma:index="19" nillable="true" ma:displayName="Partner" ma:format="Dropdown" ma:internalName="Partner">
      <xsd:simpleType>
        <xsd:union memberTypes="dms:Text">
          <xsd:simpleType>
            <xsd:restriction base="dms:Choice">
              <xsd:enumeration value="AFAS"/>
              <xsd:enumeration value="Interstellar"/>
              <xsd:enumeration value="BusinessMonitor"/>
              <xsd:enumeration value="Courseware"/>
              <xsd:enumeration value="Creditsafe"/>
              <xsd:enumeration value="CRMPLus+"/>
              <xsd:enumeration value="CSN (vh. Solimas)"/>
              <xsd:enumeration value="Dataweb"/>
              <xsd:enumeration value="Diskad"/>
              <xsd:enumeration value="Embrace"/>
              <xsd:enumeration value="ESET"/>
              <xsd:enumeration value="EVA Solutions"/>
              <xsd:enumeration value="Evident"/>
              <xsd:enumeration value="Exclaimer"/>
              <xsd:enumeration value="Gerssen Elektrotechniek"/>
              <xsd:enumeration value="Growteq"/>
              <xsd:enumeration value="Human Capital Group"/>
              <xsd:enumeration value="IKSO"/>
              <xsd:enumeration value="Improvit / Easylink"/>
              <xsd:enumeration value="Irixs (vh. Vionq)"/>
              <xsd:enumeration value="IT Supervision"/>
              <xsd:enumeration value="Kahoot!"/>
              <xsd:enumeration value="LisenseIT"/>
              <xsd:enumeration value="OfficeGrip"/>
              <xsd:enumeration value="Onyx Cybersecurity"/>
              <xsd:enumeration value="Yielder AV (voorheen PCI AV)"/>
              <xsd:enumeration value="PowerPro"/>
              <xsd:enumeration value="PrintScan"/>
              <xsd:enumeration value="Publitas"/>
              <xsd:enumeration value="Sitecore"/>
              <xsd:enumeration value="SmartLockr"/>
              <xsd:enumeration value="Solvaters"/>
              <xsd:enumeration value="Terberg"/>
              <xsd:enumeration value="Van Deutecompany"/>
              <xsd:enumeration value="Van Iersel Luchtman Advocaten"/>
              <xsd:enumeration value="Visma RAET (vh. Intradata)"/>
              <xsd:enumeration value="YourSafetyNet"/>
              <xsd:enumeration value="Adobe"/>
              <xsd:enumeration value="Dustin"/>
              <xsd:enumeration value="MindYourPass"/>
              <xsd:enumeration value="PCI IT"/>
              <xsd:enumeration value="Microsoft"/>
              <xsd:enumeration value="Speyk"/>
              <xsd:enumeration value="Hoppenbrouwers ICT"/>
              <xsd:enumeration value="ExplainIT"/>
              <xsd:enumeration value="Salesfeed"/>
              <xsd:enumeration value="Garansys / Creates"/>
              <xsd:enumeration value="Algolia"/>
              <xsd:enumeration value="Linqur"/>
              <xsd:enumeration value="PCI Nederland"/>
              <xsd:enumeration value="NBA"/>
              <xsd:enumeration value="Puntkoen.nl"/>
              <xsd:enumeration value="Mentimeter"/>
              <xsd:enumeration value="Documizers"/>
              <xsd:enumeration value="BLAUD"/>
              <xsd:enumeration value="ValidSign"/>
              <xsd:enumeration value="Novalinq"/>
              <xsd:enumeration value="Gamma.app"/>
            </xsd:restriction>
          </xsd:simpleType>
        </xsd:union>
      </xsd:simpleType>
    </xsd:element>
    <xsd:element name="Product" ma:index="20" nillable="true" ma:displayName="Product" ma:format="Dropdown" ma:internalName="Product">
      <xsd:simpleType>
        <xsd:union memberTypes="dms:Text">
          <xsd:simpleType>
            <xsd:restriction base="dms:Choice">
              <xsd:enumeration value="AFAS Online"/>
              <xsd:enumeration value="Antivirus software"/>
              <xsd:enumeration value="Articulate 360 Teams"/>
              <xsd:enumeration value="AV-apparatuur vergaderzalen"/>
              <xsd:enumeration value="Bezoekersregistratie"/>
              <xsd:enumeration value="BusinessMonitor Customer Feedback"/>
              <xsd:enumeration value="Copyright afbeeldingen"/>
              <xsd:enumeration value="Creditsafe KvK koppeling"/>
              <xsd:enumeration value="Cybersecurity awareness"/>
              <xsd:enumeration value="Datastrategie SRA"/>
              <xsd:enumeration value="Dataverbinding"/>
              <xsd:enumeration value="Feedbackplatform"/>
              <xsd:enumeration value="Fortigate Firewall"/>
              <xsd:enumeration value="FUWA-Online"/>
              <xsd:enumeration value="Guardian360"/>
              <xsd:enumeration value="Hardware en Netwerk"/>
              <xsd:enumeration value="Kahoot!"/>
              <xsd:enumeration value="Koppelsoftware"/>
              <xsd:enumeration value="Krabbl digital signing"/>
              <xsd:enumeration value="Microsoft"/>
              <xsd:enumeration value="NBA Toetsingsapplicatie"/>
              <xsd:enumeration value="Outlook Signature Manager"/>
              <xsd:enumeration value="PeopleFluent LMS"/>
              <xsd:enumeration value="Print &amp; Scan"/>
              <xsd:enumeration value="Publitas software"/>
              <xsd:enumeration value="Sitecore CMS"/>
              <xsd:enumeration value="SmartLockr"/>
              <xsd:enumeration value="Telefonie (vast)"/>
              <xsd:enumeration value="Vyond"/>
              <xsd:enumeration value="Wifi netwerk"/>
              <xsd:enumeration value="YourSafetyNet ISMS"/>
              <xsd:enumeration value="Salesfeed Enterprise"/>
              <xsd:enumeration value="Documizers DocuFlow"/>
            </xsd:restriction>
          </xsd:simpleType>
        </xsd:union>
      </xsd:simpleType>
    </xsd:element>
    <xsd:element name="Project" ma:index="21" nillable="true" ma:displayName="Project" ma:format="Dropdown" ma:internalName="Project">
      <xsd:simpleType>
        <xsd:union memberTypes="dms:Text">
          <xsd:simpleType>
            <xsd:restriction base="dms:Choice">
              <xsd:enumeration value="Communicatiemiddelen SRA"/>
              <xsd:enumeration value="Cybersecurity awareness"/>
              <xsd:enumeration value="Doorontwikkeling PeopleFluent"/>
              <xsd:enumeration value="P04027"/>
              <xsd:enumeration value="P04105"/>
              <xsd:enumeration value="P04132"/>
              <xsd:enumeration value="P04169"/>
              <xsd:enumeration value="P04258"/>
              <xsd:enumeration value="P04270"/>
              <xsd:enumeration value="P04330"/>
              <xsd:enumeration value="P04336"/>
              <xsd:enumeration value="P04410"/>
              <xsd:enumeration value="P04489"/>
              <xsd:enumeration value="P04603"/>
              <xsd:enumeration value="P04715"/>
              <xsd:enumeration value="P04789"/>
              <xsd:enumeration value="P05327"/>
              <xsd:enumeration value="P05328"/>
              <xsd:enumeration value="P05360"/>
              <xsd:enumeration value="Vaste telefonie"/>
              <xsd:enumeration value="PO5969"/>
              <xsd:enumeration value="Creates Beheerdagen"/>
            </xsd:restriction>
          </xsd:simpleType>
        </xsd:unio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Location" ma:index="27" nillable="true" ma:displayName="Location" ma:indexed="true" ma:internalName="MediaServiceLocation" ma:readOnly="true">
      <xsd:simpleType>
        <xsd:restriction base="dms:Text"/>
      </xsd:simpleType>
    </xsd:element>
    <xsd:element name="Ingangsdatum" ma:index="28" nillable="true" ma:displayName="Ingangsdatum" ma:description="Datum ingang overeenkomst" ma:format="DateOnly" ma:internalName="Ingangsdatum">
      <xsd:simpleType>
        <xsd:restriction base="dms:DateTime"/>
      </xsd:simpleType>
    </xsd:element>
    <xsd:element name="Einddatum" ma:index="29" nillable="true" ma:displayName="Einddatum" ma:description="Einddatum overeenkomst" ma:format="DateOnly" ma:internalName="Einddatum">
      <xsd:simpleType>
        <xsd:restriction base="dms:DateTime"/>
      </xsd:simpleType>
    </xsd:element>
    <xsd:element name="Opmerking" ma:index="30" nillable="true" ma:displayName="Opmerking" ma:format="Dropdown" ma:internalName="Opmerking">
      <xsd:simpleType>
        <xsd:restriction base="dms:Choice">
          <xsd:enumeration value="Geen studievereniging"/>
          <xsd:enumeration value="Keuze 3"/>
          <xsd:enumeration value="Definitief"/>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fe711e-1bbd-4f65-aab4-383c33315cd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5162a8a-bb0a-4a9b-9488-bb335232ea11}" ma:internalName="TaxCatchAll" ma:showField="CatchAllData" ma:web="3ffe711e-1bbd-4f65-aab4-383c33315cd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58A71C-D108-4939-88FA-2668F8201FD6}">
  <ds:schemaRefs>
    <ds:schemaRef ds:uri="http://schemas.openxmlformats.org/officeDocument/2006/bibliography"/>
  </ds:schemaRefs>
</ds:datastoreItem>
</file>

<file path=customXml/itemProps2.xml><?xml version="1.0" encoding="utf-8"?>
<ds:datastoreItem xmlns:ds="http://schemas.openxmlformats.org/officeDocument/2006/customXml" ds:itemID="{F7752A33-06C5-4573-BB4A-02893A80EBF3}">
  <ds:schemaRefs>
    <ds:schemaRef ds:uri="http://purl.org/dc/dcmitype/"/>
    <ds:schemaRef ds:uri="http://purl.org/dc/elements/1.1/"/>
    <ds:schemaRef ds:uri="http://schemas.openxmlformats.org/package/2006/metadata/core-properties"/>
    <ds:schemaRef ds:uri="http://schemas.microsoft.com/office/2006/documentManagement/types"/>
    <ds:schemaRef ds:uri="http://purl.org/dc/terms/"/>
    <ds:schemaRef ds:uri="http://www.w3.org/XML/1998/namespace"/>
    <ds:schemaRef ds:uri="http://schemas.microsoft.com/office/2006/metadata/properties"/>
    <ds:schemaRef ds:uri="http://schemas.microsoft.com/office/infopath/2007/PartnerControls"/>
    <ds:schemaRef ds:uri="3ffe711e-1bbd-4f65-aab4-383c33315cd5"/>
    <ds:schemaRef ds:uri="d7b6e9b7-fb94-4a11-9f87-5ca99b94be13"/>
  </ds:schemaRefs>
</ds:datastoreItem>
</file>

<file path=customXml/itemProps3.xml><?xml version="1.0" encoding="utf-8"?>
<ds:datastoreItem xmlns:ds="http://schemas.openxmlformats.org/officeDocument/2006/customXml" ds:itemID="{9AEEE37D-9ADE-41BC-A01B-91DC5BE161DD}">
  <ds:schemaRefs>
    <ds:schemaRef ds:uri="http://schemas.microsoft.com/sharepoint/v3/contenttype/forms"/>
  </ds:schemaRefs>
</ds:datastoreItem>
</file>

<file path=customXml/itemProps4.xml><?xml version="1.0" encoding="utf-8"?>
<ds:datastoreItem xmlns:ds="http://schemas.openxmlformats.org/officeDocument/2006/customXml" ds:itemID="{625356E3-F94F-44CA-BEE1-A81238FAC6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b6e9b7-fb94-4a11-9f87-5ca99b94be13"/>
    <ds:schemaRef ds:uri="3ffe711e-1bbd-4f65-aab4-383c33315c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89</Pages>
  <Words>39216</Words>
  <Characters>195298</Characters>
  <Application>Microsoft Office Word</Application>
  <DocSecurity>4</DocSecurity>
  <Lines>4882</Lines>
  <Paragraphs>2075</Paragraphs>
  <ScaleCrop>false</ScaleCrop>
  <HeadingPairs>
    <vt:vector size="2" baseType="variant">
      <vt:variant>
        <vt:lpstr>Titel</vt:lpstr>
      </vt:variant>
      <vt:variant>
        <vt:i4>1</vt:i4>
      </vt:variant>
    </vt:vector>
  </HeadingPairs>
  <TitlesOfParts>
    <vt:vector size="1" baseType="lpstr">
      <vt:lpstr>Special Lonen 2025</vt:lpstr>
    </vt:vector>
  </TitlesOfParts>
  <Company/>
  <LinksUpToDate>false</LinksUpToDate>
  <CharactersWithSpaces>232439</CharactersWithSpaces>
  <SharedDoc>false</SharedDoc>
  <HyperlinkBase/>
  <HLinks>
    <vt:vector size="402" baseType="variant">
      <vt:variant>
        <vt:i4>8257579</vt:i4>
      </vt:variant>
      <vt:variant>
        <vt:i4>372</vt:i4>
      </vt:variant>
      <vt:variant>
        <vt:i4>0</vt:i4>
      </vt:variant>
      <vt:variant>
        <vt:i4>5</vt:i4>
      </vt:variant>
      <vt:variant>
        <vt:lpwstr>https://www.uwv.nl/werkgevers/werkgever-en-ontslag/compensatie-transitievergoeding/</vt:lpwstr>
      </vt:variant>
      <vt:variant>
        <vt:lpwstr/>
      </vt:variant>
      <vt:variant>
        <vt:i4>4194330</vt:i4>
      </vt:variant>
      <vt:variant>
        <vt:i4>369</vt:i4>
      </vt:variant>
      <vt:variant>
        <vt:i4>0</vt:i4>
      </vt:variant>
      <vt:variant>
        <vt:i4>5</vt:i4>
      </vt:variant>
      <vt:variant>
        <vt:lpwstr>https://www.uwv.nl/werkgevers/formulieren/melden-tewerkstelling-van-een-tijdelijk-beschermde-werknemer-uit-oekraine.aspx</vt:lpwstr>
      </vt:variant>
      <vt:variant>
        <vt:lpwstr/>
      </vt:variant>
      <vt:variant>
        <vt:i4>5570572</vt:i4>
      </vt:variant>
      <vt:variant>
        <vt:i4>366</vt:i4>
      </vt:variant>
      <vt:variant>
        <vt:i4>0</vt:i4>
      </vt:variant>
      <vt:variant>
        <vt:i4>5</vt:i4>
      </vt:variant>
      <vt:variant>
        <vt:lpwstr>https://ind.nl/nl/documenten/06-2022-wat-betekent-dat-voor-u0.pdf</vt:lpwstr>
      </vt:variant>
      <vt:variant>
        <vt:lpwstr/>
      </vt:variant>
      <vt:variant>
        <vt:i4>93</vt:i4>
      </vt:variant>
      <vt:variant>
        <vt:i4>363</vt:i4>
      </vt:variant>
      <vt:variant>
        <vt:i4>0</vt:i4>
      </vt:variant>
      <vt:variant>
        <vt:i4>5</vt:i4>
      </vt:variant>
      <vt:variant>
        <vt:lpwstr>https://ind.nl/nl/oekraine/richtlijn-tijdelijke-bescherming-oekraine</vt:lpwstr>
      </vt:variant>
      <vt:variant>
        <vt:lpwstr>voorwaarden-richtlijn-tijdelijke-bescherming</vt:lpwstr>
      </vt:variant>
      <vt:variant>
        <vt:i4>3866676</vt:i4>
      </vt:variant>
      <vt:variant>
        <vt:i4>360</vt:i4>
      </vt:variant>
      <vt:variant>
        <vt:i4>0</vt:i4>
      </vt:variant>
      <vt:variant>
        <vt:i4>5</vt:i4>
      </vt:variant>
      <vt:variant>
        <vt:lpwstr>https://www.svb.nl/nl/algemeen/nieuws/kaderovereenkomst-uitzonderingen-op-de-europese-aanwijsregels</vt:lpwstr>
      </vt:variant>
      <vt:variant>
        <vt:lpwstr/>
      </vt:variant>
      <vt:variant>
        <vt:i4>2097206</vt:i4>
      </vt:variant>
      <vt:variant>
        <vt:i4>357</vt:i4>
      </vt:variant>
      <vt:variant>
        <vt:i4>0</vt:i4>
      </vt:variant>
      <vt:variant>
        <vt:i4>5</vt:i4>
      </vt:variant>
      <vt:variant>
        <vt:lpwstr>https://www.rijksoverheid.nl/ministeries/ministerie-van-financien/documenten/kamerstukken/2023/06/06/kamerbrief-nieuwe-ontwikkelingen-voor-thuiswerkende-grensarbeiders</vt:lpwstr>
      </vt:variant>
      <vt:variant>
        <vt:lpwstr/>
      </vt:variant>
      <vt:variant>
        <vt:i4>917521</vt:i4>
      </vt:variant>
      <vt:variant>
        <vt:i4>354</vt:i4>
      </vt:variant>
      <vt:variant>
        <vt:i4>0</vt:i4>
      </vt:variant>
      <vt:variant>
        <vt:i4>5</vt:i4>
      </vt:variant>
      <vt:variant>
        <vt:lpwstr>https://www.belastingdienst.nl/wps/wcm/connect/bldcontentnl/themaoverstijgend/programmas_en_formulieren/verzoek-loonheffingen-30-regeling-2023</vt:lpwstr>
      </vt:variant>
      <vt:variant>
        <vt:lpwstr/>
      </vt:variant>
      <vt:variant>
        <vt:i4>1835028</vt:i4>
      </vt:variant>
      <vt:variant>
        <vt:i4>351</vt:i4>
      </vt:variant>
      <vt:variant>
        <vt:i4>0</vt:i4>
      </vt:variant>
      <vt:variant>
        <vt:i4>5</vt:i4>
      </vt:variant>
      <vt:variant>
        <vt:lpwstr>https://www.belastingdienst.nl/wps/wcm/connect/nl/buitenland/content/ik-kom-in-nederland-werken-30-procent-regeling-aanvragen</vt:lpwstr>
      </vt:variant>
      <vt:variant>
        <vt:lpwstr/>
      </vt:variant>
      <vt:variant>
        <vt:i4>2490489</vt:i4>
      </vt:variant>
      <vt:variant>
        <vt:i4>348</vt:i4>
      </vt:variant>
      <vt:variant>
        <vt:i4>0</vt:i4>
      </vt:variant>
      <vt:variant>
        <vt:i4>5</vt:i4>
      </vt:variant>
      <vt:variant>
        <vt:lpwstr>https://www.rendement.nl/lkv-en-jeugd-liv/nieuws/publicatie-van-11e-versie-kennisdocument-wtl.html</vt:lpwstr>
      </vt:variant>
      <vt:variant>
        <vt:lpwstr/>
      </vt:variant>
      <vt:variant>
        <vt:i4>3866749</vt:i4>
      </vt:variant>
      <vt:variant>
        <vt:i4>345</vt:i4>
      </vt:variant>
      <vt:variant>
        <vt:i4>0</vt:i4>
      </vt:variant>
      <vt:variant>
        <vt:i4>5</vt:i4>
      </vt:variant>
      <vt:variant>
        <vt:lpwstr>https://www.rvo.nl/sites/default/files/2023-07/IenW-Gegevensverzameling-werkgebonden-personenmobiliteit.pdf</vt:lpwstr>
      </vt:variant>
      <vt:variant>
        <vt:lpwstr/>
      </vt:variant>
      <vt:variant>
        <vt:i4>1703995</vt:i4>
      </vt:variant>
      <vt:variant>
        <vt:i4>338</vt:i4>
      </vt:variant>
      <vt:variant>
        <vt:i4>0</vt:i4>
      </vt:variant>
      <vt:variant>
        <vt:i4>5</vt:i4>
      </vt:variant>
      <vt:variant>
        <vt:lpwstr/>
      </vt:variant>
      <vt:variant>
        <vt:lpwstr>_Toc137640989</vt:lpwstr>
      </vt:variant>
      <vt:variant>
        <vt:i4>1703995</vt:i4>
      </vt:variant>
      <vt:variant>
        <vt:i4>332</vt:i4>
      </vt:variant>
      <vt:variant>
        <vt:i4>0</vt:i4>
      </vt:variant>
      <vt:variant>
        <vt:i4>5</vt:i4>
      </vt:variant>
      <vt:variant>
        <vt:lpwstr/>
      </vt:variant>
      <vt:variant>
        <vt:lpwstr>_Toc137640988</vt:lpwstr>
      </vt:variant>
      <vt:variant>
        <vt:i4>1703995</vt:i4>
      </vt:variant>
      <vt:variant>
        <vt:i4>326</vt:i4>
      </vt:variant>
      <vt:variant>
        <vt:i4>0</vt:i4>
      </vt:variant>
      <vt:variant>
        <vt:i4>5</vt:i4>
      </vt:variant>
      <vt:variant>
        <vt:lpwstr/>
      </vt:variant>
      <vt:variant>
        <vt:lpwstr>_Toc137640987</vt:lpwstr>
      </vt:variant>
      <vt:variant>
        <vt:i4>1703995</vt:i4>
      </vt:variant>
      <vt:variant>
        <vt:i4>320</vt:i4>
      </vt:variant>
      <vt:variant>
        <vt:i4>0</vt:i4>
      </vt:variant>
      <vt:variant>
        <vt:i4>5</vt:i4>
      </vt:variant>
      <vt:variant>
        <vt:lpwstr/>
      </vt:variant>
      <vt:variant>
        <vt:lpwstr>_Toc137640986</vt:lpwstr>
      </vt:variant>
      <vt:variant>
        <vt:i4>1703995</vt:i4>
      </vt:variant>
      <vt:variant>
        <vt:i4>314</vt:i4>
      </vt:variant>
      <vt:variant>
        <vt:i4>0</vt:i4>
      </vt:variant>
      <vt:variant>
        <vt:i4>5</vt:i4>
      </vt:variant>
      <vt:variant>
        <vt:lpwstr/>
      </vt:variant>
      <vt:variant>
        <vt:lpwstr>_Toc137640985</vt:lpwstr>
      </vt:variant>
      <vt:variant>
        <vt:i4>1703995</vt:i4>
      </vt:variant>
      <vt:variant>
        <vt:i4>308</vt:i4>
      </vt:variant>
      <vt:variant>
        <vt:i4>0</vt:i4>
      </vt:variant>
      <vt:variant>
        <vt:i4>5</vt:i4>
      </vt:variant>
      <vt:variant>
        <vt:lpwstr/>
      </vt:variant>
      <vt:variant>
        <vt:lpwstr>_Toc137640984</vt:lpwstr>
      </vt:variant>
      <vt:variant>
        <vt:i4>1703995</vt:i4>
      </vt:variant>
      <vt:variant>
        <vt:i4>302</vt:i4>
      </vt:variant>
      <vt:variant>
        <vt:i4>0</vt:i4>
      </vt:variant>
      <vt:variant>
        <vt:i4>5</vt:i4>
      </vt:variant>
      <vt:variant>
        <vt:lpwstr/>
      </vt:variant>
      <vt:variant>
        <vt:lpwstr>_Toc137640983</vt:lpwstr>
      </vt:variant>
      <vt:variant>
        <vt:i4>1703995</vt:i4>
      </vt:variant>
      <vt:variant>
        <vt:i4>296</vt:i4>
      </vt:variant>
      <vt:variant>
        <vt:i4>0</vt:i4>
      </vt:variant>
      <vt:variant>
        <vt:i4>5</vt:i4>
      </vt:variant>
      <vt:variant>
        <vt:lpwstr/>
      </vt:variant>
      <vt:variant>
        <vt:lpwstr>_Toc137640982</vt:lpwstr>
      </vt:variant>
      <vt:variant>
        <vt:i4>1703995</vt:i4>
      </vt:variant>
      <vt:variant>
        <vt:i4>290</vt:i4>
      </vt:variant>
      <vt:variant>
        <vt:i4>0</vt:i4>
      </vt:variant>
      <vt:variant>
        <vt:i4>5</vt:i4>
      </vt:variant>
      <vt:variant>
        <vt:lpwstr/>
      </vt:variant>
      <vt:variant>
        <vt:lpwstr>_Toc137640981</vt:lpwstr>
      </vt:variant>
      <vt:variant>
        <vt:i4>1703995</vt:i4>
      </vt:variant>
      <vt:variant>
        <vt:i4>284</vt:i4>
      </vt:variant>
      <vt:variant>
        <vt:i4>0</vt:i4>
      </vt:variant>
      <vt:variant>
        <vt:i4>5</vt:i4>
      </vt:variant>
      <vt:variant>
        <vt:lpwstr/>
      </vt:variant>
      <vt:variant>
        <vt:lpwstr>_Toc137640980</vt:lpwstr>
      </vt:variant>
      <vt:variant>
        <vt:i4>1376315</vt:i4>
      </vt:variant>
      <vt:variant>
        <vt:i4>278</vt:i4>
      </vt:variant>
      <vt:variant>
        <vt:i4>0</vt:i4>
      </vt:variant>
      <vt:variant>
        <vt:i4>5</vt:i4>
      </vt:variant>
      <vt:variant>
        <vt:lpwstr/>
      </vt:variant>
      <vt:variant>
        <vt:lpwstr>_Toc137640979</vt:lpwstr>
      </vt:variant>
      <vt:variant>
        <vt:i4>1376315</vt:i4>
      </vt:variant>
      <vt:variant>
        <vt:i4>272</vt:i4>
      </vt:variant>
      <vt:variant>
        <vt:i4>0</vt:i4>
      </vt:variant>
      <vt:variant>
        <vt:i4>5</vt:i4>
      </vt:variant>
      <vt:variant>
        <vt:lpwstr/>
      </vt:variant>
      <vt:variant>
        <vt:lpwstr>_Toc137640978</vt:lpwstr>
      </vt:variant>
      <vt:variant>
        <vt:i4>1376315</vt:i4>
      </vt:variant>
      <vt:variant>
        <vt:i4>266</vt:i4>
      </vt:variant>
      <vt:variant>
        <vt:i4>0</vt:i4>
      </vt:variant>
      <vt:variant>
        <vt:i4>5</vt:i4>
      </vt:variant>
      <vt:variant>
        <vt:lpwstr/>
      </vt:variant>
      <vt:variant>
        <vt:lpwstr>_Toc137640977</vt:lpwstr>
      </vt:variant>
      <vt:variant>
        <vt:i4>1376315</vt:i4>
      </vt:variant>
      <vt:variant>
        <vt:i4>260</vt:i4>
      </vt:variant>
      <vt:variant>
        <vt:i4>0</vt:i4>
      </vt:variant>
      <vt:variant>
        <vt:i4>5</vt:i4>
      </vt:variant>
      <vt:variant>
        <vt:lpwstr/>
      </vt:variant>
      <vt:variant>
        <vt:lpwstr>_Toc137640976</vt:lpwstr>
      </vt:variant>
      <vt:variant>
        <vt:i4>1376315</vt:i4>
      </vt:variant>
      <vt:variant>
        <vt:i4>254</vt:i4>
      </vt:variant>
      <vt:variant>
        <vt:i4>0</vt:i4>
      </vt:variant>
      <vt:variant>
        <vt:i4>5</vt:i4>
      </vt:variant>
      <vt:variant>
        <vt:lpwstr/>
      </vt:variant>
      <vt:variant>
        <vt:lpwstr>_Toc137640975</vt:lpwstr>
      </vt:variant>
      <vt:variant>
        <vt:i4>1376315</vt:i4>
      </vt:variant>
      <vt:variant>
        <vt:i4>248</vt:i4>
      </vt:variant>
      <vt:variant>
        <vt:i4>0</vt:i4>
      </vt:variant>
      <vt:variant>
        <vt:i4>5</vt:i4>
      </vt:variant>
      <vt:variant>
        <vt:lpwstr/>
      </vt:variant>
      <vt:variant>
        <vt:lpwstr>_Toc137640974</vt:lpwstr>
      </vt:variant>
      <vt:variant>
        <vt:i4>1376315</vt:i4>
      </vt:variant>
      <vt:variant>
        <vt:i4>242</vt:i4>
      </vt:variant>
      <vt:variant>
        <vt:i4>0</vt:i4>
      </vt:variant>
      <vt:variant>
        <vt:i4>5</vt:i4>
      </vt:variant>
      <vt:variant>
        <vt:lpwstr/>
      </vt:variant>
      <vt:variant>
        <vt:lpwstr>_Toc137640973</vt:lpwstr>
      </vt:variant>
      <vt:variant>
        <vt:i4>1376315</vt:i4>
      </vt:variant>
      <vt:variant>
        <vt:i4>236</vt:i4>
      </vt:variant>
      <vt:variant>
        <vt:i4>0</vt:i4>
      </vt:variant>
      <vt:variant>
        <vt:i4>5</vt:i4>
      </vt:variant>
      <vt:variant>
        <vt:lpwstr/>
      </vt:variant>
      <vt:variant>
        <vt:lpwstr>_Toc137640972</vt:lpwstr>
      </vt:variant>
      <vt:variant>
        <vt:i4>1376315</vt:i4>
      </vt:variant>
      <vt:variant>
        <vt:i4>230</vt:i4>
      </vt:variant>
      <vt:variant>
        <vt:i4>0</vt:i4>
      </vt:variant>
      <vt:variant>
        <vt:i4>5</vt:i4>
      </vt:variant>
      <vt:variant>
        <vt:lpwstr/>
      </vt:variant>
      <vt:variant>
        <vt:lpwstr>_Toc137640971</vt:lpwstr>
      </vt:variant>
      <vt:variant>
        <vt:i4>1376315</vt:i4>
      </vt:variant>
      <vt:variant>
        <vt:i4>224</vt:i4>
      </vt:variant>
      <vt:variant>
        <vt:i4>0</vt:i4>
      </vt:variant>
      <vt:variant>
        <vt:i4>5</vt:i4>
      </vt:variant>
      <vt:variant>
        <vt:lpwstr/>
      </vt:variant>
      <vt:variant>
        <vt:lpwstr>_Toc137640970</vt:lpwstr>
      </vt:variant>
      <vt:variant>
        <vt:i4>1310779</vt:i4>
      </vt:variant>
      <vt:variant>
        <vt:i4>218</vt:i4>
      </vt:variant>
      <vt:variant>
        <vt:i4>0</vt:i4>
      </vt:variant>
      <vt:variant>
        <vt:i4>5</vt:i4>
      </vt:variant>
      <vt:variant>
        <vt:lpwstr/>
      </vt:variant>
      <vt:variant>
        <vt:lpwstr>_Toc137640969</vt:lpwstr>
      </vt:variant>
      <vt:variant>
        <vt:i4>1310779</vt:i4>
      </vt:variant>
      <vt:variant>
        <vt:i4>212</vt:i4>
      </vt:variant>
      <vt:variant>
        <vt:i4>0</vt:i4>
      </vt:variant>
      <vt:variant>
        <vt:i4>5</vt:i4>
      </vt:variant>
      <vt:variant>
        <vt:lpwstr/>
      </vt:variant>
      <vt:variant>
        <vt:lpwstr>_Toc137640968</vt:lpwstr>
      </vt:variant>
      <vt:variant>
        <vt:i4>1310779</vt:i4>
      </vt:variant>
      <vt:variant>
        <vt:i4>206</vt:i4>
      </vt:variant>
      <vt:variant>
        <vt:i4>0</vt:i4>
      </vt:variant>
      <vt:variant>
        <vt:i4>5</vt:i4>
      </vt:variant>
      <vt:variant>
        <vt:lpwstr/>
      </vt:variant>
      <vt:variant>
        <vt:lpwstr>_Toc137640967</vt:lpwstr>
      </vt:variant>
      <vt:variant>
        <vt:i4>1310779</vt:i4>
      </vt:variant>
      <vt:variant>
        <vt:i4>200</vt:i4>
      </vt:variant>
      <vt:variant>
        <vt:i4>0</vt:i4>
      </vt:variant>
      <vt:variant>
        <vt:i4>5</vt:i4>
      </vt:variant>
      <vt:variant>
        <vt:lpwstr/>
      </vt:variant>
      <vt:variant>
        <vt:lpwstr>_Toc137640966</vt:lpwstr>
      </vt:variant>
      <vt:variant>
        <vt:i4>1310779</vt:i4>
      </vt:variant>
      <vt:variant>
        <vt:i4>194</vt:i4>
      </vt:variant>
      <vt:variant>
        <vt:i4>0</vt:i4>
      </vt:variant>
      <vt:variant>
        <vt:i4>5</vt:i4>
      </vt:variant>
      <vt:variant>
        <vt:lpwstr/>
      </vt:variant>
      <vt:variant>
        <vt:lpwstr>_Toc137640965</vt:lpwstr>
      </vt:variant>
      <vt:variant>
        <vt:i4>1310779</vt:i4>
      </vt:variant>
      <vt:variant>
        <vt:i4>188</vt:i4>
      </vt:variant>
      <vt:variant>
        <vt:i4>0</vt:i4>
      </vt:variant>
      <vt:variant>
        <vt:i4>5</vt:i4>
      </vt:variant>
      <vt:variant>
        <vt:lpwstr/>
      </vt:variant>
      <vt:variant>
        <vt:lpwstr>_Toc137640964</vt:lpwstr>
      </vt:variant>
      <vt:variant>
        <vt:i4>1310779</vt:i4>
      </vt:variant>
      <vt:variant>
        <vt:i4>182</vt:i4>
      </vt:variant>
      <vt:variant>
        <vt:i4>0</vt:i4>
      </vt:variant>
      <vt:variant>
        <vt:i4>5</vt:i4>
      </vt:variant>
      <vt:variant>
        <vt:lpwstr/>
      </vt:variant>
      <vt:variant>
        <vt:lpwstr>_Toc137640963</vt:lpwstr>
      </vt:variant>
      <vt:variant>
        <vt:i4>1310779</vt:i4>
      </vt:variant>
      <vt:variant>
        <vt:i4>176</vt:i4>
      </vt:variant>
      <vt:variant>
        <vt:i4>0</vt:i4>
      </vt:variant>
      <vt:variant>
        <vt:i4>5</vt:i4>
      </vt:variant>
      <vt:variant>
        <vt:lpwstr/>
      </vt:variant>
      <vt:variant>
        <vt:lpwstr>_Toc137640962</vt:lpwstr>
      </vt:variant>
      <vt:variant>
        <vt:i4>1310779</vt:i4>
      </vt:variant>
      <vt:variant>
        <vt:i4>170</vt:i4>
      </vt:variant>
      <vt:variant>
        <vt:i4>0</vt:i4>
      </vt:variant>
      <vt:variant>
        <vt:i4>5</vt:i4>
      </vt:variant>
      <vt:variant>
        <vt:lpwstr/>
      </vt:variant>
      <vt:variant>
        <vt:lpwstr>_Toc137640961</vt:lpwstr>
      </vt:variant>
      <vt:variant>
        <vt:i4>1310779</vt:i4>
      </vt:variant>
      <vt:variant>
        <vt:i4>164</vt:i4>
      </vt:variant>
      <vt:variant>
        <vt:i4>0</vt:i4>
      </vt:variant>
      <vt:variant>
        <vt:i4>5</vt:i4>
      </vt:variant>
      <vt:variant>
        <vt:lpwstr/>
      </vt:variant>
      <vt:variant>
        <vt:lpwstr>_Toc137640960</vt:lpwstr>
      </vt:variant>
      <vt:variant>
        <vt:i4>1507387</vt:i4>
      </vt:variant>
      <vt:variant>
        <vt:i4>158</vt:i4>
      </vt:variant>
      <vt:variant>
        <vt:i4>0</vt:i4>
      </vt:variant>
      <vt:variant>
        <vt:i4>5</vt:i4>
      </vt:variant>
      <vt:variant>
        <vt:lpwstr/>
      </vt:variant>
      <vt:variant>
        <vt:lpwstr>_Toc137640959</vt:lpwstr>
      </vt:variant>
      <vt:variant>
        <vt:i4>1507387</vt:i4>
      </vt:variant>
      <vt:variant>
        <vt:i4>152</vt:i4>
      </vt:variant>
      <vt:variant>
        <vt:i4>0</vt:i4>
      </vt:variant>
      <vt:variant>
        <vt:i4>5</vt:i4>
      </vt:variant>
      <vt:variant>
        <vt:lpwstr/>
      </vt:variant>
      <vt:variant>
        <vt:lpwstr>_Toc137640958</vt:lpwstr>
      </vt:variant>
      <vt:variant>
        <vt:i4>1507387</vt:i4>
      </vt:variant>
      <vt:variant>
        <vt:i4>146</vt:i4>
      </vt:variant>
      <vt:variant>
        <vt:i4>0</vt:i4>
      </vt:variant>
      <vt:variant>
        <vt:i4>5</vt:i4>
      </vt:variant>
      <vt:variant>
        <vt:lpwstr/>
      </vt:variant>
      <vt:variant>
        <vt:lpwstr>_Toc137640957</vt:lpwstr>
      </vt:variant>
      <vt:variant>
        <vt:i4>1507387</vt:i4>
      </vt:variant>
      <vt:variant>
        <vt:i4>140</vt:i4>
      </vt:variant>
      <vt:variant>
        <vt:i4>0</vt:i4>
      </vt:variant>
      <vt:variant>
        <vt:i4>5</vt:i4>
      </vt:variant>
      <vt:variant>
        <vt:lpwstr/>
      </vt:variant>
      <vt:variant>
        <vt:lpwstr>_Toc137640956</vt:lpwstr>
      </vt:variant>
      <vt:variant>
        <vt:i4>1507387</vt:i4>
      </vt:variant>
      <vt:variant>
        <vt:i4>134</vt:i4>
      </vt:variant>
      <vt:variant>
        <vt:i4>0</vt:i4>
      </vt:variant>
      <vt:variant>
        <vt:i4>5</vt:i4>
      </vt:variant>
      <vt:variant>
        <vt:lpwstr/>
      </vt:variant>
      <vt:variant>
        <vt:lpwstr>_Toc137640955</vt:lpwstr>
      </vt:variant>
      <vt:variant>
        <vt:i4>1507387</vt:i4>
      </vt:variant>
      <vt:variant>
        <vt:i4>128</vt:i4>
      </vt:variant>
      <vt:variant>
        <vt:i4>0</vt:i4>
      </vt:variant>
      <vt:variant>
        <vt:i4>5</vt:i4>
      </vt:variant>
      <vt:variant>
        <vt:lpwstr/>
      </vt:variant>
      <vt:variant>
        <vt:lpwstr>_Toc137640954</vt:lpwstr>
      </vt:variant>
      <vt:variant>
        <vt:i4>1507387</vt:i4>
      </vt:variant>
      <vt:variant>
        <vt:i4>122</vt:i4>
      </vt:variant>
      <vt:variant>
        <vt:i4>0</vt:i4>
      </vt:variant>
      <vt:variant>
        <vt:i4>5</vt:i4>
      </vt:variant>
      <vt:variant>
        <vt:lpwstr/>
      </vt:variant>
      <vt:variant>
        <vt:lpwstr>_Toc137640953</vt:lpwstr>
      </vt:variant>
      <vt:variant>
        <vt:i4>1507387</vt:i4>
      </vt:variant>
      <vt:variant>
        <vt:i4>116</vt:i4>
      </vt:variant>
      <vt:variant>
        <vt:i4>0</vt:i4>
      </vt:variant>
      <vt:variant>
        <vt:i4>5</vt:i4>
      </vt:variant>
      <vt:variant>
        <vt:lpwstr/>
      </vt:variant>
      <vt:variant>
        <vt:lpwstr>_Toc137640952</vt:lpwstr>
      </vt:variant>
      <vt:variant>
        <vt:i4>1507387</vt:i4>
      </vt:variant>
      <vt:variant>
        <vt:i4>110</vt:i4>
      </vt:variant>
      <vt:variant>
        <vt:i4>0</vt:i4>
      </vt:variant>
      <vt:variant>
        <vt:i4>5</vt:i4>
      </vt:variant>
      <vt:variant>
        <vt:lpwstr/>
      </vt:variant>
      <vt:variant>
        <vt:lpwstr>_Toc137640951</vt:lpwstr>
      </vt:variant>
      <vt:variant>
        <vt:i4>1507387</vt:i4>
      </vt:variant>
      <vt:variant>
        <vt:i4>104</vt:i4>
      </vt:variant>
      <vt:variant>
        <vt:i4>0</vt:i4>
      </vt:variant>
      <vt:variant>
        <vt:i4>5</vt:i4>
      </vt:variant>
      <vt:variant>
        <vt:lpwstr/>
      </vt:variant>
      <vt:variant>
        <vt:lpwstr>_Toc137640950</vt:lpwstr>
      </vt:variant>
      <vt:variant>
        <vt:i4>1441851</vt:i4>
      </vt:variant>
      <vt:variant>
        <vt:i4>98</vt:i4>
      </vt:variant>
      <vt:variant>
        <vt:i4>0</vt:i4>
      </vt:variant>
      <vt:variant>
        <vt:i4>5</vt:i4>
      </vt:variant>
      <vt:variant>
        <vt:lpwstr/>
      </vt:variant>
      <vt:variant>
        <vt:lpwstr>_Toc137640949</vt:lpwstr>
      </vt:variant>
      <vt:variant>
        <vt:i4>1441851</vt:i4>
      </vt:variant>
      <vt:variant>
        <vt:i4>92</vt:i4>
      </vt:variant>
      <vt:variant>
        <vt:i4>0</vt:i4>
      </vt:variant>
      <vt:variant>
        <vt:i4>5</vt:i4>
      </vt:variant>
      <vt:variant>
        <vt:lpwstr/>
      </vt:variant>
      <vt:variant>
        <vt:lpwstr>_Toc137640948</vt:lpwstr>
      </vt:variant>
      <vt:variant>
        <vt:i4>1441851</vt:i4>
      </vt:variant>
      <vt:variant>
        <vt:i4>86</vt:i4>
      </vt:variant>
      <vt:variant>
        <vt:i4>0</vt:i4>
      </vt:variant>
      <vt:variant>
        <vt:i4>5</vt:i4>
      </vt:variant>
      <vt:variant>
        <vt:lpwstr/>
      </vt:variant>
      <vt:variant>
        <vt:lpwstr>_Toc137640947</vt:lpwstr>
      </vt:variant>
      <vt:variant>
        <vt:i4>1441851</vt:i4>
      </vt:variant>
      <vt:variant>
        <vt:i4>80</vt:i4>
      </vt:variant>
      <vt:variant>
        <vt:i4>0</vt:i4>
      </vt:variant>
      <vt:variant>
        <vt:i4>5</vt:i4>
      </vt:variant>
      <vt:variant>
        <vt:lpwstr/>
      </vt:variant>
      <vt:variant>
        <vt:lpwstr>_Toc137640946</vt:lpwstr>
      </vt:variant>
      <vt:variant>
        <vt:i4>1441851</vt:i4>
      </vt:variant>
      <vt:variant>
        <vt:i4>74</vt:i4>
      </vt:variant>
      <vt:variant>
        <vt:i4>0</vt:i4>
      </vt:variant>
      <vt:variant>
        <vt:i4>5</vt:i4>
      </vt:variant>
      <vt:variant>
        <vt:lpwstr/>
      </vt:variant>
      <vt:variant>
        <vt:lpwstr>_Toc137640945</vt:lpwstr>
      </vt:variant>
      <vt:variant>
        <vt:i4>1441851</vt:i4>
      </vt:variant>
      <vt:variant>
        <vt:i4>68</vt:i4>
      </vt:variant>
      <vt:variant>
        <vt:i4>0</vt:i4>
      </vt:variant>
      <vt:variant>
        <vt:i4>5</vt:i4>
      </vt:variant>
      <vt:variant>
        <vt:lpwstr/>
      </vt:variant>
      <vt:variant>
        <vt:lpwstr>_Toc137640944</vt:lpwstr>
      </vt:variant>
      <vt:variant>
        <vt:i4>1441851</vt:i4>
      </vt:variant>
      <vt:variant>
        <vt:i4>62</vt:i4>
      </vt:variant>
      <vt:variant>
        <vt:i4>0</vt:i4>
      </vt:variant>
      <vt:variant>
        <vt:i4>5</vt:i4>
      </vt:variant>
      <vt:variant>
        <vt:lpwstr/>
      </vt:variant>
      <vt:variant>
        <vt:lpwstr>_Toc137640943</vt:lpwstr>
      </vt:variant>
      <vt:variant>
        <vt:i4>1441851</vt:i4>
      </vt:variant>
      <vt:variant>
        <vt:i4>56</vt:i4>
      </vt:variant>
      <vt:variant>
        <vt:i4>0</vt:i4>
      </vt:variant>
      <vt:variant>
        <vt:i4>5</vt:i4>
      </vt:variant>
      <vt:variant>
        <vt:lpwstr/>
      </vt:variant>
      <vt:variant>
        <vt:lpwstr>_Toc137640942</vt:lpwstr>
      </vt:variant>
      <vt:variant>
        <vt:i4>1441851</vt:i4>
      </vt:variant>
      <vt:variant>
        <vt:i4>50</vt:i4>
      </vt:variant>
      <vt:variant>
        <vt:i4>0</vt:i4>
      </vt:variant>
      <vt:variant>
        <vt:i4>5</vt:i4>
      </vt:variant>
      <vt:variant>
        <vt:lpwstr/>
      </vt:variant>
      <vt:variant>
        <vt:lpwstr>_Toc137640941</vt:lpwstr>
      </vt:variant>
      <vt:variant>
        <vt:i4>1441851</vt:i4>
      </vt:variant>
      <vt:variant>
        <vt:i4>44</vt:i4>
      </vt:variant>
      <vt:variant>
        <vt:i4>0</vt:i4>
      </vt:variant>
      <vt:variant>
        <vt:i4>5</vt:i4>
      </vt:variant>
      <vt:variant>
        <vt:lpwstr/>
      </vt:variant>
      <vt:variant>
        <vt:lpwstr>_Toc137640940</vt:lpwstr>
      </vt:variant>
      <vt:variant>
        <vt:i4>1114171</vt:i4>
      </vt:variant>
      <vt:variant>
        <vt:i4>38</vt:i4>
      </vt:variant>
      <vt:variant>
        <vt:i4>0</vt:i4>
      </vt:variant>
      <vt:variant>
        <vt:i4>5</vt:i4>
      </vt:variant>
      <vt:variant>
        <vt:lpwstr/>
      </vt:variant>
      <vt:variant>
        <vt:lpwstr>_Toc137640939</vt:lpwstr>
      </vt:variant>
      <vt:variant>
        <vt:i4>1114171</vt:i4>
      </vt:variant>
      <vt:variant>
        <vt:i4>32</vt:i4>
      </vt:variant>
      <vt:variant>
        <vt:i4>0</vt:i4>
      </vt:variant>
      <vt:variant>
        <vt:i4>5</vt:i4>
      </vt:variant>
      <vt:variant>
        <vt:lpwstr/>
      </vt:variant>
      <vt:variant>
        <vt:lpwstr>_Toc137640938</vt:lpwstr>
      </vt:variant>
      <vt:variant>
        <vt:i4>1114171</vt:i4>
      </vt:variant>
      <vt:variant>
        <vt:i4>26</vt:i4>
      </vt:variant>
      <vt:variant>
        <vt:i4>0</vt:i4>
      </vt:variant>
      <vt:variant>
        <vt:i4>5</vt:i4>
      </vt:variant>
      <vt:variant>
        <vt:lpwstr/>
      </vt:variant>
      <vt:variant>
        <vt:lpwstr>_Toc137640937</vt:lpwstr>
      </vt:variant>
      <vt:variant>
        <vt:i4>1114171</vt:i4>
      </vt:variant>
      <vt:variant>
        <vt:i4>20</vt:i4>
      </vt:variant>
      <vt:variant>
        <vt:i4>0</vt:i4>
      </vt:variant>
      <vt:variant>
        <vt:i4>5</vt:i4>
      </vt:variant>
      <vt:variant>
        <vt:lpwstr/>
      </vt:variant>
      <vt:variant>
        <vt:lpwstr>_Toc137640936</vt:lpwstr>
      </vt:variant>
      <vt:variant>
        <vt:i4>1114171</vt:i4>
      </vt:variant>
      <vt:variant>
        <vt:i4>14</vt:i4>
      </vt:variant>
      <vt:variant>
        <vt:i4>0</vt:i4>
      </vt:variant>
      <vt:variant>
        <vt:i4>5</vt:i4>
      </vt:variant>
      <vt:variant>
        <vt:lpwstr/>
      </vt:variant>
      <vt:variant>
        <vt:lpwstr>_Toc137640935</vt:lpwstr>
      </vt:variant>
      <vt:variant>
        <vt:i4>1114171</vt:i4>
      </vt:variant>
      <vt:variant>
        <vt:i4>8</vt:i4>
      </vt:variant>
      <vt:variant>
        <vt:i4>0</vt:i4>
      </vt:variant>
      <vt:variant>
        <vt:i4>5</vt:i4>
      </vt:variant>
      <vt:variant>
        <vt:lpwstr/>
      </vt:variant>
      <vt:variant>
        <vt:lpwstr>_Toc137640934</vt:lpwstr>
      </vt:variant>
      <vt:variant>
        <vt:i4>1114171</vt:i4>
      </vt:variant>
      <vt:variant>
        <vt:i4>2</vt:i4>
      </vt:variant>
      <vt:variant>
        <vt:i4>0</vt:i4>
      </vt:variant>
      <vt:variant>
        <vt:i4>5</vt:i4>
      </vt:variant>
      <vt:variant>
        <vt:lpwstr/>
      </vt:variant>
      <vt:variant>
        <vt:lpwstr>_Toc137640933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Lonen 2025</dc:title>
  <dc:subject/>
  <dc:creator>SRA</dc:creator>
  <cp:keywords/>
  <cp:lastModifiedBy>Sabrina Tallih – Aldaibis | SRA</cp:lastModifiedBy>
  <cp:revision>2</cp:revision>
  <cp:lastPrinted>2023-12-22T14:23:00Z</cp:lastPrinted>
  <dcterms:created xsi:type="dcterms:W3CDTF">2026-02-04T07:49:00Z</dcterms:created>
  <dcterms:modified xsi:type="dcterms:W3CDTF">2026-02-04T07:49:00Z</dcterms:modified>
  <cp:category>Nieuwsbrief</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0x0101007FFDBF62B2E9554DBE76A3CDACB7E478</vt:lpwstr>
  </property>
  <property fmtid="{D5CDD505-2E9C-101B-9397-08002B2CF9AE}" pid="3" name="MediaServiceImageTags">
    <vt:lpwstr/>
  </property>
</Properties>
</file>