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9568" w14:textId="77777777" w:rsidR="003C63AE" w:rsidRPr="00BF3362" w:rsidRDefault="003C63AE" w:rsidP="00BC3C9F">
      <w:pPr>
        <w:rPr>
          <w:rFonts w:ascii="Arial" w:hAnsi="Arial" w:cs="Arial"/>
          <w:sz w:val="36"/>
          <w:szCs w:val="20"/>
        </w:rPr>
      </w:pPr>
      <w:bookmarkStart w:id="0" w:name="_Toc492295218"/>
      <w:bookmarkStart w:id="1" w:name="_Toc240939915"/>
    </w:p>
    <w:p w14:paraId="0EE5992A" w14:textId="590BA981" w:rsidR="00BC3C9F" w:rsidRPr="00BF3362" w:rsidRDefault="00BC3C9F" w:rsidP="00BC3C9F">
      <w:pPr>
        <w:rPr>
          <w:rFonts w:ascii="Arial" w:hAnsi="Arial" w:cs="Arial"/>
          <w:sz w:val="36"/>
          <w:szCs w:val="20"/>
        </w:rPr>
      </w:pPr>
      <w:r w:rsidRPr="00BF3362">
        <w:rPr>
          <w:rFonts w:ascii="Arial" w:hAnsi="Arial"/>
          <w:sz w:val="36"/>
          <w:szCs w:val="20"/>
        </w:rPr>
        <w:t>20</w:t>
      </w:r>
      <w:bookmarkEnd w:id="0"/>
      <w:r w:rsidRPr="00BF3362">
        <w:rPr>
          <w:rFonts w:ascii="Arial" w:hAnsi="Arial"/>
          <w:sz w:val="36"/>
          <w:szCs w:val="20"/>
        </w:rPr>
        <w:t>21 Budget Memorandum Special</w:t>
      </w:r>
    </w:p>
    <w:p w14:paraId="1931A6C5" w14:textId="77777777" w:rsidR="008F7E0C" w:rsidRPr="00BF3362" w:rsidRDefault="008F7E0C" w:rsidP="00D209BD">
      <w:pPr>
        <w:pStyle w:val="Geenafstand"/>
        <w:rPr>
          <w:rFonts w:ascii="Arial" w:hAnsi="Arial" w:cs="Arial"/>
          <w:sz w:val="20"/>
          <w:szCs w:val="20"/>
        </w:rPr>
      </w:pPr>
    </w:p>
    <w:p w14:paraId="20D7841F" w14:textId="77777777" w:rsidR="009A6874" w:rsidRPr="00BF3362" w:rsidRDefault="00F272F4" w:rsidP="00D209BD">
      <w:pPr>
        <w:rPr>
          <w:rFonts w:ascii="Arial" w:hAnsi="Arial" w:cs="Arial"/>
          <w:b/>
          <w:sz w:val="20"/>
          <w:szCs w:val="20"/>
        </w:rPr>
      </w:pPr>
      <w:r w:rsidRPr="00BF3362">
        <w:rPr>
          <w:rFonts w:ascii="Arial" w:hAnsi="Arial"/>
          <w:b/>
          <w:sz w:val="20"/>
          <w:szCs w:val="20"/>
        </w:rPr>
        <w:t>Introduction</w:t>
      </w:r>
    </w:p>
    <w:p w14:paraId="06F467B7" w14:textId="77777777" w:rsidR="009A6874" w:rsidRPr="00BF3362" w:rsidRDefault="009A6874" w:rsidP="00D209BD">
      <w:pPr>
        <w:rPr>
          <w:rFonts w:ascii="Arial" w:hAnsi="Arial" w:cs="Arial"/>
          <w:sz w:val="20"/>
          <w:szCs w:val="20"/>
        </w:rPr>
      </w:pPr>
    </w:p>
    <w:p w14:paraId="3D612A38" w14:textId="25FB0771" w:rsidR="001C5EA6" w:rsidRPr="00BF3362" w:rsidRDefault="001C5EA6" w:rsidP="001C5EA6">
      <w:pPr>
        <w:rPr>
          <w:rFonts w:ascii="Arial" w:hAnsi="Arial" w:cs="Arial"/>
          <w:sz w:val="20"/>
          <w:szCs w:val="20"/>
        </w:rPr>
      </w:pPr>
      <w:r w:rsidRPr="00BF3362">
        <w:rPr>
          <w:rFonts w:ascii="Arial" w:hAnsi="Arial"/>
          <w:sz w:val="20"/>
          <w:szCs w:val="20"/>
        </w:rPr>
        <w:t>On Prince’s Day, which this year saw some changes to the usual formalities, the government presented the 2021 Budget Memorandum and 2021 Tax Plan. The measures set out in the 2021 Tax Plan have been influenced greatly by the coronavirus crisis.</w:t>
      </w:r>
    </w:p>
    <w:p w14:paraId="539D8E45" w14:textId="77777777" w:rsidR="001C5EA6" w:rsidRPr="00BF3362" w:rsidRDefault="001C5EA6" w:rsidP="001C5EA6">
      <w:pPr>
        <w:rPr>
          <w:rFonts w:ascii="Arial" w:hAnsi="Arial" w:cs="Arial"/>
          <w:sz w:val="20"/>
          <w:szCs w:val="20"/>
        </w:rPr>
      </w:pPr>
    </w:p>
    <w:p w14:paraId="2B25E24C" w14:textId="5E67C46E" w:rsidR="00122F79" w:rsidRPr="00BF3362" w:rsidRDefault="001C5EA6" w:rsidP="001C5EA6">
      <w:pPr>
        <w:rPr>
          <w:rFonts w:ascii="Arial" w:hAnsi="Arial" w:cs="Arial"/>
          <w:sz w:val="20"/>
          <w:szCs w:val="20"/>
        </w:rPr>
      </w:pPr>
      <w:r w:rsidRPr="00BF3362">
        <w:rPr>
          <w:rFonts w:ascii="Arial" w:hAnsi="Arial"/>
          <w:sz w:val="20"/>
          <w:szCs w:val="20"/>
        </w:rPr>
        <w:t>This document outlines proposals by the government that will be debated in Parliament over the forthcoming period. Unless indicated otherwise, the proposed measures will enter into force with effect from 1 January 2021.</w:t>
      </w:r>
    </w:p>
    <w:p w14:paraId="67674E4E" w14:textId="77777777" w:rsidR="008658F9" w:rsidRPr="00BF3362" w:rsidRDefault="008658F9" w:rsidP="00D209BD">
      <w:pPr>
        <w:rPr>
          <w:rFonts w:ascii="Arial" w:hAnsi="Arial" w:cs="Arial"/>
          <w:sz w:val="20"/>
          <w:szCs w:val="20"/>
        </w:rPr>
      </w:pPr>
    </w:p>
    <w:p w14:paraId="0133F83B" w14:textId="77777777" w:rsidR="00BC3C9F" w:rsidRPr="00BF3362" w:rsidRDefault="00BC3C9F" w:rsidP="00BC3C9F">
      <w:pPr>
        <w:rPr>
          <w:rFonts w:ascii="Arial" w:hAnsi="Arial" w:cs="Arial"/>
          <w:b/>
          <w:szCs w:val="20"/>
        </w:rPr>
      </w:pPr>
      <w:r w:rsidRPr="00BF3362">
        <w:rPr>
          <w:rFonts w:ascii="Arial" w:hAnsi="Arial"/>
          <w:b/>
          <w:szCs w:val="20"/>
        </w:rPr>
        <w:t>Table of contents</w:t>
      </w:r>
    </w:p>
    <w:p w14:paraId="5D915A43" w14:textId="694EED59" w:rsidR="007C7138" w:rsidRDefault="00F272F4">
      <w:pPr>
        <w:pStyle w:val="Inhopg1"/>
        <w:tabs>
          <w:tab w:val="left" w:pos="480"/>
        </w:tabs>
        <w:rPr>
          <w:rFonts w:asciiTheme="minorHAnsi" w:eastAsiaTheme="minorEastAsia" w:hAnsiTheme="minorHAnsi" w:cstheme="minorBidi"/>
          <w:b w:val="0"/>
          <w:sz w:val="22"/>
          <w:szCs w:val="22"/>
          <w:lang w:val="nl-NL"/>
        </w:rPr>
      </w:pPr>
      <w:r w:rsidRPr="00BF3362">
        <w:rPr>
          <w:sz w:val="20"/>
          <w:szCs w:val="20"/>
        </w:rPr>
        <w:fldChar w:fldCharType="begin"/>
      </w:r>
      <w:r w:rsidRPr="00BF3362">
        <w:rPr>
          <w:sz w:val="20"/>
          <w:szCs w:val="20"/>
        </w:rPr>
        <w:instrText xml:space="preserve"> TOC \o "1-3" \h \z \u </w:instrText>
      </w:r>
      <w:r w:rsidRPr="00BF3362">
        <w:rPr>
          <w:sz w:val="20"/>
          <w:szCs w:val="20"/>
        </w:rPr>
        <w:fldChar w:fldCharType="separate"/>
      </w:r>
      <w:hyperlink w:anchor="_Toc51752492" w:history="1">
        <w:r w:rsidR="007C7138" w:rsidRPr="00F17274">
          <w:rPr>
            <w:rStyle w:val="Hyperlink"/>
          </w:rPr>
          <w:t>1</w:t>
        </w:r>
        <w:r w:rsidR="007C7138">
          <w:rPr>
            <w:rFonts w:asciiTheme="minorHAnsi" w:eastAsiaTheme="minorEastAsia" w:hAnsiTheme="minorHAnsi" w:cstheme="minorBidi"/>
            <w:b w:val="0"/>
            <w:sz w:val="22"/>
            <w:szCs w:val="22"/>
            <w:lang w:val="nl-NL"/>
          </w:rPr>
          <w:tab/>
        </w:r>
        <w:r w:rsidR="007C7138" w:rsidRPr="00F17274">
          <w:rPr>
            <w:rStyle w:val="Hyperlink"/>
          </w:rPr>
          <w:t>Rates</w:t>
        </w:r>
        <w:r w:rsidR="007C7138">
          <w:rPr>
            <w:webHidden/>
          </w:rPr>
          <w:tab/>
        </w:r>
        <w:r w:rsidR="007C7138">
          <w:rPr>
            <w:webHidden/>
          </w:rPr>
          <w:fldChar w:fldCharType="begin"/>
        </w:r>
        <w:r w:rsidR="007C7138">
          <w:rPr>
            <w:webHidden/>
          </w:rPr>
          <w:instrText xml:space="preserve"> PAGEREF _Toc51752492 \h </w:instrText>
        </w:r>
        <w:r w:rsidR="007C7138">
          <w:rPr>
            <w:webHidden/>
          </w:rPr>
        </w:r>
        <w:r w:rsidR="007C7138">
          <w:rPr>
            <w:webHidden/>
          </w:rPr>
          <w:fldChar w:fldCharType="separate"/>
        </w:r>
        <w:r w:rsidR="007C7138">
          <w:rPr>
            <w:webHidden/>
          </w:rPr>
          <w:t>3</w:t>
        </w:r>
        <w:r w:rsidR="007C7138">
          <w:rPr>
            <w:webHidden/>
          </w:rPr>
          <w:fldChar w:fldCharType="end"/>
        </w:r>
      </w:hyperlink>
    </w:p>
    <w:p w14:paraId="2C40A803" w14:textId="3C9F5FA3"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493" w:history="1">
        <w:r w:rsidRPr="00F17274">
          <w:rPr>
            <w:rStyle w:val="Hyperlink"/>
            <w:noProof/>
          </w:rPr>
          <w:t>Two-band system: rate in first band to be reduced</w:t>
        </w:r>
        <w:r>
          <w:rPr>
            <w:noProof/>
            <w:webHidden/>
          </w:rPr>
          <w:tab/>
        </w:r>
        <w:r>
          <w:rPr>
            <w:noProof/>
            <w:webHidden/>
          </w:rPr>
          <w:fldChar w:fldCharType="begin"/>
        </w:r>
        <w:r>
          <w:rPr>
            <w:noProof/>
            <w:webHidden/>
          </w:rPr>
          <w:instrText xml:space="preserve"> PAGEREF _Toc51752493 \h </w:instrText>
        </w:r>
        <w:r>
          <w:rPr>
            <w:noProof/>
            <w:webHidden/>
          </w:rPr>
        </w:r>
        <w:r>
          <w:rPr>
            <w:noProof/>
            <w:webHidden/>
          </w:rPr>
          <w:fldChar w:fldCharType="separate"/>
        </w:r>
        <w:r>
          <w:rPr>
            <w:noProof/>
            <w:webHidden/>
          </w:rPr>
          <w:t>3</w:t>
        </w:r>
        <w:r>
          <w:rPr>
            <w:noProof/>
            <w:webHidden/>
          </w:rPr>
          <w:fldChar w:fldCharType="end"/>
        </w:r>
      </w:hyperlink>
    </w:p>
    <w:p w14:paraId="477A559A" w14:textId="4AAD443F"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494" w:history="1">
        <w:r w:rsidRPr="00F17274">
          <w:rPr>
            <w:rStyle w:val="Hyperlink"/>
            <w:noProof/>
          </w:rPr>
          <w:t>Overview of changes to tax credits</w:t>
        </w:r>
        <w:r>
          <w:rPr>
            <w:noProof/>
            <w:webHidden/>
          </w:rPr>
          <w:tab/>
        </w:r>
        <w:r>
          <w:rPr>
            <w:noProof/>
            <w:webHidden/>
          </w:rPr>
          <w:fldChar w:fldCharType="begin"/>
        </w:r>
        <w:r>
          <w:rPr>
            <w:noProof/>
            <w:webHidden/>
          </w:rPr>
          <w:instrText xml:space="preserve"> PAGEREF _Toc51752494 \h </w:instrText>
        </w:r>
        <w:r>
          <w:rPr>
            <w:noProof/>
            <w:webHidden/>
          </w:rPr>
        </w:r>
        <w:r>
          <w:rPr>
            <w:noProof/>
            <w:webHidden/>
          </w:rPr>
          <w:fldChar w:fldCharType="separate"/>
        </w:r>
        <w:r>
          <w:rPr>
            <w:noProof/>
            <w:webHidden/>
          </w:rPr>
          <w:t>3</w:t>
        </w:r>
        <w:r>
          <w:rPr>
            <w:noProof/>
            <w:webHidden/>
          </w:rPr>
          <w:fldChar w:fldCharType="end"/>
        </w:r>
      </w:hyperlink>
    </w:p>
    <w:p w14:paraId="3B32DEF8" w14:textId="3E975D31"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495" w:history="1">
        <w:r w:rsidRPr="00F17274">
          <w:rPr>
            <w:rStyle w:val="Hyperlink"/>
            <w:noProof/>
          </w:rPr>
          <w:t>Rate applicable to substantial shareholdings in box 2</w:t>
        </w:r>
        <w:r>
          <w:rPr>
            <w:noProof/>
            <w:webHidden/>
          </w:rPr>
          <w:tab/>
        </w:r>
        <w:r>
          <w:rPr>
            <w:noProof/>
            <w:webHidden/>
          </w:rPr>
          <w:fldChar w:fldCharType="begin"/>
        </w:r>
        <w:r>
          <w:rPr>
            <w:noProof/>
            <w:webHidden/>
          </w:rPr>
          <w:instrText xml:space="preserve"> PAGEREF _Toc51752495 \h </w:instrText>
        </w:r>
        <w:r>
          <w:rPr>
            <w:noProof/>
            <w:webHidden/>
          </w:rPr>
        </w:r>
        <w:r>
          <w:rPr>
            <w:noProof/>
            <w:webHidden/>
          </w:rPr>
          <w:fldChar w:fldCharType="separate"/>
        </w:r>
        <w:r>
          <w:rPr>
            <w:noProof/>
            <w:webHidden/>
          </w:rPr>
          <w:t>3</w:t>
        </w:r>
        <w:r>
          <w:rPr>
            <w:noProof/>
            <w:webHidden/>
          </w:rPr>
          <w:fldChar w:fldCharType="end"/>
        </w:r>
      </w:hyperlink>
    </w:p>
    <w:p w14:paraId="29A0AAC2" w14:textId="6F82B1C0"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496" w:history="1">
        <w:r w:rsidRPr="00F17274">
          <w:rPr>
            <w:rStyle w:val="Hyperlink"/>
            <w:noProof/>
          </w:rPr>
          <w:t>Adjustment of rate in box 3</w:t>
        </w:r>
        <w:r>
          <w:rPr>
            <w:noProof/>
            <w:webHidden/>
          </w:rPr>
          <w:tab/>
        </w:r>
        <w:r>
          <w:rPr>
            <w:noProof/>
            <w:webHidden/>
          </w:rPr>
          <w:fldChar w:fldCharType="begin"/>
        </w:r>
        <w:r>
          <w:rPr>
            <w:noProof/>
            <w:webHidden/>
          </w:rPr>
          <w:instrText xml:space="preserve"> PAGEREF _Toc51752496 \h </w:instrText>
        </w:r>
        <w:r>
          <w:rPr>
            <w:noProof/>
            <w:webHidden/>
          </w:rPr>
        </w:r>
        <w:r>
          <w:rPr>
            <w:noProof/>
            <w:webHidden/>
          </w:rPr>
          <w:fldChar w:fldCharType="separate"/>
        </w:r>
        <w:r>
          <w:rPr>
            <w:noProof/>
            <w:webHidden/>
          </w:rPr>
          <w:t>4</w:t>
        </w:r>
        <w:r>
          <w:rPr>
            <w:noProof/>
            <w:webHidden/>
          </w:rPr>
          <w:fldChar w:fldCharType="end"/>
        </w:r>
      </w:hyperlink>
    </w:p>
    <w:p w14:paraId="13C3A614" w14:textId="4CE14569"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497" w:history="1">
        <w:r w:rsidRPr="00F17274">
          <w:rPr>
            <w:rStyle w:val="Hyperlink"/>
            <w:noProof/>
          </w:rPr>
          <w:t>Change to corporation tax rates</w:t>
        </w:r>
        <w:r>
          <w:rPr>
            <w:noProof/>
            <w:webHidden/>
          </w:rPr>
          <w:tab/>
        </w:r>
        <w:r>
          <w:rPr>
            <w:noProof/>
            <w:webHidden/>
          </w:rPr>
          <w:fldChar w:fldCharType="begin"/>
        </w:r>
        <w:r>
          <w:rPr>
            <w:noProof/>
            <w:webHidden/>
          </w:rPr>
          <w:instrText xml:space="preserve"> PAGEREF _Toc51752497 \h </w:instrText>
        </w:r>
        <w:r>
          <w:rPr>
            <w:noProof/>
            <w:webHidden/>
          </w:rPr>
        </w:r>
        <w:r>
          <w:rPr>
            <w:noProof/>
            <w:webHidden/>
          </w:rPr>
          <w:fldChar w:fldCharType="separate"/>
        </w:r>
        <w:r>
          <w:rPr>
            <w:noProof/>
            <w:webHidden/>
          </w:rPr>
          <w:t>4</w:t>
        </w:r>
        <w:r>
          <w:rPr>
            <w:noProof/>
            <w:webHidden/>
          </w:rPr>
          <w:fldChar w:fldCharType="end"/>
        </w:r>
      </w:hyperlink>
    </w:p>
    <w:p w14:paraId="53C6F953" w14:textId="56130299"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498" w:history="1">
        <w:r w:rsidRPr="00F17274">
          <w:rPr>
            <w:rStyle w:val="Hyperlink"/>
            <w:noProof/>
          </w:rPr>
          <w:t>Innovation box</w:t>
        </w:r>
        <w:r>
          <w:rPr>
            <w:noProof/>
            <w:webHidden/>
          </w:rPr>
          <w:tab/>
        </w:r>
        <w:r>
          <w:rPr>
            <w:noProof/>
            <w:webHidden/>
          </w:rPr>
          <w:fldChar w:fldCharType="begin"/>
        </w:r>
        <w:r>
          <w:rPr>
            <w:noProof/>
            <w:webHidden/>
          </w:rPr>
          <w:instrText xml:space="preserve"> PAGEREF _Toc51752498 \h </w:instrText>
        </w:r>
        <w:r>
          <w:rPr>
            <w:noProof/>
            <w:webHidden/>
          </w:rPr>
        </w:r>
        <w:r>
          <w:rPr>
            <w:noProof/>
            <w:webHidden/>
          </w:rPr>
          <w:fldChar w:fldCharType="separate"/>
        </w:r>
        <w:r>
          <w:rPr>
            <w:noProof/>
            <w:webHidden/>
          </w:rPr>
          <w:t>4</w:t>
        </w:r>
        <w:r>
          <w:rPr>
            <w:noProof/>
            <w:webHidden/>
          </w:rPr>
          <w:fldChar w:fldCharType="end"/>
        </w:r>
      </w:hyperlink>
    </w:p>
    <w:p w14:paraId="1357B780" w14:textId="6305B937" w:rsidR="007C7138" w:rsidRDefault="007C7138">
      <w:pPr>
        <w:pStyle w:val="Inhopg1"/>
        <w:tabs>
          <w:tab w:val="left" w:pos="480"/>
        </w:tabs>
        <w:rPr>
          <w:rFonts w:asciiTheme="minorHAnsi" w:eastAsiaTheme="minorEastAsia" w:hAnsiTheme="minorHAnsi" w:cstheme="minorBidi"/>
          <w:b w:val="0"/>
          <w:sz w:val="22"/>
          <w:szCs w:val="22"/>
          <w:lang w:val="nl-NL"/>
        </w:rPr>
      </w:pPr>
      <w:hyperlink w:anchor="_Toc51752499" w:history="1">
        <w:r w:rsidRPr="00F17274">
          <w:rPr>
            <w:rStyle w:val="Hyperlink"/>
          </w:rPr>
          <w:t>2</w:t>
        </w:r>
        <w:r>
          <w:rPr>
            <w:rFonts w:asciiTheme="minorHAnsi" w:eastAsiaTheme="minorEastAsia" w:hAnsiTheme="minorHAnsi" w:cstheme="minorBidi"/>
            <w:b w:val="0"/>
            <w:sz w:val="22"/>
            <w:szCs w:val="22"/>
            <w:lang w:val="nl-NL"/>
          </w:rPr>
          <w:tab/>
        </w:r>
        <w:r w:rsidRPr="00F17274">
          <w:rPr>
            <w:rStyle w:val="Hyperlink"/>
          </w:rPr>
          <w:t>Property</w:t>
        </w:r>
        <w:r>
          <w:rPr>
            <w:webHidden/>
          </w:rPr>
          <w:tab/>
        </w:r>
        <w:r>
          <w:rPr>
            <w:webHidden/>
          </w:rPr>
          <w:fldChar w:fldCharType="begin"/>
        </w:r>
        <w:r>
          <w:rPr>
            <w:webHidden/>
          </w:rPr>
          <w:instrText xml:space="preserve"> PAGEREF _Toc51752499 \h </w:instrText>
        </w:r>
        <w:r>
          <w:rPr>
            <w:webHidden/>
          </w:rPr>
        </w:r>
        <w:r>
          <w:rPr>
            <w:webHidden/>
          </w:rPr>
          <w:fldChar w:fldCharType="separate"/>
        </w:r>
        <w:r>
          <w:rPr>
            <w:webHidden/>
          </w:rPr>
          <w:t>5</w:t>
        </w:r>
        <w:r>
          <w:rPr>
            <w:webHidden/>
          </w:rPr>
          <w:fldChar w:fldCharType="end"/>
        </w:r>
      </w:hyperlink>
    </w:p>
    <w:p w14:paraId="272774E1" w14:textId="7C99E770"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0" w:history="1">
        <w:r w:rsidRPr="00F17274">
          <w:rPr>
            <w:rStyle w:val="Hyperlink"/>
            <w:noProof/>
          </w:rPr>
          <w:t>Accelerated reduction in mortgage interest relief on own home</w:t>
        </w:r>
        <w:r>
          <w:rPr>
            <w:noProof/>
            <w:webHidden/>
          </w:rPr>
          <w:tab/>
        </w:r>
        <w:r>
          <w:rPr>
            <w:noProof/>
            <w:webHidden/>
          </w:rPr>
          <w:fldChar w:fldCharType="begin"/>
        </w:r>
        <w:r>
          <w:rPr>
            <w:noProof/>
            <w:webHidden/>
          </w:rPr>
          <w:instrText xml:space="preserve"> PAGEREF _Toc51752500 \h </w:instrText>
        </w:r>
        <w:r>
          <w:rPr>
            <w:noProof/>
            <w:webHidden/>
          </w:rPr>
        </w:r>
        <w:r>
          <w:rPr>
            <w:noProof/>
            <w:webHidden/>
          </w:rPr>
          <w:fldChar w:fldCharType="separate"/>
        </w:r>
        <w:r>
          <w:rPr>
            <w:noProof/>
            <w:webHidden/>
          </w:rPr>
          <w:t>5</w:t>
        </w:r>
        <w:r>
          <w:rPr>
            <w:noProof/>
            <w:webHidden/>
          </w:rPr>
          <w:fldChar w:fldCharType="end"/>
        </w:r>
      </w:hyperlink>
    </w:p>
    <w:p w14:paraId="2FBBAB3D" w14:textId="4B934E2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1" w:history="1">
        <w:r w:rsidRPr="00F17274">
          <w:rPr>
            <w:rStyle w:val="Hyperlink"/>
            <w:noProof/>
          </w:rPr>
          <w:t>Notional rental value to be reduced, but to increase under secondment scheme</w:t>
        </w:r>
        <w:r>
          <w:rPr>
            <w:noProof/>
            <w:webHidden/>
          </w:rPr>
          <w:tab/>
        </w:r>
        <w:r>
          <w:rPr>
            <w:noProof/>
            <w:webHidden/>
          </w:rPr>
          <w:fldChar w:fldCharType="begin"/>
        </w:r>
        <w:r>
          <w:rPr>
            <w:noProof/>
            <w:webHidden/>
          </w:rPr>
          <w:instrText xml:space="preserve"> PAGEREF _Toc51752501 \h </w:instrText>
        </w:r>
        <w:r>
          <w:rPr>
            <w:noProof/>
            <w:webHidden/>
          </w:rPr>
        </w:r>
        <w:r>
          <w:rPr>
            <w:noProof/>
            <w:webHidden/>
          </w:rPr>
          <w:fldChar w:fldCharType="separate"/>
        </w:r>
        <w:r>
          <w:rPr>
            <w:noProof/>
            <w:webHidden/>
          </w:rPr>
          <w:t>5</w:t>
        </w:r>
        <w:r>
          <w:rPr>
            <w:noProof/>
            <w:webHidden/>
          </w:rPr>
          <w:fldChar w:fldCharType="end"/>
        </w:r>
      </w:hyperlink>
    </w:p>
    <w:p w14:paraId="4DA51249" w14:textId="68F8BF6E"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2" w:history="1">
        <w:r w:rsidRPr="00F17274">
          <w:rPr>
            <w:rStyle w:val="Hyperlink"/>
            <w:noProof/>
          </w:rPr>
          <w:t>Increase in transfer tax on residential properties that are rented out and non-residential properties</w:t>
        </w:r>
        <w:r>
          <w:rPr>
            <w:noProof/>
            <w:webHidden/>
          </w:rPr>
          <w:tab/>
        </w:r>
        <w:r>
          <w:rPr>
            <w:noProof/>
            <w:webHidden/>
          </w:rPr>
          <w:fldChar w:fldCharType="begin"/>
        </w:r>
        <w:r>
          <w:rPr>
            <w:noProof/>
            <w:webHidden/>
          </w:rPr>
          <w:instrText xml:space="preserve"> PAGEREF _Toc51752502 \h </w:instrText>
        </w:r>
        <w:r>
          <w:rPr>
            <w:noProof/>
            <w:webHidden/>
          </w:rPr>
        </w:r>
        <w:r>
          <w:rPr>
            <w:noProof/>
            <w:webHidden/>
          </w:rPr>
          <w:fldChar w:fldCharType="separate"/>
        </w:r>
        <w:r>
          <w:rPr>
            <w:noProof/>
            <w:webHidden/>
          </w:rPr>
          <w:t>5</w:t>
        </w:r>
        <w:r>
          <w:rPr>
            <w:noProof/>
            <w:webHidden/>
          </w:rPr>
          <w:fldChar w:fldCharType="end"/>
        </w:r>
      </w:hyperlink>
    </w:p>
    <w:p w14:paraId="50BB4D2A" w14:textId="27702033"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3" w:history="1">
        <w:r w:rsidRPr="00F17274">
          <w:rPr>
            <w:rStyle w:val="Hyperlink"/>
            <w:noProof/>
          </w:rPr>
          <w:t>Exemption from transfer tax for first-time buyers</w:t>
        </w:r>
        <w:r>
          <w:rPr>
            <w:noProof/>
            <w:webHidden/>
          </w:rPr>
          <w:tab/>
        </w:r>
        <w:r>
          <w:rPr>
            <w:noProof/>
            <w:webHidden/>
          </w:rPr>
          <w:fldChar w:fldCharType="begin"/>
        </w:r>
        <w:r>
          <w:rPr>
            <w:noProof/>
            <w:webHidden/>
          </w:rPr>
          <w:instrText xml:space="preserve"> PAGEREF _Toc51752503 \h </w:instrText>
        </w:r>
        <w:r>
          <w:rPr>
            <w:noProof/>
            <w:webHidden/>
          </w:rPr>
        </w:r>
        <w:r>
          <w:rPr>
            <w:noProof/>
            <w:webHidden/>
          </w:rPr>
          <w:fldChar w:fldCharType="separate"/>
        </w:r>
        <w:r>
          <w:rPr>
            <w:noProof/>
            <w:webHidden/>
          </w:rPr>
          <w:t>5</w:t>
        </w:r>
        <w:r>
          <w:rPr>
            <w:noProof/>
            <w:webHidden/>
          </w:rPr>
          <w:fldChar w:fldCharType="end"/>
        </w:r>
      </w:hyperlink>
    </w:p>
    <w:p w14:paraId="3C8C2B82" w14:textId="7576AA22" w:rsidR="007C7138" w:rsidRDefault="007C7138">
      <w:pPr>
        <w:pStyle w:val="Inhopg1"/>
        <w:tabs>
          <w:tab w:val="left" w:pos="480"/>
        </w:tabs>
        <w:rPr>
          <w:rFonts w:asciiTheme="minorHAnsi" w:eastAsiaTheme="minorEastAsia" w:hAnsiTheme="minorHAnsi" w:cstheme="minorBidi"/>
          <w:b w:val="0"/>
          <w:sz w:val="22"/>
          <w:szCs w:val="22"/>
          <w:lang w:val="nl-NL"/>
        </w:rPr>
      </w:pPr>
      <w:hyperlink w:anchor="_Toc51752504" w:history="1">
        <w:r w:rsidRPr="00F17274">
          <w:rPr>
            <w:rStyle w:val="Hyperlink"/>
          </w:rPr>
          <w:t>3</w:t>
        </w:r>
        <w:r>
          <w:rPr>
            <w:rFonts w:asciiTheme="minorHAnsi" w:eastAsiaTheme="minorEastAsia" w:hAnsiTheme="minorHAnsi" w:cstheme="minorBidi"/>
            <w:b w:val="0"/>
            <w:sz w:val="22"/>
            <w:szCs w:val="22"/>
            <w:lang w:val="nl-NL"/>
          </w:rPr>
          <w:tab/>
        </w:r>
        <w:r w:rsidRPr="00F17274">
          <w:rPr>
            <w:rStyle w:val="Hyperlink"/>
          </w:rPr>
          <w:t>Entrepreneurs and businesses</w:t>
        </w:r>
        <w:r>
          <w:rPr>
            <w:webHidden/>
          </w:rPr>
          <w:tab/>
        </w:r>
        <w:r>
          <w:rPr>
            <w:webHidden/>
          </w:rPr>
          <w:fldChar w:fldCharType="begin"/>
        </w:r>
        <w:r>
          <w:rPr>
            <w:webHidden/>
          </w:rPr>
          <w:instrText xml:space="preserve"> PAGEREF _Toc51752504 \h </w:instrText>
        </w:r>
        <w:r>
          <w:rPr>
            <w:webHidden/>
          </w:rPr>
        </w:r>
        <w:r>
          <w:rPr>
            <w:webHidden/>
          </w:rPr>
          <w:fldChar w:fldCharType="separate"/>
        </w:r>
        <w:r>
          <w:rPr>
            <w:webHidden/>
          </w:rPr>
          <w:t>7</w:t>
        </w:r>
        <w:r>
          <w:rPr>
            <w:webHidden/>
          </w:rPr>
          <w:fldChar w:fldCharType="end"/>
        </w:r>
      </w:hyperlink>
    </w:p>
    <w:p w14:paraId="686DFF9A" w14:textId="7285DD77"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5" w:history="1">
        <w:r w:rsidRPr="00F17274">
          <w:rPr>
            <w:rStyle w:val="Hyperlink"/>
            <w:noProof/>
          </w:rPr>
          <w:t>Gradual reduction in self-employed person’s allowance</w:t>
        </w:r>
        <w:r>
          <w:rPr>
            <w:noProof/>
            <w:webHidden/>
          </w:rPr>
          <w:tab/>
        </w:r>
        <w:r>
          <w:rPr>
            <w:noProof/>
            <w:webHidden/>
          </w:rPr>
          <w:fldChar w:fldCharType="begin"/>
        </w:r>
        <w:r>
          <w:rPr>
            <w:noProof/>
            <w:webHidden/>
          </w:rPr>
          <w:instrText xml:space="preserve"> PAGEREF _Toc51752505 \h </w:instrText>
        </w:r>
        <w:r>
          <w:rPr>
            <w:noProof/>
            <w:webHidden/>
          </w:rPr>
        </w:r>
        <w:r>
          <w:rPr>
            <w:noProof/>
            <w:webHidden/>
          </w:rPr>
          <w:fldChar w:fldCharType="separate"/>
        </w:r>
        <w:r>
          <w:rPr>
            <w:noProof/>
            <w:webHidden/>
          </w:rPr>
          <w:t>7</w:t>
        </w:r>
        <w:r>
          <w:rPr>
            <w:noProof/>
            <w:webHidden/>
          </w:rPr>
          <w:fldChar w:fldCharType="end"/>
        </w:r>
      </w:hyperlink>
    </w:p>
    <w:p w14:paraId="5EF3ADEE" w14:textId="251E053E"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6" w:history="1">
        <w:r w:rsidRPr="00F17274">
          <w:rPr>
            <w:rStyle w:val="Hyperlink"/>
            <w:noProof/>
          </w:rPr>
          <w:t>Offsetting of losses restricted for corporation tax</w:t>
        </w:r>
        <w:r>
          <w:rPr>
            <w:noProof/>
            <w:webHidden/>
          </w:rPr>
          <w:tab/>
        </w:r>
        <w:r>
          <w:rPr>
            <w:noProof/>
            <w:webHidden/>
          </w:rPr>
          <w:fldChar w:fldCharType="begin"/>
        </w:r>
        <w:r>
          <w:rPr>
            <w:noProof/>
            <w:webHidden/>
          </w:rPr>
          <w:instrText xml:space="preserve"> PAGEREF _Toc51752506 \h </w:instrText>
        </w:r>
        <w:r>
          <w:rPr>
            <w:noProof/>
            <w:webHidden/>
          </w:rPr>
        </w:r>
        <w:r>
          <w:rPr>
            <w:noProof/>
            <w:webHidden/>
          </w:rPr>
          <w:fldChar w:fldCharType="separate"/>
        </w:r>
        <w:r>
          <w:rPr>
            <w:noProof/>
            <w:webHidden/>
          </w:rPr>
          <w:t>7</w:t>
        </w:r>
        <w:r>
          <w:rPr>
            <w:noProof/>
            <w:webHidden/>
          </w:rPr>
          <w:fldChar w:fldCharType="end"/>
        </w:r>
      </w:hyperlink>
    </w:p>
    <w:p w14:paraId="45646E62" w14:textId="6E4B5A28"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7" w:history="1">
        <w:r w:rsidRPr="00F17274">
          <w:rPr>
            <w:rStyle w:val="Hyperlink"/>
            <w:noProof/>
          </w:rPr>
          <w:t>Job-related investment tax credit (BIK)</w:t>
        </w:r>
        <w:r>
          <w:rPr>
            <w:noProof/>
            <w:webHidden/>
          </w:rPr>
          <w:tab/>
        </w:r>
        <w:r>
          <w:rPr>
            <w:noProof/>
            <w:webHidden/>
          </w:rPr>
          <w:fldChar w:fldCharType="begin"/>
        </w:r>
        <w:r>
          <w:rPr>
            <w:noProof/>
            <w:webHidden/>
          </w:rPr>
          <w:instrText xml:space="preserve"> PAGEREF _Toc51752507 \h </w:instrText>
        </w:r>
        <w:r>
          <w:rPr>
            <w:noProof/>
            <w:webHidden/>
          </w:rPr>
        </w:r>
        <w:r>
          <w:rPr>
            <w:noProof/>
            <w:webHidden/>
          </w:rPr>
          <w:fldChar w:fldCharType="separate"/>
        </w:r>
        <w:r>
          <w:rPr>
            <w:noProof/>
            <w:webHidden/>
          </w:rPr>
          <w:t>7</w:t>
        </w:r>
        <w:r>
          <w:rPr>
            <w:noProof/>
            <w:webHidden/>
          </w:rPr>
          <w:fldChar w:fldCharType="end"/>
        </w:r>
      </w:hyperlink>
    </w:p>
    <w:p w14:paraId="38EB8729" w14:textId="3E44D4AF"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8" w:history="1">
        <w:r w:rsidRPr="00F17274">
          <w:rPr>
            <w:rStyle w:val="Hyperlink"/>
            <w:noProof/>
          </w:rPr>
          <w:t>Work-related expenses scheme</w:t>
        </w:r>
        <w:r>
          <w:rPr>
            <w:noProof/>
            <w:webHidden/>
          </w:rPr>
          <w:tab/>
        </w:r>
        <w:r>
          <w:rPr>
            <w:noProof/>
            <w:webHidden/>
          </w:rPr>
          <w:fldChar w:fldCharType="begin"/>
        </w:r>
        <w:r>
          <w:rPr>
            <w:noProof/>
            <w:webHidden/>
          </w:rPr>
          <w:instrText xml:space="preserve"> PAGEREF _Toc51752508 \h </w:instrText>
        </w:r>
        <w:r>
          <w:rPr>
            <w:noProof/>
            <w:webHidden/>
          </w:rPr>
        </w:r>
        <w:r>
          <w:rPr>
            <w:noProof/>
            <w:webHidden/>
          </w:rPr>
          <w:fldChar w:fldCharType="separate"/>
        </w:r>
        <w:r>
          <w:rPr>
            <w:noProof/>
            <w:webHidden/>
          </w:rPr>
          <w:t>7</w:t>
        </w:r>
        <w:r>
          <w:rPr>
            <w:noProof/>
            <w:webHidden/>
          </w:rPr>
          <w:fldChar w:fldCharType="end"/>
        </w:r>
      </w:hyperlink>
    </w:p>
    <w:p w14:paraId="3EACF667" w14:textId="775DC0E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09" w:history="1">
        <w:r w:rsidRPr="00F17274">
          <w:rPr>
            <w:rStyle w:val="Hyperlink"/>
            <w:noProof/>
          </w:rPr>
          <w:t>Clarification of method used to calculate small-scale investment tax credit (KIA)</w:t>
        </w:r>
        <w:r>
          <w:rPr>
            <w:noProof/>
            <w:webHidden/>
          </w:rPr>
          <w:tab/>
        </w:r>
        <w:r>
          <w:rPr>
            <w:noProof/>
            <w:webHidden/>
          </w:rPr>
          <w:fldChar w:fldCharType="begin"/>
        </w:r>
        <w:r>
          <w:rPr>
            <w:noProof/>
            <w:webHidden/>
          </w:rPr>
          <w:instrText xml:space="preserve"> PAGEREF _Toc51752509 \h </w:instrText>
        </w:r>
        <w:r>
          <w:rPr>
            <w:noProof/>
            <w:webHidden/>
          </w:rPr>
        </w:r>
        <w:r>
          <w:rPr>
            <w:noProof/>
            <w:webHidden/>
          </w:rPr>
          <w:fldChar w:fldCharType="separate"/>
        </w:r>
        <w:r>
          <w:rPr>
            <w:noProof/>
            <w:webHidden/>
          </w:rPr>
          <w:t>8</w:t>
        </w:r>
        <w:r>
          <w:rPr>
            <w:noProof/>
            <w:webHidden/>
          </w:rPr>
          <w:fldChar w:fldCharType="end"/>
        </w:r>
      </w:hyperlink>
    </w:p>
    <w:p w14:paraId="0C75A457" w14:textId="4545D22D" w:rsidR="007C7138" w:rsidRDefault="007C7138">
      <w:pPr>
        <w:pStyle w:val="Inhopg1"/>
        <w:tabs>
          <w:tab w:val="left" w:pos="480"/>
        </w:tabs>
        <w:rPr>
          <w:rFonts w:asciiTheme="minorHAnsi" w:eastAsiaTheme="minorEastAsia" w:hAnsiTheme="minorHAnsi" w:cstheme="minorBidi"/>
          <w:b w:val="0"/>
          <w:sz w:val="22"/>
          <w:szCs w:val="22"/>
          <w:lang w:val="nl-NL"/>
        </w:rPr>
      </w:pPr>
      <w:hyperlink w:anchor="_Toc51752510" w:history="1">
        <w:r w:rsidRPr="00F17274">
          <w:rPr>
            <w:rStyle w:val="Hyperlink"/>
          </w:rPr>
          <w:t>4</w:t>
        </w:r>
        <w:r>
          <w:rPr>
            <w:rFonts w:asciiTheme="minorHAnsi" w:eastAsiaTheme="minorEastAsia" w:hAnsiTheme="minorHAnsi" w:cstheme="minorBidi"/>
            <w:b w:val="0"/>
            <w:sz w:val="22"/>
            <w:szCs w:val="22"/>
            <w:lang w:val="nl-NL"/>
          </w:rPr>
          <w:tab/>
        </w:r>
        <w:r w:rsidRPr="00F17274">
          <w:rPr>
            <w:rStyle w:val="Hyperlink"/>
          </w:rPr>
          <w:t>International</w:t>
        </w:r>
        <w:r>
          <w:rPr>
            <w:webHidden/>
          </w:rPr>
          <w:tab/>
        </w:r>
        <w:r>
          <w:rPr>
            <w:webHidden/>
          </w:rPr>
          <w:fldChar w:fldCharType="begin"/>
        </w:r>
        <w:r>
          <w:rPr>
            <w:webHidden/>
          </w:rPr>
          <w:instrText xml:space="preserve"> PAGEREF _Toc51752510 \h </w:instrText>
        </w:r>
        <w:r>
          <w:rPr>
            <w:webHidden/>
          </w:rPr>
        </w:r>
        <w:r>
          <w:rPr>
            <w:webHidden/>
          </w:rPr>
          <w:fldChar w:fldCharType="separate"/>
        </w:r>
        <w:r>
          <w:rPr>
            <w:webHidden/>
          </w:rPr>
          <w:t>9</w:t>
        </w:r>
        <w:r>
          <w:rPr>
            <w:webHidden/>
          </w:rPr>
          <w:fldChar w:fldCharType="end"/>
        </w:r>
      </w:hyperlink>
    </w:p>
    <w:p w14:paraId="182E45B2" w14:textId="740D4FA5"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1" w:history="1">
        <w:r w:rsidRPr="00F17274">
          <w:rPr>
            <w:rStyle w:val="Hyperlink"/>
            <w:noProof/>
          </w:rPr>
          <w:t>Restriction of interest relief on loans from related persons to be expanded</w:t>
        </w:r>
        <w:r>
          <w:rPr>
            <w:noProof/>
            <w:webHidden/>
          </w:rPr>
          <w:tab/>
        </w:r>
        <w:r>
          <w:rPr>
            <w:noProof/>
            <w:webHidden/>
          </w:rPr>
          <w:fldChar w:fldCharType="begin"/>
        </w:r>
        <w:r>
          <w:rPr>
            <w:noProof/>
            <w:webHidden/>
          </w:rPr>
          <w:instrText xml:space="preserve"> PAGEREF _Toc51752511 \h </w:instrText>
        </w:r>
        <w:r>
          <w:rPr>
            <w:noProof/>
            <w:webHidden/>
          </w:rPr>
        </w:r>
        <w:r>
          <w:rPr>
            <w:noProof/>
            <w:webHidden/>
          </w:rPr>
          <w:fldChar w:fldCharType="separate"/>
        </w:r>
        <w:r>
          <w:rPr>
            <w:noProof/>
            <w:webHidden/>
          </w:rPr>
          <w:t>9</w:t>
        </w:r>
        <w:r>
          <w:rPr>
            <w:noProof/>
            <w:webHidden/>
          </w:rPr>
          <w:fldChar w:fldCharType="end"/>
        </w:r>
      </w:hyperlink>
    </w:p>
    <w:p w14:paraId="423477F5" w14:textId="28549425"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2" w:history="1">
        <w:r w:rsidRPr="00F17274">
          <w:rPr>
            <w:rStyle w:val="Hyperlink"/>
            <w:noProof/>
          </w:rPr>
          <w:t>Offsetting of advance corporation tax</w:t>
        </w:r>
        <w:r>
          <w:rPr>
            <w:noProof/>
            <w:webHidden/>
          </w:rPr>
          <w:tab/>
        </w:r>
        <w:r>
          <w:rPr>
            <w:noProof/>
            <w:webHidden/>
          </w:rPr>
          <w:fldChar w:fldCharType="begin"/>
        </w:r>
        <w:r>
          <w:rPr>
            <w:noProof/>
            <w:webHidden/>
          </w:rPr>
          <w:instrText xml:space="preserve"> PAGEREF _Toc51752512 \h </w:instrText>
        </w:r>
        <w:r>
          <w:rPr>
            <w:noProof/>
            <w:webHidden/>
          </w:rPr>
        </w:r>
        <w:r>
          <w:rPr>
            <w:noProof/>
            <w:webHidden/>
          </w:rPr>
          <w:fldChar w:fldCharType="separate"/>
        </w:r>
        <w:r>
          <w:rPr>
            <w:noProof/>
            <w:webHidden/>
          </w:rPr>
          <w:t>9</w:t>
        </w:r>
        <w:r>
          <w:rPr>
            <w:noProof/>
            <w:webHidden/>
          </w:rPr>
          <w:fldChar w:fldCharType="end"/>
        </w:r>
      </w:hyperlink>
    </w:p>
    <w:p w14:paraId="71EAD7FB" w14:textId="70798FC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3" w:history="1">
        <w:r w:rsidRPr="00F17274">
          <w:rPr>
            <w:rStyle w:val="Hyperlink"/>
            <w:noProof/>
          </w:rPr>
          <w:t>Change to arm’s length principle to tackle informal capital structures</w:t>
        </w:r>
        <w:r>
          <w:rPr>
            <w:noProof/>
            <w:webHidden/>
          </w:rPr>
          <w:tab/>
        </w:r>
        <w:r>
          <w:rPr>
            <w:noProof/>
            <w:webHidden/>
          </w:rPr>
          <w:fldChar w:fldCharType="begin"/>
        </w:r>
        <w:r>
          <w:rPr>
            <w:noProof/>
            <w:webHidden/>
          </w:rPr>
          <w:instrText xml:space="preserve"> PAGEREF _Toc51752513 \h </w:instrText>
        </w:r>
        <w:r>
          <w:rPr>
            <w:noProof/>
            <w:webHidden/>
          </w:rPr>
        </w:r>
        <w:r>
          <w:rPr>
            <w:noProof/>
            <w:webHidden/>
          </w:rPr>
          <w:fldChar w:fldCharType="separate"/>
        </w:r>
        <w:r>
          <w:rPr>
            <w:noProof/>
            <w:webHidden/>
          </w:rPr>
          <w:t>9</w:t>
        </w:r>
        <w:r>
          <w:rPr>
            <w:noProof/>
            <w:webHidden/>
          </w:rPr>
          <w:fldChar w:fldCharType="end"/>
        </w:r>
      </w:hyperlink>
    </w:p>
    <w:p w14:paraId="596C9A30" w14:textId="2E007093"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4" w:history="1">
        <w:r w:rsidRPr="00F17274">
          <w:rPr>
            <w:rStyle w:val="Hyperlink"/>
            <w:noProof/>
          </w:rPr>
          <w:t>Conditional Withholding Tax on Dividends Act</w:t>
        </w:r>
        <w:r>
          <w:rPr>
            <w:noProof/>
            <w:webHidden/>
          </w:rPr>
          <w:tab/>
        </w:r>
        <w:r>
          <w:rPr>
            <w:noProof/>
            <w:webHidden/>
          </w:rPr>
          <w:fldChar w:fldCharType="begin"/>
        </w:r>
        <w:r>
          <w:rPr>
            <w:noProof/>
            <w:webHidden/>
          </w:rPr>
          <w:instrText xml:space="preserve"> PAGEREF _Toc51752514 \h </w:instrText>
        </w:r>
        <w:r>
          <w:rPr>
            <w:noProof/>
            <w:webHidden/>
          </w:rPr>
        </w:r>
        <w:r>
          <w:rPr>
            <w:noProof/>
            <w:webHidden/>
          </w:rPr>
          <w:fldChar w:fldCharType="separate"/>
        </w:r>
        <w:r>
          <w:rPr>
            <w:noProof/>
            <w:webHidden/>
          </w:rPr>
          <w:t>10</w:t>
        </w:r>
        <w:r>
          <w:rPr>
            <w:noProof/>
            <w:webHidden/>
          </w:rPr>
          <w:fldChar w:fldCharType="end"/>
        </w:r>
      </w:hyperlink>
    </w:p>
    <w:p w14:paraId="366413C2" w14:textId="1706201C"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5" w:history="1">
        <w:r w:rsidRPr="00F17274">
          <w:rPr>
            <w:rStyle w:val="Hyperlink"/>
            <w:noProof/>
          </w:rPr>
          <w:t>Introduction of Withholding Tax Act 2021</w:t>
        </w:r>
        <w:r>
          <w:rPr>
            <w:noProof/>
            <w:webHidden/>
          </w:rPr>
          <w:tab/>
        </w:r>
        <w:r>
          <w:rPr>
            <w:noProof/>
            <w:webHidden/>
          </w:rPr>
          <w:fldChar w:fldCharType="begin"/>
        </w:r>
        <w:r>
          <w:rPr>
            <w:noProof/>
            <w:webHidden/>
          </w:rPr>
          <w:instrText xml:space="preserve"> PAGEREF _Toc51752515 \h </w:instrText>
        </w:r>
        <w:r>
          <w:rPr>
            <w:noProof/>
            <w:webHidden/>
          </w:rPr>
        </w:r>
        <w:r>
          <w:rPr>
            <w:noProof/>
            <w:webHidden/>
          </w:rPr>
          <w:fldChar w:fldCharType="separate"/>
        </w:r>
        <w:r>
          <w:rPr>
            <w:noProof/>
            <w:webHidden/>
          </w:rPr>
          <w:t>10</w:t>
        </w:r>
        <w:r>
          <w:rPr>
            <w:noProof/>
            <w:webHidden/>
          </w:rPr>
          <w:fldChar w:fldCharType="end"/>
        </w:r>
      </w:hyperlink>
    </w:p>
    <w:p w14:paraId="3856B7AB" w14:textId="459A9832" w:rsidR="007C7138" w:rsidRDefault="007C7138">
      <w:pPr>
        <w:pStyle w:val="Inhopg1"/>
        <w:tabs>
          <w:tab w:val="left" w:pos="480"/>
        </w:tabs>
        <w:rPr>
          <w:rFonts w:asciiTheme="minorHAnsi" w:eastAsiaTheme="minorEastAsia" w:hAnsiTheme="minorHAnsi" w:cstheme="minorBidi"/>
          <w:b w:val="0"/>
          <w:sz w:val="22"/>
          <w:szCs w:val="22"/>
          <w:lang w:val="nl-NL"/>
        </w:rPr>
      </w:pPr>
      <w:hyperlink w:anchor="_Toc51752516" w:history="1">
        <w:r w:rsidRPr="00F17274">
          <w:rPr>
            <w:rStyle w:val="Hyperlink"/>
          </w:rPr>
          <w:t>5</w:t>
        </w:r>
        <w:r>
          <w:rPr>
            <w:rFonts w:asciiTheme="minorHAnsi" w:eastAsiaTheme="minorEastAsia" w:hAnsiTheme="minorHAnsi" w:cstheme="minorBidi"/>
            <w:b w:val="0"/>
            <w:sz w:val="22"/>
            <w:szCs w:val="22"/>
            <w:lang w:val="nl-NL"/>
          </w:rPr>
          <w:tab/>
        </w:r>
        <w:r w:rsidRPr="00F17274">
          <w:rPr>
            <w:rStyle w:val="Hyperlink"/>
          </w:rPr>
          <w:t>Transport and sustainability</w:t>
        </w:r>
        <w:r>
          <w:rPr>
            <w:webHidden/>
          </w:rPr>
          <w:tab/>
        </w:r>
        <w:r>
          <w:rPr>
            <w:webHidden/>
          </w:rPr>
          <w:fldChar w:fldCharType="begin"/>
        </w:r>
        <w:r>
          <w:rPr>
            <w:webHidden/>
          </w:rPr>
          <w:instrText xml:space="preserve"> PAGEREF _Toc51752516 \h </w:instrText>
        </w:r>
        <w:r>
          <w:rPr>
            <w:webHidden/>
          </w:rPr>
        </w:r>
        <w:r>
          <w:rPr>
            <w:webHidden/>
          </w:rPr>
          <w:fldChar w:fldCharType="separate"/>
        </w:r>
        <w:r>
          <w:rPr>
            <w:webHidden/>
          </w:rPr>
          <w:t>11</w:t>
        </w:r>
        <w:r>
          <w:rPr>
            <w:webHidden/>
          </w:rPr>
          <w:fldChar w:fldCharType="end"/>
        </w:r>
      </w:hyperlink>
    </w:p>
    <w:p w14:paraId="71D0EBD1" w14:textId="29D56FE3"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7" w:history="1">
        <w:r w:rsidRPr="00F17274">
          <w:rPr>
            <w:rStyle w:val="Hyperlink"/>
            <w:noProof/>
          </w:rPr>
          <w:t>Increase in addition to taxable income for electric car</w:t>
        </w:r>
        <w:r>
          <w:rPr>
            <w:noProof/>
            <w:webHidden/>
          </w:rPr>
          <w:tab/>
        </w:r>
        <w:r>
          <w:rPr>
            <w:noProof/>
            <w:webHidden/>
          </w:rPr>
          <w:fldChar w:fldCharType="begin"/>
        </w:r>
        <w:r>
          <w:rPr>
            <w:noProof/>
            <w:webHidden/>
          </w:rPr>
          <w:instrText xml:space="preserve"> PAGEREF _Toc51752517 \h </w:instrText>
        </w:r>
        <w:r>
          <w:rPr>
            <w:noProof/>
            <w:webHidden/>
          </w:rPr>
        </w:r>
        <w:r>
          <w:rPr>
            <w:noProof/>
            <w:webHidden/>
          </w:rPr>
          <w:fldChar w:fldCharType="separate"/>
        </w:r>
        <w:r>
          <w:rPr>
            <w:noProof/>
            <w:webHidden/>
          </w:rPr>
          <w:t>11</w:t>
        </w:r>
        <w:r>
          <w:rPr>
            <w:noProof/>
            <w:webHidden/>
          </w:rPr>
          <w:fldChar w:fldCharType="end"/>
        </w:r>
      </w:hyperlink>
    </w:p>
    <w:p w14:paraId="76F3A2D0" w14:textId="4B79D06E"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8" w:history="1">
        <w:r w:rsidRPr="00F17274">
          <w:rPr>
            <w:rStyle w:val="Hyperlink"/>
            <w:noProof/>
          </w:rPr>
          <w:t>Taxable event for private vehicle and motorcycle tax brought forward to time of registration</w:t>
        </w:r>
        <w:r>
          <w:rPr>
            <w:noProof/>
            <w:webHidden/>
          </w:rPr>
          <w:tab/>
        </w:r>
        <w:r>
          <w:rPr>
            <w:noProof/>
            <w:webHidden/>
          </w:rPr>
          <w:fldChar w:fldCharType="begin"/>
        </w:r>
        <w:r>
          <w:rPr>
            <w:noProof/>
            <w:webHidden/>
          </w:rPr>
          <w:instrText xml:space="preserve"> PAGEREF _Toc51752518 \h </w:instrText>
        </w:r>
        <w:r>
          <w:rPr>
            <w:noProof/>
            <w:webHidden/>
          </w:rPr>
        </w:r>
        <w:r>
          <w:rPr>
            <w:noProof/>
            <w:webHidden/>
          </w:rPr>
          <w:fldChar w:fldCharType="separate"/>
        </w:r>
        <w:r>
          <w:rPr>
            <w:noProof/>
            <w:webHidden/>
          </w:rPr>
          <w:t>11</w:t>
        </w:r>
        <w:r>
          <w:rPr>
            <w:noProof/>
            <w:webHidden/>
          </w:rPr>
          <w:fldChar w:fldCharType="end"/>
        </w:r>
      </w:hyperlink>
    </w:p>
    <w:p w14:paraId="7BBA095C" w14:textId="26473671"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19" w:history="1">
        <w:r w:rsidRPr="00F17274">
          <w:rPr>
            <w:rStyle w:val="Hyperlink"/>
            <w:noProof/>
          </w:rPr>
          <w:t>Stricter CO</w:t>
        </w:r>
        <w:r w:rsidRPr="00F17274">
          <w:rPr>
            <w:rStyle w:val="Hyperlink"/>
            <w:noProof/>
            <w:vertAlign w:val="subscript"/>
          </w:rPr>
          <w:t>2</w:t>
        </w:r>
        <w:r w:rsidRPr="00F17274">
          <w:rPr>
            <w:rStyle w:val="Hyperlink"/>
            <w:noProof/>
          </w:rPr>
          <w:t xml:space="preserve"> thresholds, rates and diesel surcharge for private vehicle and motorcycle tax</w:t>
        </w:r>
        <w:r>
          <w:rPr>
            <w:noProof/>
            <w:webHidden/>
          </w:rPr>
          <w:tab/>
        </w:r>
        <w:r>
          <w:rPr>
            <w:noProof/>
            <w:webHidden/>
          </w:rPr>
          <w:fldChar w:fldCharType="begin"/>
        </w:r>
        <w:r>
          <w:rPr>
            <w:noProof/>
            <w:webHidden/>
          </w:rPr>
          <w:instrText xml:space="preserve"> PAGEREF _Toc51752519 \h </w:instrText>
        </w:r>
        <w:r>
          <w:rPr>
            <w:noProof/>
            <w:webHidden/>
          </w:rPr>
        </w:r>
        <w:r>
          <w:rPr>
            <w:noProof/>
            <w:webHidden/>
          </w:rPr>
          <w:fldChar w:fldCharType="separate"/>
        </w:r>
        <w:r>
          <w:rPr>
            <w:noProof/>
            <w:webHidden/>
          </w:rPr>
          <w:t>11</w:t>
        </w:r>
        <w:r>
          <w:rPr>
            <w:noProof/>
            <w:webHidden/>
          </w:rPr>
          <w:fldChar w:fldCharType="end"/>
        </w:r>
      </w:hyperlink>
    </w:p>
    <w:p w14:paraId="2B05FBBE" w14:textId="6A735EDB"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0" w:history="1">
        <w:r w:rsidRPr="00F17274">
          <w:rPr>
            <w:rStyle w:val="Hyperlink"/>
            <w:noProof/>
          </w:rPr>
          <w:t>Reduced rate for public charging points extended</w:t>
        </w:r>
        <w:r>
          <w:rPr>
            <w:noProof/>
            <w:webHidden/>
          </w:rPr>
          <w:tab/>
        </w:r>
        <w:r>
          <w:rPr>
            <w:noProof/>
            <w:webHidden/>
          </w:rPr>
          <w:fldChar w:fldCharType="begin"/>
        </w:r>
        <w:r>
          <w:rPr>
            <w:noProof/>
            <w:webHidden/>
          </w:rPr>
          <w:instrText xml:space="preserve"> PAGEREF _Toc51752520 \h </w:instrText>
        </w:r>
        <w:r>
          <w:rPr>
            <w:noProof/>
            <w:webHidden/>
          </w:rPr>
        </w:r>
        <w:r>
          <w:rPr>
            <w:noProof/>
            <w:webHidden/>
          </w:rPr>
          <w:fldChar w:fldCharType="separate"/>
        </w:r>
        <w:r>
          <w:rPr>
            <w:noProof/>
            <w:webHidden/>
          </w:rPr>
          <w:t>12</w:t>
        </w:r>
        <w:r>
          <w:rPr>
            <w:noProof/>
            <w:webHidden/>
          </w:rPr>
          <w:fldChar w:fldCharType="end"/>
        </w:r>
      </w:hyperlink>
    </w:p>
    <w:p w14:paraId="1F978277" w14:textId="76B79243"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1" w:history="1">
        <w:r w:rsidRPr="00F17274">
          <w:rPr>
            <w:rStyle w:val="Hyperlink"/>
            <w:noProof/>
          </w:rPr>
          <w:t>Introduction of CO</w:t>
        </w:r>
        <w:r w:rsidRPr="00F17274">
          <w:rPr>
            <w:rStyle w:val="Hyperlink"/>
            <w:noProof/>
            <w:vertAlign w:val="subscript"/>
          </w:rPr>
          <w:t>2</w:t>
        </w:r>
        <w:r w:rsidRPr="00F17274">
          <w:rPr>
            <w:rStyle w:val="Hyperlink"/>
            <w:noProof/>
          </w:rPr>
          <w:t xml:space="preserve"> levy on industry</w:t>
        </w:r>
        <w:r>
          <w:rPr>
            <w:noProof/>
            <w:webHidden/>
          </w:rPr>
          <w:tab/>
        </w:r>
        <w:r>
          <w:rPr>
            <w:noProof/>
            <w:webHidden/>
          </w:rPr>
          <w:fldChar w:fldCharType="begin"/>
        </w:r>
        <w:r>
          <w:rPr>
            <w:noProof/>
            <w:webHidden/>
          </w:rPr>
          <w:instrText xml:space="preserve"> PAGEREF _Toc51752521 \h </w:instrText>
        </w:r>
        <w:r>
          <w:rPr>
            <w:noProof/>
            <w:webHidden/>
          </w:rPr>
        </w:r>
        <w:r>
          <w:rPr>
            <w:noProof/>
            <w:webHidden/>
          </w:rPr>
          <w:fldChar w:fldCharType="separate"/>
        </w:r>
        <w:r>
          <w:rPr>
            <w:noProof/>
            <w:webHidden/>
          </w:rPr>
          <w:t>12</w:t>
        </w:r>
        <w:r>
          <w:rPr>
            <w:noProof/>
            <w:webHidden/>
          </w:rPr>
          <w:fldChar w:fldCharType="end"/>
        </w:r>
      </w:hyperlink>
    </w:p>
    <w:p w14:paraId="1274CBED" w14:textId="5268CBB8"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2" w:history="1">
        <w:r w:rsidRPr="00F17274">
          <w:rPr>
            <w:rStyle w:val="Hyperlink"/>
            <w:noProof/>
          </w:rPr>
          <w:t>Increase in ODE rates</w:t>
        </w:r>
        <w:r>
          <w:rPr>
            <w:noProof/>
            <w:webHidden/>
          </w:rPr>
          <w:tab/>
        </w:r>
        <w:r>
          <w:rPr>
            <w:noProof/>
            <w:webHidden/>
          </w:rPr>
          <w:fldChar w:fldCharType="begin"/>
        </w:r>
        <w:r>
          <w:rPr>
            <w:noProof/>
            <w:webHidden/>
          </w:rPr>
          <w:instrText xml:space="preserve"> PAGEREF _Toc51752522 \h </w:instrText>
        </w:r>
        <w:r>
          <w:rPr>
            <w:noProof/>
            <w:webHidden/>
          </w:rPr>
        </w:r>
        <w:r>
          <w:rPr>
            <w:noProof/>
            <w:webHidden/>
          </w:rPr>
          <w:fldChar w:fldCharType="separate"/>
        </w:r>
        <w:r>
          <w:rPr>
            <w:noProof/>
            <w:webHidden/>
          </w:rPr>
          <w:t>12</w:t>
        </w:r>
        <w:r>
          <w:rPr>
            <w:noProof/>
            <w:webHidden/>
          </w:rPr>
          <w:fldChar w:fldCharType="end"/>
        </w:r>
      </w:hyperlink>
    </w:p>
    <w:p w14:paraId="25BFFB85" w14:textId="6B15671C" w:rsidR="007C7138" w:rsidRDefault="007C7138">
      <w:pPr>
        <w:pStyle w:val="Inhopg1"/>
        <w:tabs>
          <w:tab w:val="left" w:pos="480"/>
        </w:tabs>
        <w:rPr>
          <w:rFonts w:asciiTheme="minorHAnsi" w:eastAsiaTheme="minorEastAsia" w:hAnsiTheme="minorHAnsi" w:cstheme="minorBidi"/>
          <w:b w:val="0"/>
          <w:sz w:val="22"/>
          <w:szCs w:val="22"/>
          <w:lang w:val="nl-NL"/>
        </w:rPr>
      </w:pPr>
      <w:hyperlink w:anchor="_Toc51752523" w:history="1">
        <w:r w:rsidRPr="00F17274">
          <w:rPr>
            <w:rStyle w:val="Hyperlink"/>
          </w:rPr>
          <w:t>6</w:t>
        </w:r>
        <w:r>
          <w:rPr>
            <w:rFonts w:asciiTheme="minorHAnsi" w:eastAsiaTheme="minorEastAsia" w:hAnsiTheme="minorHAnsi" w:cstheme="minorBidi"/>
            <w:b w:val="0"/>
            <w:sz w:val="22"/>
            <w:szCs w:val="22"/>
            <w:lang w:val="nl-NL"/>
          </w:rPr>
          <w:tab/>
        </w:r>
        <w:r w:rsidRPr="00F17274">
          <w:rPr>
            <w:rStyle w:val="Hyperlink"/>
          </w:rPr>
          <w:t>Coronavirus support measures to be put into law</w:t>
        </w:r>
        <w:r>
          <w:rPr>
            <w:webHidden/>
          </w:rPr>
          <w:tab/>
        </w:r>
        <w:r>
          <w:rPr>
            <w:webHidden/>
          </w:rPr>
          <w:fldChar w:fldCharType="begin"/>
        </w:r>
        <w:r>
          <w:rPr>
            <w:webHidden/>
          </w:rPr>
          <w:instrText xml:space="preserve"> PAGEREF _Toc51752523 \h </w:instrText>
        </w:r>
        <w:r>
          <w:rPr>
            <w:webHidden/>
          </w:rPr>
        </w:r>
        <w:r>
          <w:rPr>
            <w:webHidden/>
          </w:rPr>
          <w:fldChar w:fldCharType="separate"/>
        </w:r>
        <w:r>
          <w:rPr>
            <w:webHidden/>
          </w:rPr>
          <w:t>13</w:t>
        </w:r>
        <w:r>
          <w:rPr>
            <w:webHidden/>
          </w:rPr>
          <w:fldChar w:fldCharType="end"/>
        </w:r>
      </w:hyperlink>
    </w:p>
    <w:p w14:paraId="5120EE8A" w14:textId="7D0F331B"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4" w:history="1">
        <w:r w:rsidRPr="00F17274">
          <w:rPr>
            <w:rStyle w:val="Hyperlink"/>
            <w:noProof/>
          </w:rPr>
          <w:t>Exemption from profit of compensation received under TOGS and TVL schemes</w:t>
        </w:r>
        <w:r>
          <w:rPr>
            <w:noProof/>
            <w:webHidden/>
          </w:rPr>
          <w:tab/>
        </w:r>
        <w:r>
          <w:rPr>
            <w:noProof/>
            <w:webHidden/>
          </w:rPr>
          <w:fldChar w:fldCharType="begin"/>
        </w:r>
        <w:r>
          <w:rPr>
            <w:noProof/>
            <w:webHidden/>
          </w:rPr>
          <w:instrText xml:space="preserve"> PAGEREF _Toc51752524 \h </w:instrText>
        </w:r>
        <w:r>
          <w:rPr>
            <w:noProof/>
            <w:webHidden/>
          </w:rPr>
        </w:r>
        <w:r>
          <w:rPr>
            <w:noProof/>
            <w:webHidden/>
          </w:rPr>
          <w:fldChar w:fldCharType="separate"/>
        </w:r>
        <w:r>
          <w:rPr>
            <w:noProof/>
            <w:webHidden/>
          </w:rPr>
          <w:t>13</w:t>
        </w:r>
        <w:r>
          <w:rPr>
            <w:noProof/>
            <w:webHidden/>
          </w:rPr>
          <w:fldChar w:fldCharType="end"/>
        </w:r>
      </w:hyperlink>
    </w:p>
    <w:p w14:paraId="776BFA13" w14:textId="62493B9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5" w:history="1">
        <w:r w:rsidRPr="00F17274">
          <w:rPr>
            <w:rStyle w:val="Hyperlink"/>
            <w:noProof/>
          </w:rPr>
          <w:t>Tax treatment of bonuses paid under COVID-19 Bonus for Healthcare Professionals Subsidy Scheme</w:t>
        </w:r>
        <w:r>
          <w:rPr>
            <w:noProof/>
            <w:webHidden/>
          </w:rPr>
          <w:tab/>
        </w:r>
        <w:r>
          <w:rPr>
            <w:noProof/>
            <w:webHidden/>
          </w:rPr>
          <w:fldChar w:fldCharType="begin"/>
        </w:r>
        <w:r>
          <w:rPr>
            <w:noProof/>
            <w:webHidden/>
          </w:rPr>
          <w:instrText xml:space="preserve"> PAGEREF _Toc51752525 \h </w:instrText>
        </w:r>
        <w:r>
          <w:rPr>
            <w:noProof/>
            <w:webHidden/>
          </w:rPr>
        </w:r>
        <w:r>
          <w:rPr>
            <w:noProof/>
            <w:webHidden/>
          </w:rPr>
          <w:fldChar w:fldCharType="separate"/>
        </w:r>
        <w:r>
          <w:rPr>
            <w:noProof/>
            <w:webHidden/>
          </w:rPr>
          <w:t>13</w:t>
        </w:r>
        <w:r>
          <w:rPr>
            <w:noProof/>
            <w:webHidden/>
          </w:rPr>
          <w:fldChar w:fldCharType="end"/>
        </w:r>
      </w:hyperlink>
    </w:p>
    <w:p w14:paraId="046591DC" w14:textId="35B01959"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6" w:history="1">
        <w:r w:rsidRPr="00F17274">
          <w:rPr>
            <w:rStyle w:val="Hyperlink"/>
            <w:noProof/>
          </w:rPr>
          <w:t>Temporary bridging scheme for flexiworkers</w:t>
        </w:r>
        <w:r>
          <w:rPr>
            <w:noProof/>
            <w:webHidden/>
          </w:rPr>
          <w:tab/>
        </w:r>
        <w:r>
          <w:rPr>
            <w:noProof/>
            <w:webHidden/>
          </w:rPr>
          <w:fldChar w:fldCharType="begin"/>
        </w:r>
        <w:r>
          <w:rPr>
            <w:noProof/>
            <w:webHidden/>
          </w:rPr>
          <w:instrText xml:space="preserve"> PAGEREF _Toc51752526 \h </w:instrText>
        </w:r>
        <w:r>
          <w:rPr>
            <w:noProof/>
            <w:webHidden/>
          </w:rPr>
        </w:r>
        <w:r>
          <w:rPr>
            <w:noProof/>
            <w:webHidden/>
          </w:rPr>
          <w:fldChar w:fldCharType="separate"/>
        </w:r>
        <w:r>
          <w:rPr>
            <w:noProof/>
            <w:webHidden/>
          </w:rPr>
          <w:t>13</w:t>
        </w:r>
        <w:r>
          <w:rPr>
            <w:noProof/>
            <w:webHidden/>
          </w:rPr>
          <w:fldChar w:fldCharType="end"/>
        </w:r>
      </w:hyperlink>
    </w:p>
    <w:p w14:paraId="47994837" w14:textId="0A475201"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7" w:history="1">
        <w:r w:rsidRPr="00F17274">
          <w:rPr>
            <w:rStyle w:val="Hyperlink"/>
            <w:noProof/>
          </w:rPr>
          <w:t>Temporary increase in fixed budget under work-related expenses scheme in 2020</w:t>
        </w:r>
        <w:r>
          <w:rPr>
            <w:noProof/>
            <w:webHidden/>
          </w:rPr>
          <w:tab/>
        </w:r>
        <w:r>
          <w:rPr>
            <w:noProof/>
            <w:webHidden/>
          </w:rPr>
          <w:fldChar w:fldCharType="begin"/>
        </w:r>
        <w:r>
          <w:rPr>
            <w:noProof/>
            <w:webHidden/>
          </w:rPr>
          <w:instrText xml:space="preserve"> PAGEREF _Toc51752527 \h </w:instrText>
        </w:r>
        <w:r>
          <w:rPr>
            <w:noProof/>
            <w:webHidden/>
          </w:rPr>
        </w:r>
        <w:r>
          <w:rPr>
            <w:noProof/>
            <w:webHidden/>
          </w:rPr>
          <w:fldChar w:fldCharType="separate"/>
        </w:r>
        <w:r>
          <w:rPr>
            <w:noProof/>
            <w:webHidden/>
          </w:rPr>
          <w:t>13</w:t>
        </w:r>
        <w:r>
          <w:rPr>
            <w:noProof/>
            <w:webHidden/>
          </w:rPr>
          <w:fldChar w:fldCharType="end"/>
        </w:r>
      </w:hyperlink>
    </w:p>
    <w:p w14:paraId="5E742EA9" w14:textId="2E66939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28" w:history="1">
        <w:r w:rsidRPr="00F17274">
          <w:rPr>
            <w:rStyle w:val="Hyperlink"/>
            <w:noProof/>
          </w:rPr>
          <w:t>Coronavirus reserve</w:t>
        </w:r>
        <w:r>
          <w:rPr>
            <w:noProof/>
            <w:webHidden/>
          </w:rPr>
          <w:tab/>
        </w:r>
        <w:r>
          <w:rPr>
            <w:noProof/>
            <w:webHidden/>
          </w:rPr>
          <w:fldChar w:fldCharType="begin"/>
        </w:r>
        <w:r>
          <w:rPr>
            <w:noProof/>
            <w:webHidden/>
          </w:rPr>
          <w:instrText xml:space="preserve"> PAGEREF _Toc51752528 \h </w:instrText>
        </w:r>
        <w:r>
          <w:rPr>
            <w:noProof/>
            <w:webHidden/>
          </w:rPr>
        </w:r>
        <w:r>
          <w:rPr>
            <w:noProof/>
            <w:webHidden/>
          </w:rPr>
          <w:fldChar w:fldCharType="separate"/>
        </w:r>
        <w:r>
          <w:rPr>
            <w:noProof/>
            <w:webHidden/>
          </w:rPr>
          <w:t>13</w:t>
        </w:r>
        <w:r>
          <w:rPr>
            <w:noProof/>
            <w:webHidden/>
          </w:rPr>
          <w:fldChar w:fldCharType="end"/>
        </w:r>
      </w:hyperlink>
    </w:p>
    <w:p w14:paraId="2A2EEA94" w14:textId="50A0A4CC" w:rsidR="007C7138" w:rsidRDefault="007C7138">
      <w:pPr>
        <w:pStyle w:val="Inhopg1"/>
        <w:tabs>
          <w:tab w:val="left" w:pos="480"/>
        </w:tabs>
        <w:rPr>
          <w:rFonts w:asciiTheme="minorHAnsi" w:eastAsiaTheme="minorEastAsia" w:hAnsiTheme="minorHAnsi" w:cstheme="minorBidi"/>
          <w:b w:val="0"/>
          <w:sz w:val="22"/>
          <w:szCs w:val="22"/>
          <w:lang w:val="nl-NL"/>
        </w:rPr>
      </w:pPr>
      <w:hyperlink w:anchor="_Toc51752529" w:history="1">
        <w:r w:rsidRPr="00F17274">
          <w:rPr>
            <w:rStyle w:val="Hyperlink"/>
          </w:rPr>
          <w:t>7</w:t>
        </w:r>
        <w:r>
          <w:rPr>
            <w:rFonts w:asciiTheme="minorHAnsi" w:eastAsiaTheme="minorEastAsia" w:hAnsiTheme="minorHAnsi" w:cstheme="minorBidi"/>
            <w:b w:val="0"/>
            <w:sz w:val="22"/>
            <w:szCs w:val="22"/>
            <w:lang w:val="nl-NL"/>
          </w:rPr>
          <w:tab/>
        </w:r>
        <w:r w:rsidRPr="00F17274">
          <w:rPr>
            <w:rStyle w:val="Hyperlink"/>
          </w:rPr>
          <w:t>Other measures and measures previously announced</w:t>
        </w:r>
        <w:r>
          <w:rPr>
            <w:webHidden/>
          </w:rPr>
          <w:tab/>
        </w:r>
        <w:r>
          <w:rPr>
            <w:webHidden/>
          </w:rPr>
          <w:fldChar w:fldCharType="begin"/>
        </w:r>
        <w:r>
          <w:rPr>
            <w:webHidden/>
          </w:rPr>
          <w:instrText xml:space="preserve"> PAGEREF _Toc51752529 \h </w:instrText>
        </w:r>
        <w:r>
          <w:rPr>
            <w:webHidden/>
          </w:rPr>
        </w:r>
        <w:r>
          <w:rPr>
            <w:webHidden/>
          </w:rPr>
          <w:fldChar w:fldCharType="separate"/>
        </w:r>
        <w:r>
          <w:rPr>
            <w:webHidden/>
          </w:rPr>
          <w:t>14</w:t>
        </w:r>
        <w:r>
          <w:rPr>
            <w:webHidden/>
          </w:rPr>
          <w:fldChar w:fldCharType="end"/>
        </w:r>
      </w:hyperlink>
    </w:p>
    <w:p w14:paraId="64E9F9CB" w14:textId="6818E4EF"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30" w:history="1">
        <w:r w:rsidRPr="00F17274">
          <w:rPr>
            <w:rStyle w:val="Hyperlink"/>
            <w:noProof/>
          </w:rPr>
          <w:t>More human system for allowances to be put in place at Tax and Customs Administration</w:t>
        </w:r>
        <w:r>
          <w:rPr>
            <w:noProof/>
            <w:webHidden/>
          </w:rPr>
          <w:tab/>
        </w:r>
        <w:r>
          <w:rPr>
            <w:noProof/>
            <w:webHidden/>
          </w:rPr>
          <w:fldChar w:fldCharType="begin"/>
        </w:r>
        <w:r>
          <w:rPr>
            <w:noProof/>
            <w:webHidden/>
          </w:rPr>
          <w:instrText xml:space="preserve"> PAGEREF _Toc51752530 \h </w:instrText>
        </w:r>
        <w:r>
          <w:rPr>
            <w:noProof/>
            <w:webHidden/>
          </w:rPr>
        </w:r>
        <w:r>
          <w:rPr>
            <w:noProof/>
            <w:webHidden/>
          </w:rPr>
          <w:fldChar w:fldCharType="separate"/>
        </w:r>
        <w:r>
          <w:rPr>
            <w:noProof/>
            <w:webHidden/>
          </w:rPr>
          <w:t>14</w:t>
        </w:r>
        <w:r>
          <w:rPr>
            <w:noProof/>
            <w:webHidden/>
          </w:rPr>
          <w:fldChar w:fldCharType="end"/>
        </w:r>
      </w:hyperlink>
    </w:p>
    <w:p w14:paraId="7F20CC44" w14:textId="7603A890"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31" w:history="1">
        <w:r w:rsidRPr="00F17274">
          <w:rPr>
            <w:rStyle w:val="Hyperlink"/>
            <w:noProof/>
          </w:rPr>
          <w:t>Life-course savings scheme</w:t>
        </w:r>
        <w:r>
          <w:rPr>
            <w:noProof/>
            <w:webHidden/>
          </w:rPr>
          <w:tab/>
        </w:r>
        <w:r>
          <w:rPr>
            <w:noProof/>
            <w:webHidden/>
          </w:rPr>
          <w:fldChar w:fldCharType="begin"/>
        </w:r>
        <w:r>
          <w:rPr>
            <w:noProof/>
            <w:webHidden/>
          </w:rPr>
          <w:instrText xml:space="preserve"> PAGEREF _Toc51752531 \h </w:instrText>
        </w:r>
        <w:r>
          <w:rPr>
            <w:noProof/>
            <w:webHidden/>
          </w:rPr>
        </w:r>
        <w:r>
          <w:rPr>
            <w:noProof/>
            <w:webHidden/>
          </w:rPr>
          <w:fldChar w:fldCharType="separate"/>
        </w:r>
        <w:r>
          <w:rPr>
            <w:noProof/>
            <w:webHidden/>
          </w:rPr>
          <w:t>14</w:t>
        </w:r>
        <w:r>
          <w:rPr>
            <w:noProof/>
            <w:webHidden/>
          </w:rPr>
          <w:fldChar w:fldCharType="end"/>
        </w:r>
      </w:hyperlink>
    </w:p>
    <w:p w14:paraId="28493FA5" w14:textId="07DF82AC"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32" w:history="1">
        <w:r w:rsidRPr="00F17274">
          <w:rPr>
            <w:rStyle w:val="Hyperlink"/>
            <w:noProof/>
          </w:rPr>
          <w:t>One-off rent reduction for tenants on low incomes</w:t>
        </w:r>
        <w:r>
          <w:rPr>
            <w:noProof/>
            <w:webHidden/>
          </w:rPr>
          <w:tab/>
        </w:r>
        <w:r>
          <w:rPr>
            <w:noProof/>
            <w:webHidden/>
          </w:rPr>
          <w:fldChar w:fldCharType="begin"/>
        </w:r>
        <w:r>
          <w:rPr>
            <w:noProof/>
            <w:webHidden/>
          </w:rPr>
          <w:instrText xml:space="preserve"> PAGEREF _Toc51752532 \h </w:instrText>
        </w:r>
        <w:r>
          <w:rPr>
            <w:noProof/>
            <w:webHidden/>
          </w:rPr>
        </w:r>
        <w:r>
          <w:rPr>
            <w:noProof/>
            <w:webHidden/>
          </w:rPr>
          <w:fldChar w:fldCharType="separate"/>
        </w:r>
        <w:r>
          <w:rPr>
            <w:noProof/>
            <w:webHidden/>
          </w:rPr>
          <w:t>14</w:t>
        </w:r>
        <w:r>
          <w:rPr>
            <w:noProof/>
            <w:webHidden/>
          </w:rPr>
          <w:fldChar w:fldCharType="end"/>
        </w:r>
      </w:hyperlink>
    </w:p>
    <w:p w14:paraId="1D1B68FF" w14:textId="573006E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33" w:history="1">
        <w:r w:rsidRPr="00F17274">
          <w:rPr>
            <w:rStyle w:val="Hyperlink"/>
            <w:noProof/>
          </w:rPr>
          <w:t>Cash gifts no longer deductible</w:t>
        </w:r>
        <w:r>
          <w:rPr>
            <w:noProof/>
            <w:webHidden/>
          </w:rPr>
          <w:tab/>
        </w:r>
        <w:r>
          <w:rPr>
            <w:noProof/>
            <w:webHidden/>
          </w:rPr>
          <w:fldChar w:fldCharType="begin"/>
        </w:r>
        <w:r>
          <w:rPr>
            <w:noProof/>
            <w:webHidden/>
          </w:rPr>
          <w:instrText xml:space="preserve"> PAGEREF _Toc51752533 \h </w:instrText>
        </w:r>
        <w:r>
          <w:rPr>
            <w:noProof/>
            <w:webHidden/>
          </w:rPr>
        </w:r>
        <w:r>
          <w:rPr>
            <w:noProof/>
            <w:webHidden/>
          </w:rPr>
          <w:fldChar w:fldCharType="separate"/>
        </w:r>
        <w:r>
          <w:rPr>
            <w:noProof/>
            <w:webHidden/>
          </w:rPr>
          <w:t>15</w:t>
        </w:r>
        <w:r>
          <w:rPr>
            <w:noProof/>
            <w:webHidden/>
          </w:rPr>
          <w:fldChar w:fldCharType="end"/>
        </w:r>
      </w:hyperlink>
    </w:p>
    <w:p w14:paraId="3F97C020" w14:textId="5844F57F"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34" w:history="1">
        <w:r w:rsidRPr="00F17274">
          <w:rPr>
            <w:rStyle w:val="Hyperlink"/>
            <w:noProof/>
          </w:rPr>
          <w:t>Excessive loans (€ 500,000 scheme)</w:t>
        </w:r>
        <w:r>
          <w:rPr>
            <w:noProof/>
            <w:webHidden/>
          </w:rPr>
          <w:tab/>
        </w:r>
        <w:r>
          <w:rPr>
            <w:noProof/>
            <w:webHidden/>
          </w:rPr>
          <w:fldChar w:fldCharType="begin"/>
        </w:r>
        <w:r>
          <w:rPr>
            <w:noProof/>
            <w:webHidden/>
          </w:rPr>
          <w:instrText xml:space="preserve"> PAGEREF _Toc51752534 \h </w:instrText>
        </w:r>
        <w:r>
          <w:rPr>
            <w:noProof/>
            <w:webHidden/>
          </w:rPr>
        </w:r>
        <w:r>
          <w:rPr>
            <w:noProof/>
            <w:webHidden/>
          </w:rPr>
          <w:fldChar w:fldCharType="separate"/>
        </w:r>
        <w:r>
          <w:rPr>
            <w:noProof/>
            <w:webHidden/>
          </w:rPr>
          <w:t>15</w:t>
        </w:r>
        <w:r>
          <w:rPr>
            <w:noProof/>
            <w:webHidden/>
          </w:rPr>
          <w:fldChar w:fldCharType="end"/>
        </w:r>
      </w:hyperlink>
    </w:p>
    <w:p w14:paraId="3BB25C06" w14:textId="4C41993D" w:rsidR="007C7138" w:rsidRDefault="007C7138">
      <w:pPr>
        <w:pStyle w:val="Inhopg2"/>
        <w:tabs>
          <w:tab w:val="right" w:leader="dot" w:pos="9062"/>
        </w:tabs>
        <w:rPr>
          <w:rFonts w:asciiTheme="minorHAnsi" w:eastAsiaTheme="minorEastAsia" w:hAnsiTheme="minorHAnsi" w:cstheme="minorBidi"/>
          <w:noProof/>
          <w:szCs w:val="22"/>
          <w:lang w:val="nl-NL"/>
        </w:rPr>
      </w:pPr>
      <w:hyperlink w:anchor="_Toc51752535" w:history="1">
        <w:r w:rsidRPr="00F17274">
          <w:rPr>
            <w:rStyle w:val="Hyperlink"/>
            <w:noProof/>
          </w:rPr>
          <w:t>What was missing from the tax plans?</w:t>
        </w:r>
        <w:r>
          <w:rPr>
            <w:noProof/>
            <w:webHidden/>
          </w:rPr>
          <w:tab/>
        </w:r>
        <w:r>
          <w:rPr>
            <w:noProof/>
            <w:webHidden/>
          </w:rPr>
          <w:fldChar w:fldCharType="begin"/>
        </w:r>
        <w:r>
          <w:rPr>
            <w:noProof/>
            <w:webHidden/>
          </w:rPr>
          <w:instrText xml:space="preserve"> PAGEREF _Toc51752535 \h </w:instrText>
        </w:r>
        <w:r>
          <w:rPr>
            <w:noProof/>
            <w:webHidden/>
          </w:rPr>
        </w:r>
        <w:r>
          <w:rPr>
            <w:noProof/>
            <w:webHidden/>
          </w:rPr>
          <w:fldChar w:fldCharType="separate"/>
        </w:r>
        <w:r>
          <w:rPr>
            <w:noProof/>
            <w:webHidden/>
          </w:rPr>
          <w:t>15</w:t>
        </w:r>
        <w:r>
          <w:rPr>
            <w:noProof/>
            <w:webHidden/>
          </w:rPr>
          <w:fldChar w:fldCharType="end"/>
        </w:r>
      </w:hyperlink>
    </w:p>
    <w:p w14:paraId="585768CF" w14:textId="44812833" w:rsidR="00DE6275" w:rsidRPr="00BF3362" w:rsidRDefault="00F272F4" w:rsidP="00D209BD">
      <w:pPr>
        <w:rPr>
          <w:rFonts w:ascii="Arial" w:hAnsi="Arial" w:cs="Arial"/>
          <w:b/>
          <w:bCs/>
          <w:sz w:val="20"/>
          <w:szCs w:val="20"/>
        </w:rPr>
      </w:pPr>
      <w:r w:rsidRPr="00BF3362">
        <w:rPr>
          <w:rFonts w:ascii="Arial" w:hAnsi="Arial" w:cs="Arial"/>
          <w:b/>
          <w:bCs/>
          <w:sz w:val="20"/>
          <w:szCs w:val="20"/>
        </w:rPr>
        <w:fldChar w:fldCharType="end"/>
      </w:r>
      <w:bookmarkEnd w:id="1"/>
    </w:p>
    <w:p w14:paraId="2C5CA8B0" w14:textId="765B3091" w:rsidR="00F272F4" w:rsidRPr="00BF3362" w:rsidRDefault="00DE6275" w:rsidP="00D209BD">
      <w:pPr>
        <w:rPr>
          <w:rFonts w:ascii="Arial" w:hAnsi="Arial" w:cs="Arial"/>
          <w:sz w:val="20"/>
          <w:szCs w:val="20"/>
        </w:rPr>
      </w:pPr>
      <w:r w:rsidRPr="00BF3362">
        <w:br w:type="page"/>
      </w:r>
    </w:p>
    <w:p w14:paraId="79C03975" w14:textId="77777777" w:rsidR="00EE2FC7" w:rsidRPr="00BF3362" w:rsidRDefault="00122F79" w:rsidP="003C63AE">
      <w:pPr>
        <w:pStyle w:val="Kop1"/>
      </w:pPr>
      <w:bookmarkStart w:id="2" w:name="_Hlk19615303"/>
      <w:bookmarkStart w:id="3" w:name="_Toc51752492"/>
      <w:r w:rsidRPr="00BF3362">
        <w:lastRenderedPageBreak/>
        <w:t>Rates</w:t>
      </w:r>
      <w:bookmarkEnd w:id="3"/>
    </w:p>
    <w:p w14:paraId="5E692F52" w14:textId="77777777" w:rsidR="00DE6275" w:rsidRPr="00BF3362" w:rsidRDefault="00DE6275" w:rsidP="006A6A56">
      <w:pPr>
        <w:pStyle w:val="Geenafstand"/>
        <w:rPr>
          <w:rFonts w:ascii="Arial" w:hAnsi="Arial" w:cs="Arial"/>
          <w:sz w:val="20"/>
          <w:szCs w:val="20"/>
        </w:rPr>
      </w:pPr>
    </w:p>
    <w:p w14:paraId="2344FC90"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A number of changes to rates, tax credits and the imputed return (box 3: savings and investments) will leave many people a little better off in 2021. Corporation tax is also being reduced slightly. As the rate in box 2 (substantial shareholdings) will increase in 2021, it may make sense to make an (extra) dividend payment this year. In this section we have presented the rates for you in handy tables. </w:t>
      </w:r>
    </w:p>
    <w:p w14:paraId="2899E566" w14:textId="77777777" w:rsidR="001C5EA6" w:rsidRPr="00BF3362" w:rsidRDefault="001C5EA6" w:rsidP="001C5EA6">
      <w:pPr>
        <w:rPr>
          <w:rFonts w:ascii="Arial" w:eastAsia="Arial" w:hAnsi="Arial" w:cs="Arial"/>
          <w:sz w:val="20"/>
          <w:szCs w:val="20"/>
        </w:rPr>
      </w:pPr>
    </w:p>
    <w:p w14:paraId="33023FAA" w14:textId="77777777" w:rsidR="001C5EA6" w:rsidRPr="00BF3362" w:rsidRDefault="001C5EA6" w:rsidP="001C5EA6">
      <w:pPr>
        <w:pStyle w:val="Kop2"/>
        <w:numPr>
          <w:ilvl w:val="0"/>
          <w:numId w:val="0"/>
        </w:numPr>
        <w:ind w:left="576" w:hanging="576"/>
        <w:rPr>
          <w:rFonts w:eastAsia="Arial"/>
          <w:bCs/>
          <w:sz w:val="20"/>
          <w:szCs w:val="18"/>
        </w:rPr>
      </w:pPr>
      <w:bookmarkStart w:id="4" w:name="_Toc51752493"/>
      <w:r w:rsidRPr="00BF3362">
        <w:rPr>
          <w:sz w:val="20"/>
          <w:szCs w:val="18"/>
        </w:rPr>
        <w:t>Two-band system: rate in first band to be reduced</w:t>
      </w:r>
      <w:bookmarkEnd w:id="4"/>
    </w:p>
    <w:p w14:paraId="78512CC7" w14:textId="77777777" w:rsidR="001C5EA6" w:rsidRPr="00BF3362" w:rsidRDefault="001C5EA6" w:rsidP="001C5EA6">
      <w:pPr>
        <w:rPr>
          <w:rFonts w:ascii="Arial" w:eastAsia="Arial" w:hAnsi="Arial" w:cs="Arial"/>
          <w:sz w:val="20"/>
          <w:szCs w:val="20"/>
        </w:rPr>
      </w:pPr>
      <w:r w:rsidRPr="00BF3362">
        <w:rPr>
          <w:rFonts w:ascii="Arial" w:hAnsi="Arial"/>
          <w:sz w:val="20"/>
          <w:szCs w:val="20"/>
        </w:rPr>
        <w:t>Since 2020 there have been just two bands for income tax purposes. This year (2020) the rate of income tax in the first band of box 1 stands at 37.35% and will be reduced slightly in 2021. The rate applicable in the second band will remain at 49.5%.</w:t>
      </w:r>
    </w:p>
    <w:p w14:paraId="5D2FCE32" w14:textId="77777777" w:rsidR="001C5EA6" w:rsidRPr="00BF3362" w:rsidRDefault="001C5EA6" w:rsidP="001C5EA6">
      <w:pPr>
        <w:rPr>
          <w:rFonts w:ascii="Arial" w:hAnsi="Arial" w:cs="Arial"/>
          <w:sz w:val="20"/>
          <w:szCs w:val="20"/>
        </w:rPr>
      </w:pPr>
      <w:r w:rsidRPr="00BF3362">
        <w:rPr>
          <w:rFonts w:ascii="Arial" w:hAnsi="Arial"/>
          <w:sz w:val="20"/>
          <w:szCs w:val="20"/>
        </w:rPr>
        <w:t xml:space="preserve"> </w:t>
      </w:r>
    </w:p>
    <w:tbl>
      <w:tblPr>
        <w:tblW w:w="0" w:type="auto"/>
        <w:tblLayout w:type="fixed"/>
        <w:tblLook w:val="04A0" w:firstRow="1" w:lastRow="0" w:firstColumn="1" w:lastColumn="0" w:noHBand="0" w:noVBand="1"/>
      </w:tblPr>
      <w:tblGrid>
        <w:gridCol w:w="1365"/>
        <w:gridCol w:w="3445"/>
        <w:gridCol w:w="2410"/>
        <w:gridCol w:w="1701"/>
      </w:tblGrid>
      <w:tr w:rsidR="001C5EA6" w:rsidRPr="00BF3362" w14:paraId="1E7BA9E6" w14:textId="77777777" w:rsidTr="001C5EA6">
        <w:trPr>
          <w:trHeight w:val="300"/>
        </w:trPr>
        <w:tc>
          <w:tcPr>
            <w:tcW w:w="8921" w:type="dxa"/>
            <w:gridSpan w:val="4"/>
            <w:tcBorders>
              <w:top w:val="single" w:sz="8" w:space="0" w:color="auto"/>
              <w:left w:val="single" w:sz="8" w:space="0" w:color="auto"/>
              <w:bottom w:val="single" w:sz="8" w:space="0" w:color="auto"/>
              <w:right w:val="single" w:sz="8" w:space="0" w:color="auto"/>
            </w:tcBorders>
          </w:tcPr>
          <w:p w14:paraId="0E063067" w14:textId="77777777" w:rsidR="001C5EA6" w:rsidRPr="00BF3362" w:rsidRDefault="001C5EA6" w:rsidP="005C0CAF">
            <w:pPr>
              <w:rPr>
                <w:rFonts w:ascii="Arial" w:hAnsi="Arial" w:cs="Arial"/>
                <w:sz w:val="20"/>
                <w:szCs w:val="20"/>
              </w:rPr>
            </w:pPr>
            <w:r w:rsidRPr="00BF3362">
              <w:rPr>
                <w:rFonts w:ascii="Arial" w:hAnsi="Arial"/>
                <w:b/>
                <w:bCs/>
                <w:sz w:val="20"/>
                <w:szCs w:val="20"/>
              </w:rPr>
              <w:t>Income tax rate/national insurance contributions for 2021</w:t>
            </w:r>
          </w:p>
        </w:tc>
      </w:tr>
      <w:tr w:rsidR="001C5EA6" w:rsidRPr="00BF3362" w14:paraId="24EB5B4A" w14:textId="77777777" w:rsidTr="001C5EA6">
        <w:trPr>
          <w:trHeight w:val="300"/>
        </w:trPr>
        <w:tc>
          <w:tcPr>
            <w:tcW w:w="1365" w:type="dxa"/>
            <w:tcBorders>
              <w:top w:val="single" w:sz="8" w:space="0" w:color="auto"/>
              <w:left w:val="single" w:sz="8" w:space="0" w:color="auto"/>
              <w:bottom w:val="single" w:sz="8" w:space="0" w:color="auto"/>
              <w:right w:val="single" w:sz="8" w:space="0" w:color="auto"/>
            </w:tcBorders>
          </w:tcPr>
          <w:p w14:paraId="0931A52A" w14:textId="77777777" w:rsidR="001C5EA6" w:rsidRPr="00BF3362" w:rsidRDefault="001C5EA6" w:rsidP="005C0CAF">
            <w:pPr>
              <w:rPr>
                <w:rFonts w:ascii="Arial" w:hAnsi="Arial" w:cs="Arial"/>
                <w:sz w:val="20"/>
                <w:szCs w:val="20"/>
              </w:rPr>
            </w:pPr>
            <w:r w:rsidRPr="00BF3362">
              <w:rPr>
                <w:rFonts w:ascii="Arial" w:hAnsi="Arial"/>
                <w:sz w:val="20"/>
                <w:szCs w:val="20"/>
              </w:rPr>
              <w:t xml:space="preserve"> </w:t>
            </w:r>
          </w:p>
        </w:tc>
        <w:tc>
          <w:tcPr>
            <w:tcW w:w="3445" w:type="dxa"/>
            <w:tcBorders>
              <w:top w:val="nil"/>
              <w:left w:val="single" w:sz="8" w:space="0" w:color="auto"/>
              <w:bottom w:val="single" w:sz="8" w:space="0" w:color="auto"/>
              <w:right w:val="single" w:sz="8" w:space="0" w:color="auto"/>
            </w:tcBorders>
          </w:tcPr>
          <w:p w14:paraId="5099F01C" w14:textId="77777777" w:rsidR="001C5EA6" w:rsidRPr="00BF3362" w:rsidRDefault="001C5EA6" w:rsidP="005C0CAF">
            <w:pPr>
              <w:rPr>
                <w:rFonts w:ascii="Arial" w:hAnsi="Arial" w:cs="Arial"/>
                <w:sz w:val="20"/>
                <w:szCs w:val="20"/>
              </w:rPr>
            </w:pPr>
            <w:r w:rsidRPr="00BF3362">
              <w:rPr>
                <w:rFonts w:ascii="Arial" w:hAnsi="Arial"/>
                <w:sz w:val="20"/>
                <w:szCs w:val="20"/>
              </w:rPr>
              <w:t>Taxable income of more than (€)</w:t>
            </w:r>
          </w:p>
        </w:tc>
        <w:tc>
          <w:tcPr>
            <w:tcW w:w="2410" w:type="dxa"/>
            <w:tcBorders>
              <w:top w:val="nil"/>
              <w:left w:val="single" w:sz="8" w:space="0" w:color="auto"/>
              <w:bottom w:val="single" w:sz="8" w:space="0" w:color="auto"/>
              <w:right w:val="single" w:sz="8" w:space="0" w:color="auto"/>
            </w:tcBorders>
          </w:tcPr>
          <w:p w14:paraId="3C9D3053" w14:textId="77777777" w:rsidR="001C5EA6" w:rsidRPr="00BF3362" w:rsidRDefault="001C5EA6" w:rsidP="005C0CAF">
            <w:pPr>
              <w:rPr>
                <w:rFonts w:ascii="Arial" w:hAnsi="Arial" w:cs="Arial"/>
                <w:sz w:val="20"/>
                <w:szCs w:val="20"/>
              </w:rPr>
            </w:pPr>
            <w:r w:rsidRPr="00BF3362">
              <w:rPr>
                <w:rFonts w:ascii="Arial" w:hAnsi="Arial"/>
                <w:sz w:val="20"/>
                <w:szCs w:val="20"/>
              </w:rPr>
              <w:t>but no more than (€)</w:t>
            </w:r>
          </w:p>
        </w:tc>
        <w:tc>
          <w:tcPr>
            <w:tcW w:w="1701" w:type="dxa"/>
            <w:tcBorders>
              <w:top w:val="nil"/>
              <w:left w:val="single" w:sz="8" w:space="0" w:color="auto"/>
              <w:bottom w:val="single" w:sz="8" w:space="0" w:color="auto"/>
              <w:right w:val="single" w:sz="8" w:space="0" w:color="auto"/>
            </w:tcBorders>
          </w:tcPr>
          <w:p w14:paraId="7553A4EF" w14:textId="77777777" w:rsidR="001C5EA6" w:rsidRPr="00BF3362" w:rsidRDefault="001C5EA6" w:rsidP="005C0CAF">
            <w:pPr>
              <w:rPr>
                <w:rFonts w:ascii="Arial" w:hAnsi="Arial" w:cs="Arial"/>
                <w:sz w:val="20"/>
                <w:szCs w:val="20"/>
              </w:rPr>
            </w:pPr>
            <w:r w:rsidRPr="00BF3362">
              <w:rPr>
                <w:rFonts w:ascii="Arial" w:hAnsi="Arial"/>
                <w:sz w:val="20"/>
                <w:szCs w:val="20"/>
              </w:rPr>
              <w:t>Rate for 2021 (%)</w:t>
            </w:r>
          </w:p>
        </w:tc>
      </w:tr>
      <w:tr w:rsidR="001C5EA6" w:rsidRPr="00BF3362" w14:paraId="1DEE7E05" w14:textId="77777777" w:rsidTr="001C5EA6">
        <w:trPr>
          <w:trHeight w:val="285"/>
        </w:trPr>
        <w:tc>
          <w:tcPr>
            <w:tcW w:w="1365" w:type="dxa"/>
            <w:tcBorders>
              <w:top w:val="single" w:sz="8" w:space="0" w:color="auto"/>
              <w:left w:val="single" w:sz="8" w:space="0" w:color="auto"/>
              <w:bottom w:val="single" w:sz="8" w:space="0" w:color="auto"/>
              <w:right w:val="single" w:sz="8" w:space="0" w:color="auto"/>
            </w:tcBorders>
          </w:tcPr>
          <w:p w14:paraId="7419E019" w14:textId="77777777" w:rsidR="001C5EA6" w:rsidRPr="00BF3362" w:rsidRDefault="001C5EA6" w:rsidP="005C0CAF">
            <w:pPr>
              <w:rPr>
                <w:rFonts w:ascii="Arial" w:hAnsi="Arial" w:cs="Arial"/>
                <w:sz w:val="20"/>
                <w:szCs w:val="20"/>
              </w:rPr>
            </w:pPr>
            <w:r w:rsidRPr="00BF3362">
              <w:rPr>
                <w:rFonts w:ascii="Arial" w:hAnsi="Arial"/>
                <w:sz w:val="20"/>
                <w:szCs w:val="20"/>
              </w:rPr>
              <w:t>1</w:t>
            </w:r>
            <w:r w:rsidRPr="00BF3362">
              <w:rPr>
                <w:rFonts w:ascii="Arial" w:hAnsi="Arial"/>
                <w:sz w:val="20"/>
                <w:szCs w:val="20"/>
                <w:vertAlign w:val="superscript"/>
              </w:rPr>
              <w:t>st</w:t>
            </w:r>
            <w:r w:rsidRPr="00BF3362">
              <w:rPr>
                <w:rFonts w:ascii="Arial" w:hAnsi="Arial"/>
                <w:sz w:val="20"/>
                <w:szCs w:val="20"/>
              </w:rPr>
              <w:t xml:space="preserve"> band</w:t>
            </w:r>
          </w:p>
        </w:tc>
        <w:tc>
          <w:tcPr>
            <w:tcW w:w="3445" w:type="dxa"/>
            <w:tcBorders>
              <w:top w:val="single" w:sz="8" w:space="0" w:color="auto"/>
              <w:left w:val="single" w:sz="8" w:space="0" w:color="auto"/>
              <w:bottom w:val="single" w:sz="8" w:space="0" w:color="auto"/>
              <w:right w:val="single" w:sz="8" w:space="0" w:color="auto"/>
            </w:tcBorders>
          </w:tcPr>
          <w:p w14:paraId="1FB72475" w14:textId="77777777" w:rsidR="001C5EA6" w:rsidRPr="00BF3362" w:rsidRDefault="001C5EA6" w:rsidP="005C0CAF">
            <w:pPr>
              <w:jc w:val="right"/>
              <w:rPr>
                <w:rFonts w:ascii="Arial" w:hAnsi="Arial" w:cs="Arial"/>
                <w:sz w:val="20"/>
                <w:szCs w:val="20"/>
              </w:rPr>
            </w:pPr>
            <w:r w:rsidRPr="00BF3362">
              <w:rPr>
                <w:rFonts w:ascii="Arial" w:hAnsi="Arial"/>
                <w:sz w:val="20"/>
                <w:szCs w:val="20"/>
              </w:rPr>
              <w:t>-</w:t>
            </w:r>
          </w:p>
        </w:tc>
        <w:tc>
          <w:tcPr>
            <w:tcW w:w="2410" w:type="dxa"/>
            <w:tcBorders>
              <w:top w:val="single" w:sz="8" w:space="0" w:color="auto"/>
              <w:left w:val="single" w:sz="8" w:space="0" w:color="auto"/>
              <w:bottom w:val="single" w:sz="8" w:space="0" w:color="auto"/>
              <w:right w:val="single" w:sz="8" w:space="0" w:color="auto"/>
            </w:tcBorders>
          </w:tcPr>
          <w:p w14:paraId="4FFE5C44" w14:textId="77777777" w:rsidR="001C5EA6" w:rsidRPr="00BF3362" w:rsidRDefault="001C5EA6" w:rsidP="005C0CAF">
            <w:pPr>
              <w:jc w:val="right"/>
              <w:rPr>
                <w:rFonts w:ascii="Arial" w:hAnsi="Arial" w:cs="Arial"/>
                <w:sz w:val="20"/>
                <w:szCs w:val="20"/>
              </w:rPr>
            </w:pPr>
            <w:r w:rsidRPr="00BF3362">
              <w:rPr>
                <w:rFonts w:ascii="Arial" w:hAnsi="Arial"/>
                <w:sz w:val="20"/>
                <w:szCs w:val="20"/>
              </w:rPr>
              <w:t>68,507</w:t>
            </w:r>
          </w:p>
        </w:tc>
        <w:tc>
          <w:tcPr>
            <w:tcW w:w="1701" w:type="dxa"/>
            <w:tcBorders>
              <w:top w:val="single" w:sz="8" w:space="0" w:color="auto"/>
              <w:left w:val="single" w:sz="8" w:space="0" w:color="auto"/>
              <w:bottom w:val="single" w:sz="8" w:space="0" w:color="auto"/>
              <w:right w:val="single" w:sz="8" w:space="0" w:color="auto"/>
            </w:tcBorders>
          </w:tcPr>
          <w:p w14:paraId="6C268CA5" w14:textId="77777777" w:rsidR="001C5EA6" w:rsidRPr="00BF3362" w:rsidRDefault="001C5EA6" w:rsidP="005C0CAF">
            <w:pPr>
              <w:jc w:val="right"/>
              <w:rPr>
                <w:rFonts w:ascii="Arial" w:eastAsia="Arial" w:hAnsi="Arial" w:cs="Arial"/>
                <w:sz w:val="20"/>
                <w:szCs w:val="20"/>
              </w:rPr>
            </w:pPr>
            <w:r w:rsidRPr="00BF3362">
              <w:rPr>
                <w:rFonts w:ascii="Arial" w:hAnsi="Arial"/>
                <w:sz w:val="20"/>
                <w:szCs w:val="20"/>
              </w:rPr>
              <w:t>37.10</w:t>
            </w:r>
          </w:p>
        </w:tc>
      </w:tr>
      <w:tr w:rsidR="001C5EA6" w:rsidRPr="00BF3362" w14:paraId="31A6D0C1" w14:textId="77777777" w:rsidTr="001C5EA6">
        <w:trPr>
          <w:trHeight w:val="285"/>
        </w:trPr>
        <w:tc>
          <w:tcPr>
            <w:tcW w:w="1365" w:type="dxa"/>
            <w:tcBorders>
              <w:top w:val="single" w:sz="8" w:space="0" w:color="auto"/>
              <w:left w:val="single" w:sz="8" w:space="0" w:color="auto"/>
              <w:bottom w:val="single" w:sz="8" w:space="0" w:color="auto"/>
              <w:right w:val="single" w:sz="8" w:space="0" w:color="auto"/>
            </w:tcBorders>
          </w:tcPr>
          <w:p w14:paraId="616544D4" w14:textId="77777777" w:rsidR="001C5EA6" w:rsidRPr="00BF3362" w:rsidRDefault="001C5EA6" w:rsidP="005C0CAF">
            <w:pPr>
              <w:rPr>
                <w:rFonts w:ascii="Arial" w:hAnsi="Arial" w:cs="Arial"/>
                <w:sz w:val="20"/>
                <w:szCs w:val="20"/>
              </w:rPr>
            </w:pPr>
            <w:r w:rsidRPr="00BF3362">
              <w:rPr>
                <w:rFonts w:ascii="Arial" w:hAnsi="Arial"/>
                <w:sz w:val="20"/>
                <w:szCs w:val="20"/>
              </w:rPr>
              <w:t>2</w:t>
            </w:r>
            <w:r w:rsidRPr="00BF3362">
              <w:rPr>
                <w:rFonts w:ascii="Arial" w:hAnsi="Arial"/>
                <w:sz w:val="20"/>
                <w:szCs w:val="20"/>
                <w:vertAlign w:val="superscript"/>
              </w:rPr>
              <w:t>nd</w:t>
            </w:r>
            <w:r w:rsidRPr="00BF3362">
              <w:rPr>
                <w:rFonts w:ascii="Arial" w:hAnsi="Arial"/>
                <w:sz w:val="20"/>
                <w:szCs w:val="20"/>
              </w:rPr>
              <w:t xml:space="preserve"> band</w:t>
            </w:r>
          </w:p>
        </w:tc>
        <w:tc>
          <w:tcPr>
            <w:tcW w:w="3445" w:type="dxa"/>
            <w:tcBorders>
              <w:top w:val="single" w:sz="8" w:space="0" w:color="auto"/>
              <w:left w:val="single" w:sz="8" w:space="0" w:color="auto"/>
              <w:bottom w:val="single" w:sz="8" w:space="0" w:color="auto"/>
              <w:right w:val="single" w:sz="8" w:space="0" w:color="auto"/>
            </w:tcBorders>
          </w:tcPr>
          <w:p w14:paraId="050E7001" w14:textId="77777777" w:rsidR="001C5EA6" w:rsidRPr="00BF3362" w:rsidRDefault="001C5EA6" w:rsidP="005C0CAF">
            <w:pPr>
              <w:spacing w:line="257" w:lineRule="auto"/>
              <w:jc w:val="right"/>
              <w:rPr>
                <w:rFonts w:ascii="Arial" w:hAnsi="Arial" w:cs="Arial"/>
                <w:sz w:val="20"/>
                <w:szCs w:val="20"/>
              </w:rPr>
            </w:pPr>
            <w:r w:rsidRPr="00BF3362">
              <w:rPr>
                <w:rFonts w:ascii="Arial" w:hAnsi="Arial"/>
                <w:sz w:val="20"/>
                <w:szCs w:val="20"/>
              </w:rPr>
              <w:t>68,507</w:t>
            </w:r>
          </w:p>
        </w:tc>
        <w:tc>
          <w:tcPr>
            <w:tcW w:w="2410" w:type="dxa"/>
            <w:tcBorders>
              <w:top w:val="single" w:sz="8" w:space="0" w:color="auto"/>
              <w:left w:val="single" w:sz="8" w:space="0" w:color="auto"/>
              <w:bottom w:val="single" w:sz="8" w:space="0" w:color="auto"/>
              <w:right w:val="single" w:sz="8" w:space="0" w:color="auto"/>
            </w:tcBorders>
          </w:tcPr>
          <w:p w14:paraId="15EB9AED" w14:textId="77777777" w:rsidR="001C5EA6" w:rsidRPr="00BF3362" w:rsidRDefault="001C5EA6" w:rsidP="005C0CAF">
            <w:pPr>
              <w:jc w:val="right"/>
              <w:rPr>
                <w:rFonts w:ascii="Arial" w:hAnsi="Arial" w:cs="Arial"/>
                <w:sz w:val="20"/>
                <w:szCs w:val="20"/>
              </w:rPr>
            </w:pPr>
            <w:r w:rsidRPr="00BF3362">
              <w:rPr>
                <w:rFonts w:ascii="Arial" w:hAnsi="Arial"/>
                <w:sz w:val="20"/>
                <w:szCs w:val="20"/>
              </w:rPr>
              <w:t>-</w:t>
            </w:r>
          </w:p>
        </w:tc>
        <w:tc>
          <w:tcPr>
            <w:tcW w:w="1701" w:type="dxa"/>
            <w:tcBorders>
              <w:top w:val="single" w:sz="8" w:space="0" w:color="auto"/>
              <w:left w:val="single" w:sz="8" w:space="0" w:color="auto"/>
              <w:bottom w:val="single" w:sz="8" w:space="0" w:color="auto"/>
              <w:right w:val="single" w:sz="8" w:space="0" w:color="auto"/>
            </w:tcBorders>
          </w:tcPr>
          <w:p w14:paraId="0AA3314B" w14:textId="77777777" w:rsidR="001C5EA6" w:rsidRPr="00BF3362" w:rsidRDefault="001C5EA6" w:rsidP="005C0CAF">
            <w:pPr>
              <w:jc w:val="right"/>
              <w:rPr>
                <w:rFonts w:ascii="Arial" w:hAnsi="Arial" w:cs="Arial"/>
                <w:sz w:val="20"/>
                <w:szCs w:val="20"/>
              </w:rPr>
            </w:pPr>
            <w:r w:rsidRPr="00BF3362">
              <w:rPr>
                <w:rFonts w:ascii="Arial" w:hAnsi="Arial"/>
                <w:sz w:val="20"/>
                <w:szCs w:val="20"/>
              </w:rPr>
              <w:t>49.50</w:t>
            </w:r>
          </w:p>
        </w:tc>
      </w:tr>
    </w:tbl>
    <w:p w14:paraId="67A35307" w14:textId="77777777" w:rsidR="001C5EA6" w:rsidRPr="00BF3362" w:rsidRDefault="001C5EA6" w:rsidP="001C5EA6">
      <w:pPr>
        <w:rPr>
          <w:rFonts w:ascii="Arial" w:hAnsi="Arial" w:cs="Arial"/>
          <w:sz w:val="20"/>
          <w:szCs w:val="20"/>
        </w:rPr>
      </w:pPr>
      <w:r w:rsidRPr="00BF3362">
        <w:rPr>
          <w:rFonts w:ascii="Arial" w:hAnsi="Arial"/>
          <w:sz w:val="20"/>
          <w:szCs w:val="20"/>
        </w:rPr>
        <w:t xml:space="preserve"> </w:t>
      </w:r>
    </w:p>
    <w:p w14:paraId="7FB5285A" w14:textId="77777777" w:rsidR="001C5EA6" w:rsidRPr="00BF3362" w:rsidRDefault="001C5EA6" w:rsidP="001C5EA6">
      <w:pPr>
        <w:rPr>
          <w:rFonts w:ascii="Arial" w:eastAsia="Arial" w:hAnsi="Arial" w:cs="Arial"/>
          <w:sz w:val="20"/>
          <w:szCs w:val="20"/>
        </w:rPr>
      </w:pPr>
      <w:r w:rsidRPr="00BF3362">
        <w:rPr>
          <w:rFonts w:ascii="Arial" w:hAnsi="Arial"/>
          <w:sz w:val="20"/>
          <w:szCs w:val="20"/>
        </w:rPr>
        <w:t>The aim is to make only a small adjustment to the rate in the first band in 2022.</w:t>
      </w:r>
    </w:p>
    <w:p w14:paraId="63DA0BB7" w14:textId="77777777" w:rsidR="001C5EA6" w:rsidRPr="00BF3362" w:rsidRDefault="001C5EA6" w:rsidP="001C5EA6">
      <w:pPr>
        <w:rPr>
          <w:rFonts w:ascii="Arial" w:eastAsia="Arial" w:hAnsi="Arial" w:cs="Arial"/>
          <w:b/>
          <w:bCs/>
          <w:sz w:val="20"/>
          <w:szCs w:val="20"/>
        </w:rPr>
      </w:pPr>
    </w:p>
    <w:tbl>
      <w:tblPr>
        <w:tblW w:w="0" w:type="auto"/>
        <w:tblLayout w:type="fixed"/>
        <w:tblLook w:val="04A0" w:firstRow="1" w:lastRow="0" w:firstColumn="1" w:lastColumn="0" w:noHBand="0" w:noVBand="1"/>
      </w:tblPr>
      <w:tblGrid>
        <w:gridCol w:w="1365"/>
        <w:gridCol w:w="3445"/>
        <w:gridCol w:w="2410"/>
        <w:gridCol w:w="1701"/>
      </w:tblGrid>
      <w:tr w:rsidR="001C5EA6" w:rsidRPr="00BF3362" w14:paraId="0A479741" w14:textId="77777777" w:rsidTr="001C5EA6">
        <w:trPr>
          <w:trHeight w:val="300"/>
        </w:trPr>
        <w:tc>
          <w:tcPr>
            <w:tcW w:w="8921" w:type="dxa"/>
            <w:gridSpan w:val="4"/>
            <w:tcBorders>
              <w:top w:val="single" w:sz="8" w:space="0" w:color="auto"/>
              <w:left w:val="single" w:sz="8" w:space="0" w:color="auto"/>
              <w:bottom w:val="single" w:sz="8" w:space="0" w:color="auto"/>
              <w:right w:val="single" w:sz="8" w:space="0" w:color="auto"/>
            </w:tcBorders>
          </w:tcPr>
          <w:p w14:paraId="3F00519C" w14:textId="77777777" w:rsidR="001C5EA6" w:rsidRPr="00BF3362" w:rsidRDefault="001C5EA6" w:rsidP="005C0CAF">
            <w:pPr>
              <w:rPr>
                <w:rFonts w:ascii="Arial" w:hAnsi="Arial" w:cs="Arial"/>
                <w:sz w:val="20"/>
                <w:szCs w:val="20"/>
              </w:rPr>
            </w:pPr>
            <w:r w:rsidRPr="00BF3362">
              <w:rPr>
                <w:rFonts w:ascii="Arial" w:hAnsi="Arial"/>
                <w:b/>
                <w:bCs/>
                <w:sz w:val="20"/>
                <w:szCs w:val="20"/>
              </w:rPr>
              <w:t xml:space="preserve">Income tax rate/national insurance contributions </w:t>
            </w:r>
            <w:r w:rsidRPr="00BF3362">
              <w:rPr>
                <w:rFonts w:ascii="Arial" w:hAnsi="Arial"/>
                <w:b/>
                <w:bCs/>
                <w:sz w:val="20"/>
                <w:szCs w:val="20"/>
              </w:rPr>
              <w:br/>
              <w:t>Aim for 2022</w:t>
            </w:r>
          </w:p>
        </w:tc>
      </w:tr>
      <w:tr w:rsidR="001C5EA6" w:rsidRPr="00BF3362" w14:paraId="401186BC" w14:textId="77777777" w:rsidTr="001C5EA6">
        <w:trPr>
          <w:trHeight w:val="300"/>
        </w:trPr>
        <w:tc>
          <w:tcPr>
            <w:tcW w:w="1365" w:type="dxa"/>
            <w:tcBorders>
              <w:top w:val="single" w:sz="8" w:space="0" w:color="auto"/>
              <w:left w:val="single" w:sz="8" w:space="0" w:color="auto"/>
              <w:bottom w:val="single" w:sz="8" w:space="0" w:color="auto"/>
              <w:right w:val="single" w:sz="8" w:space="0" w:color="auto"/>
            </w:tcBorders>
          </w:tcPr>
          <w:p w14:paraId="77825A53" w14:textId="77777777" w:rsidR="001C5EA6" w:rsidRPr="00BF3362" w:rsidRDefault="001C5EA6" w:rsidP="005C0CAF">
            <w:pPr>
              <w:rPr>
                <w:rFonts w:ascii="Arial" w:hAnsi="Arial" w:cs="Arial"/>
                <w:sz w:val="20"/>
                <w:szCs w:val="20"/>
              </w:rPr>
            </w:pPr>
            <w:r w:rsidRPr="00BF3362">
              <w:rPr>
                <w:rFonts w:ascii="Arial" w:hAnsi="Arial"/>
                <w:sz w:val="20"/>
                <w:szCs w:val="20"/>
              </w:rPr>
              <w:t xml:space="preserve"> </w:t>
            </w:r>
          </w:p>
        </w:tc>
        <w:tc>
          <w:tcPr>
            <w:tcW w:w="3445" w:type="dxa"/>
            <w:tcBorders>
              <w:top w:val="nil"/>
              <w:left w:val="single" w:sz="8" w:space="0" w:color="auto"/>
              <w:bottom w:val="single" w:sz="8" w:space="0" w:color="auto"/>
              <w:right w:val="single" w:sz="8" w:space="0" w:color="auto"/>
            </w:tcBorders>
          </w:tcPr>
          <w:p w14:paraId="5ED00774" w14:textId="77777777" w:rsidR="001C5EA6" w:rsidRPr="00BF3362" w:rsidRDefault="001C5EA6" w:rsidP="005C0CAF">
            <w:pPr>
              <w:rPr>
                <w:rFonts w:ascii="Arial" w:hAnsi="Arial" w:cs="Arial"/>
                <w:sz w:val="20"/>
                <w:szCs w:val="20"/>
              </w:rPr>
            </w:pPr>
            <w:r w:rsidRPr="00BF3362">
              <w:rPr>
                <w:rFonts w:ascii="Arial" w:hAnsi="Arial"/>
                <w:sz w:val="20"/>
                <w:szCs w:val="20"/>
              </w:rPr>
              <w:t>Taxable income of more than (€)</w:t>
            </w:r>
          </w:p>
        </w:tc>
        <w:tc>
          <w:tcPr>
            <w:tcW w:w="2410" w:type="dxa"/>
            <w:tcBorders>
              <w:top w:val="nil"/>
              <w:left w:val="single" w:sz="8" w:space="0" w:color="auto"/>
              <w:bottom w:val="single" w:sz="8" w:space="0" w:color="auto"/>
              <w:right w:val="single" w:sz="8" w:space="0" w:color="auto"/>
            </w:tcBorders>
          </w:tcPr>
          <w:p w14:paraId="6DBADD28" w14:textId="77777777" w:rsidR="001C5EA6" w:rsidRPr="00BF3362" w:rsidRDefault="001C5EA6" w:rsidP="005C0CAF">
            <w:pPr>
              <w:rPr>
                <w:rFonts w:ascii="Arial" w:hAnsi="Arial" w:cs="Arial"/>
                <w:sz w:val="20"/>
                <w:szCs w:val="20"/>
              </w:rPr>
            </w:pPr>
            <w:r w:rsidRPr="00BF3362">
              <w:rPr>
                <w:rFonts w:ascii="Arial" w:hAnsi="Arial"/>
                <w:sz w:val="20"/>
                <w:szCs w:val="20"/>
              </w:rPr>
              <w:t>but no more than (€)</w:t>
            </w:r>
          </w:p>
        </w:tc>
        <w:tc>
          <w:tcPr>
            <w:tcW w:w="1701" w:type="dxa"/>
            <w:tcBorders>
              <w:top w:val="nil"/>
              <w:left w:val="single" w:sz="8" w:space="0" w:color="auto"/>
              <w:bottom w:val="single" w:sz="8" w:space="0" w:color="auto"/>
              <w:right w:val="single" w:sz="8" w:space="0" w:color="auto"/>
            </w:tcBorders>
          </w:tcPr>
          <w:p w14:paraId="34C33693" w14:textId="77777777" w:rsidR="001C5EA6" w:rsidRPr="00BF3362" w:rsidRDefault="001C5EA6" w:rsidP="005C0CAF">
            <w:pPr>
              <w:rPr>
                <w:rFonts w:ascii="Arial" w:hAnsi="Arial" w:cs="Arial"/>
                <w:sz w:val="20"/>
                <w:szCs w:val="20"/>
              </w:rPr>
            </w:pPr>
            <w:r w:rsidRPr="00BF3362">
              <w:rPr>
                <w:rFonts w:ascii="Arial" w:hAnsi="Arial"/>
                <w:sz w:val="20"/>
                <w:szCs w:val="20"/>
              </w:rPr>
              <w:t>Rate for 2022 (%)</w:t>
            </w:r>
          </w:p>
        </w:tc>
      </w:tr>
      <w:tr w:rsidR="001C5EA6" w:rsidRPr="00BF3362" w14:paraId="775CD5EF" w14:textId="77777777" w:rsidTr="001C5EA6">
        <w:trPr>
          <w:trHeight w:val="285"/>
        </w:trPr>
        <w:tc>
          <w:tcPr>
            <w:tcW w:w="1365" w:type="dxa"/>
            <w:tcBorders>
              <w:top w:val="single" w:sz="8" w:space="0" w:color="auto"/>
              <w:left w:val="single" w:sz="8" w:space="0" w:color="auto"/>
              <w:bottom w:val="single" w:sz="8" w:space="0" w:color="auto"/>
              <w:right w:val="single" w:sz="8" w:space="0" w:color="auto"/>
            </w:tcBorders>
          </w:tcPr>
          <w:p w14:paraId="7B6AB242" w14:textId="77777777" w:rsidR="001C5EA6" w:rsidRPr="00BF3362" w:rsidRDefault="001C5EA6" w:rsidP="005C0CAF">
            <w:pPr>
              <w:rPr>
                <w:rFonts w:ascii="Arial" w:hAnsi="Arial" w:cs="Arial"/>
                <w:sz w:val="20"/>
                <w:szCs w:val="20"/>
              </w:rPr>
            </w:pPr>
            <w:r w:rsidRPr="00BF3362">
              <w:rPr>
                <w:rFonts w:ascii="Arial" w:hAnsi="Arial"/>
                <w:sz w:val="20"/>
                <w:szCs w:val="20"/>
              </w:rPr>
              <w:t>1</w:t>
            </w:r>
            <w:r w:rsidRPr="00BF3362">
              <w:rPr>
                <w:rFonts w:ascii="Arial" w:hAnsi="Arial"/>
                <w:sz w:val="20"/>
                <w:szCs w:val="20"/>
                <w:vertAlign w:val="superscript"/>
              </w:rPr>
              <w:t>st</w:t>
            </w:r>
            <w:r w:rsidRPr="00BF3362">
              <w:rPr>
                <w:rFonts w:ascii="Arial" w:hAnsi="Arial"/>
                <w:sz w:val="20"/>
                <w:szCs w:val="20"/>
              </w:rPr>
              <w:t xml:space="preserve"> band</w:t>
            </w:r>
          </w:p>
        </w:tc>
        <w:tc>
          <w:tcPr>
            <w:tcW w:w="3445" w:type="dxa"/>
            <w:tcBorders>
              <w:top w:val="single" w:sz="8" w:space="0" w:color="auto"/>
              <w:left w:val="single" w:sz="8" w:space="0" w:color="auto"/>
              <w:bottom w:val="single" w:sz="8" w:space="0" w:color="auto"/>
              <w:right w:val="single" w:sz="8" w:space="0" w:color="auto"/>
            </w:tcBorders>
          </w:tcPr>
          <w:p w14:paraId="4745979F" w14:textId="77777777" w:rsidR="001C5EA6" w:rsidRPr="00BF3362" w:rsidRDefault="001C5EA6" w:rsidP="005C0CAF">
            <w:pPr>
              <w:jc w:val="right"/>
              <w:rPr>
                <w:rFonts w:ascii="Arial" w:hAnsi="Arial" w:cs="Arial"/>
                <w:sz w:val="20"/>
                <w:szCs w:val="20"/>
              </w:rPr>
            </w:pPr>
            <w:r w:rsidRPr="00BF3362">
              <w:rPr>
                <w:rFonts w:ascii="Arial" w:hAnsi="Arial"/>
                <w:sz w:val="20"/>
                <w:szCs w:val="20"/>
              </w:rPr>
              <w:t>-</w:t>
            </w:r>
          </w:p>
        </w:tc>
        <w:tc>
          <w:tcPr>
            <w:tcW w:w="2410" w:type="dxa"/>
            <w:tcBorders>
              <w:top w:val="single" w:sz="8" w:space="0" w:color="auto"/>
              <w:left w:val="single" w:sz="8" w:space="0" w:color="auto"/>
              <w:bottom w:val="single" w:sz="8" w:space="0" w:color="auto"/>
              <w:right w:val="single" w:sz="8" w:space="0" w:color="auto"/>
            </w:tcBorders>
          </w:tcPr>
          <w:p w14:paraId="53D67C29" w14:textId="77777777" w:rsidR="001C5EA6" w:rsidRPr="00BF3362" w:rsidRDefault="001C5EA6" w:rsidP="005C0CAF">
            <w:pPr>
              <w:jc w:val="right"/>
              <w:rPr>
                <w:rFonts w:ascii="Arial" w:hAnsi="Arial" w:cs="Arial"/>
                <w:sz w:val="20"/>
                <w:szCs w:val="20"/>
              </w:rPr>
            </w:pPr>
            <w:r w:rsidRPr="00BF3362">
              <w:rPr>
                <w:rFonts w:ascii="Arial" w:hAnsi="Arial"/>
                <w:sz w:val="20"/>
                <w:szCs w:val="20"/>
              </w:rPr>
              <w:t>68,507</w:t>
            </w:r>
          </w:p>
        </w:tc>
        <w:tc>
          <w:tcPr>
            <w:tcW w:w="1701" w:type="dxa"/>
            <w:tcBorders>
              <w:top w:val="single" w:sz="8" w:space="0" w:color="auto"/>
              <w:left w:val="single" w:sz="8" w:space="0" w:color="auto"/>
              <w:bottom w:val="single" w:sz="8" w:space="0" w:color="auto"/>
              <w:right w:val="single" w:sz="8" w:space="0" w:color="auto"/>
            </w:tcBorders>
          </w:tcPr>
          <w:p w14:paraId="66662315" w14:textId="77777777" w:rsidR="001C5EA6" w:rsidRPr="00BF3362" w:rsidRDefault="001C5EA6" w:rsidP="005C0CAF">
            <w:pPr>
              <w:jc w:val="right"/>
              <w:rPr>
                <w:rFonts w:ascii="Arial" w:hAnsi="Arial" w:cs="Arial"/>
                <w:sz w:val="20"/>
                <w:szCs w:val="20"/>
              </w:rPr>
            </w:pPr>
            <w:r w:rsidRPr="00BF3362">
              <w:rPr>
                <w:rFonts w:ascii="Arial" w:hAnsi="Arial"/>
                <w:sz w:val="20"/>
                <w:szCs w:val="20"/>
              </w:rPr>
              <w:t>37.07</w:t>
            </w:r>
          </w:p>
        </w:tc>
      </w:tr>
      <w:tr w:rsidR="001C5EA6" w:rsidRPr="00BF3362" w14:paraId="401F6736" w14:textId="77777777" w:rsidTr="001C5EA6">
        <w:trPr>
          <w:trHeight w:val="285"/>
        </w:trPr>
        <w:tc>
          <w:tcPr>
            <w:tcW w:w="1365" w:type="dxa"/>
            <w:tcBorders>
              <w:top w:val="single" w:sz="8" w:space="0" w:color="auto"/>
              <w:left w:val="single" w:sz="8" w:space="0" w:color="auto"/>
              <w:bottom w:val="single" w:sz="8" w:space="0" w:color="auto"/>
              <w:right w:val="single" w:sz="8" w:space="0" w:color="auto"/>
            </w:tcBorders>
          </w:tcPr>
          <w:p w14:paraId="3F8834F3" w14:textId="77777777" w:rsidR="001C5EA6" w:rsidRPr="00BF3362" w:rsidRDefault="001C5EA6" w:rsidP="005C0CAF">
            <w:pPr>
              <w:rPr>
                <w:rFonts w:ascii="Arial" w:hAnsi="Arial" w:cs="Arial"/>
                <w:sz w:val="20"/>
                <w:szCs w:val="20"/>
              </w:rPr>
            </w:pPr>
            <w:r w:rsidRPr="00BF3362">
              <w:rPr>
                <w:rFonts w:ascii="Arial" w:hAnsi="Arial"/>
                <w:sz w:val="20"/>
                <w:szCs w:val="20"/>
              </w:rPr>
              <w:t>2</w:t>
            </w:r>
            <w:r w:rsidRPr="00BF3362">
              <w:rPr>
                <w:rFonts w:ascii="Arial" w:hAnsi="Arial"/>
                <w:sz w:val="20"/>
                <w:szCs w:val="20"/>
                <w:vertAlign w:val="superscript"/>
              </w:rPr>
              <w:t>nd</w:t>
            </w:r>
            <w:r w:rsidRPr="00BF3362">
              <w:rPr>
                <w:rFonts w:ascii="Arial" w:hAnsi="Arial"/>
                <w:sz w:val="20"/>
                <w:szCs w:val="20"/>
              </w:rPr>
              <w:t xml:space="preserve"> band</w:t>
            </w:r>
          </w:p>
        </w:tc>
        <w:tc>
          <w:tcPr>
            <w:tcW w:w="3445" w:type="dxa"/>
            <w:tcBorders>
              <w:top w:val="single" w:sz="8" w:space="0" w:color="auto"/>
              <w:left w:val="single" w:sz="8" w:space="0" w:color="auto"/>
              <w:bottom w:val="single" w:sz="8" w:space="0" w:color="auto"/>
              <w:right w:val="single" w:sz="8" w:space="0" w:color="auto"/>
            </w:tcBorders>
          </w:tcPr>
          <w:p w14:paraId="67642352" w14:textId="77777777" w:rsidR="001C5EA6" w:rsidRPr="00BF3362" w:rsidRDefault="001C5EA6" w:rsidP="005C0CAF">
            <w:pPr>
              <w:jc w:val="right"/>
              <w:rPr>
                <w:rFonts w:ascii="Arial" w:hAnsi="Arial" w:cs="Arial"/>
                <w:sz w:val="20"/>
                <w:szCs w:val="20"/>
              </w:rPr>
            </w:pPr>
            <w:r w:rsidRPr="00BF3362">
              <w:rPr>
                <w:rFonts w:ascii="Arial" w:hAnsi="Arial"/>
                <w:sz w:val="20"/>
                <w:szCs w:val="20"/>
              </w:rPr>
              <w:t>68,507</w:t>
            </w:r>
          </w:p>
        </w:tc>
        <w:tc>
          <w:tcPr>
            <w:tcW w:w="2410" w:type="dxa"/>
            <w:tcBorders>
              <w:top w:val="single" w:sz="8" w:space="0" w:color="auto"/>
              <w:left w:val="single" w:sz="8" w:space="0" w:color="auto"/>
              <w:bottom w:val="single" w:sz="8" w:space="0" w:color="auto"/>
              <w:right w:val="single" w:sz="8" w:space="0" w:color="auto"/>
            </w:tcBorders>
          </w:tcPr>
          <w:p w14:paraId="07ABE0DA" w14:textId="77777777" w:rsidR="001C5EA6" w:rsidRPr="00BF3362" w:rsidRDefault="001C5EA6" w:rsidP="005C0CAF">
            <w:pPr>
              <w:jc w:val="right"/>
              <w:rPr>
                <w:rFonts w:ascii="Arial" w:hAnsi="Arial" w:cs="Arial"/>
                <w:sz w:val="20"/>
                <w:szCs w:val="20"/>
              </w:rPr>
            </w:pPr>
            <w:r w:rsidRPr="00BF3362">
              <w:rPr>
                <w:rFonts w:ascii="Arial" w:hAnsi="Arial"/>
                <w:sz w:val="20"/>
                <w:szCs w:val="20"/>
              </w:rPr>
              <w:t>-</w:t>
            </w:r>
          </w:p>
        </w:tc>
        <w:tc>
          <w:tcPr>
            <w:tcW w:w="1701" w:type="dxa"/>
            <w:tcBorders>
              <w:top w:val="single" w:sz="8" w:space="0" w:color="auto"/>
              <w:left w:val="single" w:sz="8" w:space="0" w:color="auto"/>
              <w:bottom w:val="single" w:sz="8" w:space="0" w:color="auto"/>
              <w:right w:val="single" w:sz="8" w:space="0" w:color="auto"/>
            </w:tcBorders>
          </w:tcPr>
          <w:p w14:paraId="67DDB96D" w14:textId="77777777" w:rsidR="001C5EA6" w:rsidRPr="00BF3362" w:rsidRDefault="001C5EA6" w:rsidP="005C0CAF">
            <w:pPr>
              <w:jc w:val="right"/>
              <w:rPr>
                <w:rFonts w:ascii="Arial" w:hAnsi="Arial" w:cs="Arial"/>
                <w:sz w:val="20"/>
                <w:szCs w:val="20"/>
              </w:rPr>
            </w:pPr>
            <w:r w:rsidRPr="00BF3362">
              <w:rPr>
                <w:rFonts w:ascii="Arial" w:hAnsi="Arial"/>
                <w:sz w:val="20"/>
                <w:szCs w:val="20"/>
              </w:rPr>
              <w:t>49.50</w:t>
            </w:r>
          </w:p>
        </w:tc>
      </w:tr>
    </w:tbl>
    <w:p w14:paraId="0FC74994" w14:textId="77777777" w:rsidR="001C5EA6" w:rsidRPr="00BF3362" w:rsidRDefault="001C5EA6" w:rsidP="001C5EA6">
      <w:pPr>
        <w:rPr>
          <w:rFonts w:ascii="Arial" w:hAnsi="Arial" w:cs="Arial"/>
          <w:sz w:val="20"/>
          <w:szCs w:val="20"/>
        </w:rPr>
      </w:pPr>
      <w:r w:rsidRPr="00BF3362">
        <w:rPr>
          <w:rFonts w:ascii="Arial" w:hAnsi="Arial"/>
          <w:sz w:val="20"/>
          <w:szCs w:val="20"/>
        </w:rPr>
        <w:t xml:space="preserve"> </w:t>
      </w:r>
    </w:p>
    <w:p w14:paraId="6B5E66C3" w14:textId="77777777" w:rsidR="001C5EA6" w:rsidRPr="00BF3362" w:rsidRDefault="001C5EA6" w:rsidP="001C5EA6">
      <w:pPr>
        <w:pStyle w:val="Kop2"/>
        <w:numPr>
          <w:ilvl w:val="0"/>
          <w:numId w:val="0"/>
        </w:numPr>
        <w:ind w:left="576" w:hanging="576"/>
        <w:rPr>
          <w:rFonts w:eastAsia="Arial"/>
          <w:sz w:val="20"/>
          <w:szCs w:val="18"/>
        </w:rPr>
      </w:pPr>
      <w:bookmarkStart w:id="5" w:name="_Toc51752494"/>
      <w:r w:rsidRPr="00BF3362">
        <w:rPr>
          <w:sz w:val="20"/>
          <w:szCs w:val="18"/>
        </w:rPr>
        <w:t>Overview of changes to tax credits</w:t>
      </w:r>
      <w:bookmarkEnd w:id="5"/>
    </w:p>
    <w:p w14:paraId="1F99494B"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Everyone is entitled to a general tax credit – a credit against income tax. This credit is dependent on your income: the lower your income, the higher the credit. The general tax credit will be increased in 2021. </w:t>
      </w:r>
    </w:p>
    <w:p w14:paraId="569D7EDD" w14:textId="77777777" w:rsidR="001C5EA6" w:rsidRPr="00BF3362" w:rsidRDefault="001C5EA6" w:rsidP="001C5EA6">
      <w:pPr>
        <w:rPr>
          <w:rFonts w:ascii="Arial" w:eastAsia="Arial" w:hAnsi="Arial" w:cs="Arial"/>
          <w:sz w:val="20"/>
          <w:szCs w:val="20"/>
        </w:rPr>
      </w:pPr>
    </w:p>
    <w:tbl>
      <w:tblPr>
        <w:tblW w:w="0" w:type="auto"/>
        <w:tblLayout w:type="fixed"/>
        <w:tblLook w:val="04A0" w:firstRow="1" w:lastRow="0" w:firstColumn="1" w:lastColumn="0" w:noHBand="0" w:noVBand="1"/>
      </w:tblPr>
      <w:tblGrid>
        <w:gridCol w:w="4952"/>
        <w:gridCol w:w="2268"/>
        <w:gridCol w:w="1701"/>
      </w:tblGrid>
      <w:tr w:rsidR="001C5EA6" w:rsidRPr="00BF3362" w14:paraId="45885C9F" w14:textId="77777777" w:rsidTr="001C5EA6">
        <w:trPr>
          <w:trHeight w:val="300"/>
        </w:trPr>
        <w:tc>
          <w:tcPr>
            <w:tcW w:w="4952" w:type="dxa"/>
            <w:tcBorders>
              <w:top w:val="single" w:sz="8" w:space="0" w:color="auto"/>
              <w:left w:val="single" w:sz="8" w:space="0" w:color="auto"/>
              <w:bottom w:val="single" w:sz="8" w:space="0" w:color="auto"/>
              <w:right w:val="single" w:sz="8" w:space="0" w:color="auto"/>
            </w:tcBorders>
          </w:tcPr>
          <w:p w14:paraId="7318BC19" w14:textId="77777777" w:rsidR="001C5EA6" w:rsidRPr="00BF3362" w:rsidRDefault="001C5EA6" w:rsidP="005C0CAF">
            <w:pPr>
              <w:rPr>
                <w:rFonts w:ascii="Arial" w:hAnsi="Arial" w:cs="Arial"/>
                <w:sz w:val="20"/>
                <w:szCs w:val="20"/>
              </w:rPr>
            </w:pPr>
            <w:r w:rsidRPr="00BF3362">
              <w:rPr>
                <w:rFonts w:ascii="Arial" w:hAnsi="Arial"/>
                <w:b/>
                <w:bCs/>
                <w:sz w:val="20"/>
                <w:szCs w:val="20"/>
              </w:rPr>
              <w:t>Tax credits</w:t>
            </w:r>
          </w:p>
        </w:tc>
        <w:tc>
          <w:tcPr>
            <w:tcW w:w="2268" w:type="dxa"/>
            <w:tcBorders>
              <w:top w:val="single" w:sz="8" w:space="0" w:color="auto"/>
              <w:left w:val="single" w:sz="8" w:space="0" w:color="auto"/>
              <w:bottom w:val="single" w:sz="8" w:space="0" w:color="auto"/>
              <w:right w:val="single" w:sz="8" w:space="0" w:color="auto"/>
            </w:tcBorders>
          </w:tcPr>
          <w:p w14:paraId="16F506CB" w14:textId="77777777" w:rsidR="001C5EA6" w:rsidRPr="00BF3362" w:rsidRDefault="001C5EA6" w:rsidP="005C0CAF">
            <w:pPr>
              <w:jc w:val="right"/>
              <w:rPr>
                <w:rFonts w:ascii="Arial" w:hAnsi="Arial" w:cs="Arial"/>
                <w:sz w:val="20"/>
                <w:szCs w:val="20"/>
              </w:rPr>
            </w:pPr>
            <w:r w:rsidRPr="00BF3362">
              <w:rPr>
                <w:rFonts w:ascii="Arial" w:hAnsi="Arial"/>
                <w:b/>
                <w:bCs/>
                <w:sz w:val="20"/>
                <w:szCs w:val="20"/>
              </w:rPr>
              <w:t>2020 (€)</w:t>
            </w:r>
          </w:p>
        </w:tc>
        <w:tc>
          <w:tcPr>
            <w:tcW w:w="1701" w:type="dxa"/>
            <w:tcBorders>
              <w:top w:val="single" w:sz="8" w:space="0" w:color="auto"/>
              <w:left w:val="single" w:sz="8" w:space="0" w:color="auto"/>
              <w:bottom w:val="single" w:sz="8" w:space="0" w:color="auto"/>
              <w:right w:val="single" w:sz="8" w:space="0" w:color="auto"/>
            </w:tcBorders>
          </w:tcPr>
          <w:p w14:paraId="51124906" w14:textId="77777777" w:rsidR="001C5EA6" w:rsidRPr="00BF3362" w:rsidRDefault="001C5EA6" w:rsidP="005C0CAF">
            <w:pPr>
              <w:jc w:val="right"/>
              <w:rPr>
                <w:rFonts w:ascii="Arial" w:hAnsi="Arial" w:cs="Arial"/>
                <w:sz w:val="20"/>
                <w:szCs w:val="20"/>
              </w:rPr>
            </w:pPr>
            <w:r w:rsidRPr="00BF3362">
              <w:rPr>
                <w:rFonts w:ascii="Arial" w:hAnsi="Arial"/>
                <w:b/>
                <w:bCs/>
                <w:sz w:val="20"/>
                <w:szCs w:val="20"/>
              </w:rPr>
              <w:t>2021 (€)</w:t>
            </w:r>
          </w:p>
        </w:tc>
      </w:tr>
      <w:tr w:rsidR="001C5EA6" w:rsidRPr="00BF3362" w14:paraId="7B62AC03" w14:textId="77777777" w:rsidTr="001C5EA6">
        <w:trPr>
          <w:trHeight w:val="300"/>
        </w:trPr>
        <w:tc>
          <w:tcPr>
            <w:tcW w:w="4952" w:type="dxa"/>
            <w:tcBorders>
              <w:top w:val="single" w:sz="8" w:space="0" w:color="auto"/>
              <w:left w:val="single" w:sz="8" w:space="0" w:color="auto"/>
              <w:bottom w:val="single" w:sz="8" w:space="0" w:color="auto"/>
              <w:right w:val="single" w:sz="8" w:space="0" w:color="auto"/>
            </w:tcBorders>
          </w:tcPr>
          <w:p w14:paraId="1B5619C1" w14:textId="77777777" w:rsidR="001C5EA6" w:rsidRPr="00BF3362" w:rsidRDefault="001C5EA6" w:rsidP="005C0CAF">
            <w:pPr>
              <w:rPr>
                <w:rFonts w:ascii="Arial" w:hAnsi="Arial" w:cs="Arial"/>
                <w:sz w:val="20"/>
                <w:szCs w:val="20"/>
              </w:rPr>
            </w:pPr>
            <w:r w:rsidRPr="00BF3362">
              <w:rPr>
                <w:rFonts w:ascii="Arial" w:hAnsi="Arial"/>
                <w:sz w:val="20"/>
                <w:szCs w:val="20"/>
              </w:rPr>
              <w:t>Maximum general tax credit (&lt; state pension age)</w:t>
            </w:r>
          </w:p>
        </w:tc>
        <w:tc>
          <w:tcPr>
            <w:tcW w:w="2268" w:type="dxa"/>
            <w:tcBorders>
              <w:top w:val="single" w:sz="8" w:space="0" w:color="auto"/>
              <w:left w:val="single" w:sz="8" w:space="0" w:color="auto"/>
              <w:bottom w:val="single" w:sz="8" w:space="0" w:color="auto"/>
              <w:right w:val="single" w:sz="8" w:space="0" w:color="auto"/>
            </w:tcBorders>
          </w:tcPr>
          <w:p w14:paraId="5126BA5C" w14:textId="77777777" w:rsidR="001C5EA6" w:rsidRPr="00BF3362" w:rsidRDefault="001C5EA6" w:rsidP="005C0CAF">
            <w:pPr>
              <w:jc w:val="right"/>
              <w:rPr>
                <w:rFonts w:ascii="Arial" w:hAnsi="Arial" w:cs="Arial"/>
                <w:sz w:val="20"/>
                <w:szCs w:val="20"/>
              </w:rPr>
            </w:pPr>
            <w:r w:rsidRPr="00BF3362">
              <w:rPr>
                <w:rFonts w:ascii="Arial" w:hAnsi="Arial"/>
                <w:sz w:val="20"/>
                <w:szCs w:val="20"/>
              </w:rPr>
              <w:t>2,711</w:t>
            </w:r>
          </w:p>
        </w:tc>
        <w:tc>
          <w:tcPr>
            <w:tcW w:w="1701" w:type="dxa"/>
            <w:tcBorders>
              <w:top w:val="single" w:sz="8" w:space="0" w:color="auto"/>
              <w:left w:val="single" w:sz="8" w:space="0" w:color="auto"/>
              <w:bottom w:val="single" w:sz="8" w:space="0" w:color="auto"/>
              <w:right w:val="single" w:sz="8" w:space="0" w:color="auto"/>
            </w:tcBorders>
          </w:tcPr>
          <w:p w14:paraId="55C82C91" w14:textId="77777777" w:rsidR="001C5EA6" w:rsidRPr="00BF3362" w:rsidRDefault="001C5EA6" w:rsidP="005C0CAF">
            <w:pPr>
              <w:ind w:left="568"/>
              <w:jc w:val="right"/>
              <w:rPr>
                <w:rFonts w:ascii="Arial" w:eastAsia="Arial" w:hAnsi="Arial" w:cs="Arial"/>
                <w:sz w:val="20"/>
                <w:szCs w:val="20"/>
              </w:rPr>
            </w:pPr>
            <w:r w:rsidRPr="00BF3362">
              <w:rPr>
                <w:rFonts w:ascii="Arial" w:hAnsi="Arial"/>
                <w:sz w:val="20"/>
                <w:szCs w:val="20"/>
              </w:rPr>
              <w:t>2,837</w:t>
            </w:r>
          </w:p>
        </w:tc>
      </w:tr>
      <w:tr w:rsidR="001C5EA6" w:rsidRPr="00BF3362" w14:paraId="254C90C7" w14:textId="77777777" w:rsidTr="001C5EA6">
        <w:trPr>
          <w:trHeight w:val="285"/>
        </w:trPr>
        <w:tc>
          <w:tcPr>
            <w:tcW w:w="4952" w:type="dxa"/>
            <w:tcBorders>
              <w:top w:val="single" w:sz="8" w:space="0" w:color="auto"/>
              <w:left w:val="single" w:sz="8" w:space="0" w:color="auto"/>
              <w:bottom w:val="single" w:sz="8" w:space="0" w:color="auto"/>
              <w:right w:val="single" w:sz="8" w:space="0" w:color="auto"/>
            </w:tcBorders>
          </w:tcPr>
          <w:p w14:paraId="136DDA2A" w14:textId="77777777" w:rsidR="001C5EA6" w:rsidRPr="00BF3362" w:rsidRDefault="001C5EA6" w:rsidP="005C0CAF">
            <w:pPr>
              <w:rPr>
                <w:rFonts w:ascii="Arial" w:hAnsi="Arial" w:cs="Arial"/>
                <w:sz w:val="20"/>
                <w:szCs w:val="20"/>
              </w:rPr>
            </w:pPr>
            <w:r w:rsidRPr="00BF3362">
              <w:rPr>
                <w:rFonts w:ascii="Arial" w:hAnsi="Arial"/>
                <w:sz w:val="20"/>
                <w:szCs w:val="20"/>
              </w:rPr>
              <w:t>Employed person’s tax credit (maximum)</w:t>
            </w:r>
          </w:p>
        </w:tc>
        <w:tc>
          <w:tcPr>
            <w:tcW w:w="2268" w:type="dxa"/>
            <w:tcBorders>
              <w:top w:val="single" w:sz="8" w:space="0" w:color="auto"/>
              <w:left w:val="single" w:sz="8" w:space="0" w:color="auto"/>
              <w:bottom w:val="single" w:sz="8" w:space="0" w:color="auto"/>
              <w:right w:val="single" w:sz="8" w:space="0" w:color="auto"/>
            </w:tcBorders>
          </w:tcPr>
          <w:p w14:paraId="78574676" w14:textId="77777777" w:rsidR="001C5EA6" w:rsidRPr="00BF3362" w:rsidRDefault="001C5EA6" w:rsidP="005C0CAF">
            <w:pPr>
              <w:jc w:val="right"/>
              <w:rPr>
                <w:rFonts w:ascii="Arial" w:hAnsi="Arial" w:cs="Arial"/>
                <w:sz w:val="20"/>
                <w:szCs w:val="20"/>
              </w:rPr>
            </w:pPr>
            <w:r w:rsidRPr="00BF3362">
              <w:rPr>
                <w:rFonts w:ascii="Arial" w:hAnsi="Arial"/>
                <w:sz w:val="20"/>
                <w:szCs w:val="20"/>
              </w:rPr>
              <w:t>3,819</w:t>
            </w:r>
          </w:p>
        </w:tc>
        <w:tc>
          <w:tcPr>
            <w:tcW w:w="1701" w:type="dxa"/>
            <w:tcBorders>
              <w:top w:val="single" w:sz="8" w:space="0" w:color="auto"/>
              <w:left w:val="single" w:sz="8" w:space="0" w:color="auto"/>
              <w:bottom w:val="single" w:sz="8" w:space="0" w:color="auto"/>
              <w:right w:val="single" w:sz="8" w:space="0" w:color="auto"/>
            </w:tcBorders>
          </w:tcPr>
          <w:p w14:paraId="47370877" w14:textId="77777777" w:rsidR="001C5EA6" w:rsidRPr="00BF3362" w:rsidRDefault="001C5EA6" w:rsidP="005C0CAF">
            <w:pPr>
              <w:jc w:val="right"/>
              <w:rPr>
                <w:rFonts w:ascii="Arial" w:eastAsia="Arial" w:hAnsi="Arial" w:cs="Arial"/>
                <w:sz w:val="20"/>
                <w:szCs w:val="20"/>
              </w:rPr>
            </w:pPr>
            <w:r w:rsidRPr="00BF3362">
              <w:rPr>
                <w:rFonts w:ascii="Arial" w:hAnsi="Arial"/>
                <w:sz w:val="20"/>
                <w:szCs w:val="20"/>
              </w:rPr>
              <w:t xml:space="preserve">4,205 </w:t>
            </w:r>
          </w:p>
        </w:tc>
      </w:tr>
      <w:tr w:rsidR="001C5EA6" w:rsidRPr="00BF3362" w14:paraId="531D3766" w14:textId="77777777" w:rsidTr="001C5EA6">
        <w:trPr>
          <w:trHeight w:val="285"/>
        </w:trPr>
        <w:tc>
          <w:tcPr>
            <w:tcW w:w="4952" w:type="dxa"/>
            <w:tcBorders>
              <w:top w:val="single" w:sz="8" w:space="0" w:color="auto"/>
              <w:left w:val="single" w:sz="8" w:space="0" w:color="auto"/>
              <w:bottom w:val="single" w:sz="8" w:space="0" w:color="auto"/>
              <w:right w:val="single" w:sz="8" w:space="0" w:color="auto"/>
            </w:tcBorders>
          </w:tcPr>
          <w:p w14:paraId="055AEA14" w14:textId="77777777" w:rsidR="001C5EA6" w:rsidRPr="00BF3362" w:rsidRDefault="001C5EA6" w:rsidP="005C0CAF">
            <w:pPr>
              <w:rPr>
                <w:rFonts w:ascii="Arial" w:hAnsi="Arial" w:cs="Arial"/>
                <w:sz w:val="20"/>
                <w:szCs w:val="20"/>
              </w:rPr>
            </w:pPr>
            <w:r w:rsidRPr="00BF3362">
              <w:rPr>
                <w:rFonts w:ascii="Arial" w:hAnsi="Arial"/>
                <w:sz w:val="20"/>
                <w:szCs w:val="20"/>
              </w:rPr>
              <w:t>Young disabled person’s tax credit</w:t>
            </w:r>
          </w:p>
        </w:tc>
        <w:tc>
          <w:tcPr>
            <w:tcW w:w="2268" w:type="dxa"/>
            <w:tcBorders>
              <w:top w:val="single" w:sz="8" w:space="0" w:color="auto"/>
              <w:left w:val="single" w:sz="8" w:space="0" w:color="auto"/>
              <w:bottom w:val="single" w:sz="8" w:space="0" w:color="auto"/>
              <w:right w:val="single" w:sz="8" w:space="0" w:color="auto"/>
            </w:tcBorders>
          </w:tcPr>
          <w:p w14:paraId="0BD2B532" w14:textId="77777777" w:rsidR="001C5EA6" w:rsidRPr="00BF3362" w:rsidRDefault="001C5EA6" w:rsidP="005C0CAF">
            <w:pPr>
              <w:jc w:val="right"/>
              <w:rPr>
                <w:rFonts w:ascii="Arial" w:hAnsi="Arial" w:cs="Arial"/>
                <w:sz w:val="20"/>
                <w:szCs w:val="20"/>
              </w:rPr>
            </w:pPr>
            <w:r w:rsidRPr="00BF3362">
              <w:rPr>
                <w:rFonts w:ascii="Arial" w:hAnsi="Arial"/>
                <w:sz w:val="20"/>
                <w:szCs w:val="20"/>
              </w:rPr>
              <w:t>749</w:t>
            </w:r>
          </w:p>
        </w:tc>
        <w:tc>
          <w:tcPr>
            <w:tcW w:w="1701" w:type="dxa"/>
            <w:tcBorders>
              <w:top w:val="single" w:sz="8" w:space="0" w:color="auto"/>
              <w:left w:val="single" w:sz="8" w:space="0" w:color="auto"/>
              <w:bottom w:val="single" w:sz="8" w:space="0" w:color="auto"/>
              <w:right w:val="single" w:sz="8" w:space="0" w:color="auto"/>
            </w:tcBorders>
          </w:tcPr>
          <w:p w14:paraId="2D7DEDEC" w14:textId="77777777" w:rsidR="001C5EA6" w:rsidRPr="00BF3362" w:rsidRDefault="001C5EA6" w:rsidP="005C0CAF">
            <w:pPr>
              <w:ind w:left="568"/>
              <w:jc w:val="right"/>
              <w:rPr>
                <w:rFonts w:ascii="Arial" w:eastAsia="Arial" w:hAnsi="Arial" w:cs="Arial"/>
                <w:sz w:val="20"/>
                <w:szCs w:val="20"/>
              </w:rPr>
            </w:pPr>
            <w:r w:rsidRPr="00BF3362">
              <w:rPr>
                <w:rFonts w:ascii="Arial" w:hAnsi="Arial"/>
                <w:sz w:val="20"/>
                <w:szCs w:val="20"/>
              </w:rPr>
              <w:t xml:space="preserve"> 761</w:t>
            </w:r>
          </w:p>
        </w:tc>
      </w:tr>
      <w:tr w:rsidR="001C5EA6" w:rsidRPr="00BF3362" w14:paraId="37738FBA" w14:textId="77777777" w:rsidTr="001C5EA6">
        <w:trPr>
          <w:trHeight w:val="285"/>
        </w:trPr>
        <w:tc>
          <w:tcPr>
            <w:tcW w:w="4952" w:type="dxa"/>
            <w:tcBorders>
              <w:top w:val="single" w:sz="8" w:space="0" w:color="auto"/>
              <w:left w:val="single" w:sz="8" w:space="0" w:color="auto"/>
              <w:bottom w:val="single" w:sz="8" w:space="0" w:color="auto"/>
              <w:right w:val="single" w:sz="8" w:space="0" w:color="auto"/>
            </w:tcBorders>
          </w:tcPr>
          <w:p w14:paraId="22E31488" w14:textId="77777777" w:rsidR="001C5EA6" w:rsidRPr="00BF3362" w:rsidRDefault="001C5EA6" w:rsidP="005C0CAF">
            <w:pPr>
              <w:rPr>
                <w:rFonts w:ascii="Arial" w:hAnsi="Arial" w:cs="Arial"/>
                <w:sz w:val="20"/>
                <w:szCs w:val="20"/>
              </w:rPr>
            </w:pPr>
            <w:r w:rsidRPr="00BF3362">
              <w:rPr>
                <w:rFonts w:ascii="Arial" w:hAnsi="Arial"/>
                <w:sz w:val="20"/>
                <w:szCs w:val="20"/>
              </w:rPr>
              <w:t>Maximum income-dependent combination tax credit</w:t>
            </w:r>
          </w:p>
        </w:tc>
        <w:tc>
          <w:tcPr>
            <w:tcW w:w="2268" w:type="dxa"/>
            <w:tcBorders>
              <w:top w:val="single" w:sz="8" w:space="0" w:color="auto"/>
              <w:left w:val="single" w:sz="8" w:space="0" w:color="auto"/>
              <w:bottom w:val="single" w:sz="8" w:space="0" w:color="auto"/>
              <w:right w:val="single" w:sz="8" w:space="0" w:color="auto"/>
            </w:tcBorders>
          </w:tcPr>
          <w:p w14:paraId="7C975C07" w14:textId="77777777" w:rsidR="001C5EA6" w:rsidRPr="00BF3362" w:rsidRDefault="001C5EA6" w:rsidP="005C0CAF">
            <w:pPr>
              <w:jc w:val="right"/>
              <w:rPr>
                <w:rFonts w:ascii="Arial" w:hAnsi="Arial" w:cs="Arial"/>
                <w:sz w:val="20"/>
                <w:szCs w:val="20"/>
              </w:rPr>
            </w:pPr>
            <w:r w:rsidRPr="00BF3362">
              <w:rPr>
                <w:rFonts w:ascii="Arial" w:hAnsi="Arial"/>
                <w:sz w:val="20"/>
                <w:szCs w:val="20"/>
              </w:rPr>
              <w:t>2,881</w:t>
            </w:r>
          </w:p>
        </w:tc>
        <w:tc>
          <w:tcPr>
            <w:tcW w:w="1701" w:type="dxa"/>
            <w:tcBorders>
              <w:top w:val="single" w:sz="8" w:space="0" w:color="auto"/>
              <w:left w:val="single" w:sz="8" w:space="0" w:color="auto"/>
              <w:bottom w:val="single" w:sz="8" w:space="0" w:color="auto"/>
              <w:right w:val="single" w:sz="8" w:space="0" w:color="auto"/>
            </w:tcBorders>
          </w:tcPr>
          <w:p w14:paraId="55B26257" w14:textId="77777777" w:rsidR="001C5EA6" w:rsidRPr="00BF3362" w:rsidRDefault="001C5EA6" w:rsidP="005C0CAF">
            <w:pPr>
              <w:ind w:left="568"/>
              <w:jc w:val="right"/>
              <w:rPr>
                <w:rFonts w:ascii="Arial" w:eastAsia="Arial" w:hAnsi="Arial" w:cs="Arial"/>
                <w:sz w:val="20"/>
                <w:szCs w:val="20"/>
              </w:rPr>
            </w:pPr>
            <w:r w:rsidRPr="00BF3362">
              <w:rPr>
                <w:rFonts w:ascii="Arial" w:hAnsi="Arial"/>
                <w:sz w:val="20"/>
                <w:szCs w:val="20"/>
              </w:rPr>
              <w:t xml:space="preserve"> 2,815</w:t>
            </w:r>
          </w:p>
        </w:tc>
      </w:tr>
      <w:tr w:rsidR="001C5EA6" w:rsidRPr="00BF3362" w14:paraId="45A3DCCE" w14:textId="77777777" w:rsidTr="001C5EA6">
        <w:trPr>
          <w:trHeight w:val="285"/>
        </w:trPr>
        <w:tc>
          <w:tcPr>
            <w:tcW w:w="4952" w:type="dxa"/>
            <w:tcBorders>
              <w:top w:val="single" w:sz="8" w:space="0" w:color="auto"/>
              <w:left w:val="single" w:sz="8" w:space="0" w:color="auto"/>
              <w:bottom w:val="single" w:sz="8" w:space="0" w:color="auto"/>
              <w:right w:val="single" w:sz="8" w:space="0" w:color="auto"/>
            </w:tcBorders>
          </w:tcPr>
          <w:p w14:paraId="675DB087" w14:textId="77777777" w:rsidR="001C5EA6" w:rsidRPr="00BF3362" w:rsidRDefault="001C5EA6" w:rsidP="005C0CAF">
            <w:pPr>
              <w:rPr>
                <w:rFonts w:ascii="Arial" w:hAnsi="Arial" w:cs="Arial"/>
                <w:sz w:val="20"/>
                <w:szCs w:val="20"/>
              </w:rPr>
            </w:pPr>
            <w:r w:rsidRPr="00BF3362">
              <w:rPr>
                <w:rFonts w:ascii="Arial" w:hAnsi="Arial"/>
                <w:sz w:val="20"/>
                <w:szCs w:val="20"/>
              </w:rPr>
              <w:t>Elderly person’s tax credit (maximum)</w:t>
            </w:r>
          </w:p>
        </w:tc>
        <w:tc>
          <w:tcPr>
            <w:tcW w:w="2268" w:type="dxa"/>
            <w:tcBorders>
              <w:top w:val="single" w:sz="8" w:space="0" w:color="auto"/>
              <w:left w:val="single" w:sz="8" w:space="0" w:color="auto"/>
              <w:bottom w:val="single" w:sz="8" w:space="0" w:color="auto"/>
              <w:right w:val="single" w:sz="8" w:space="0" w:color="auto"/>
            </w:tcBorders>
          </w:tcPr>
          <w:p w14:paraId="104A22B5" w14:textId="77777777" w:rsidR="001C5EA6" w:rsidRPr="00BF3362" w:rsidRDefault="001C5EA6" w:rsidP="005C0CAF">
            <w:pPr>
              <w:jc w:val="right"/>
              <w:rPr>
                <w:rFonts w:ascii="Arial" w:hAnsi="Arial" w:cs="Arial"/>
                <w:sz w:val="20"/>
                <w:szCs w:val="20"/>
              </w:rPr>
            </w:pPr>
            <w:r w:rsidRPr="00BF3362">
              <w:rPr>
                <w:rFonts w:ascii="Arial" w:hAnsi="Arial"/>
                <w:sz w:val="20"/>
                <w:szCs w:val="20"/>
              </w:rPr>
              <w:t>1,622</w:t>
            </w:r>
          </w:p>
        </w:tc>
        <w:tc>
          <w:tcPr>
            <w:tcW w:w="1701" w:type="dxa"/>
            <w:tcBorders>
              <w:top w:val="single" w:sz="8" w:space="0" w:color="auto"/>
              <w:left w:val="single" w:sz="8" w:space="0" w:color="auto"/>
              <w:bottom w:val="single" w:sz="8" w:space="0" w:color="auto"/>
              <w:right w:val="single" w:sz="8" w:space="0" w:color="auto"/>
            </w:tcBorders>
          </w:tcPr>
          <w:p w14:paraId="0722304E" w14:textId="77777777" w:rsidR="001C5EA6" w:rsidRPr="00BF3362" w:rsidRDefault="001C5EA6" w:rsidP="005C0CAF">
            <w:pPr>
              <w:ind w:left="568"/>
              <w:jc w:val="right"/>
              <w:rPr>
                <w:rFonts w:ascii="Arial" w:eastAsia="Arial" w:hAnsi="Arial" w:cs="Arial"/>
                <w:sz w:val="20"/>
                <w:szCs w:val="20"/>
              </w:rPr>
            </w:pPr>
            <w:r w:rsidRPr="00BF3362">
              <w:rPr>
                <w:rFonts w:ascii="Arial" w:hAnsi="Arial"/>
                <w:sz w:val="20"/>
                <w:szCs w:val="20"/>
              </w:rPr>
              <w:t xml:space="preserve"> 1,703</w:t>
            </w:r>
          </w:p>
        </w:tc>
      </w:tr>
      <w:tr w:rsidR="001C5EA6" w:rsidRPr="00BF3362" w14:paraId="62B1DFCA" w14:textId="77777777" w:rsidTr="001C5EA6">
        <w:trPr>
          <w:trHeight w:val="285"/>
        </w:trPr>
        <w:tc>
          <w:tcPr>
            <w:tcW w:w="4952" w:type="dxa"/>
            <w:tcBorders>
              <w:top w:val="single" w:sz="8" w:space="0" w:color="auto"/>
              <w:left w:val="single" w:sz="8" w:space="0" w:color="auto"/>
              <w:bottom w:val="single" w:sz="8" w:space="0" w:color="auto"/>
              <w:right w:val="single" w:sz="8" w:space="0" w:color="auto"/>
            </w:tcBorders>
          </w:tcPr>
          <w:p w14:paraId="3A5A94B7" w14:textId="77777777" w:rsidR="001C5EA6" w:rsidRPr="00BF3362" w:rsidRDefault="001C5EA6" w:rsidP="005C0CAF">
            <w:pPr>
              <w:rPr>
                <w:rFonts w:ascii="Arial" w:hAnsi="Arial" w:cs="Arial"/>
                <w:sz w:val="20"/>
                <w:szCs w:val="20"/>
              </w:rPr>
            </w:pPr>
            <w:r w:rsidRPr="00BF3362">
              <w:rPr>
                <w:rFonts w:ascii="Arial" w:hAnsi="Arial"/>
                <w:sz w:val="20"/>
                <w:szCs w:val="20"/>
              </w:rPr>
              <w:t>Single parent’s tax credit</w:t>
            </w:r>
          </w:p>
        </w:tc>
        <w:tc>
          <w:tcPr>
            <w:tcW w:w="2268" w:type="dxa"/>
            <w:tcBorders>
              <w:top w:val="single" w:sz="8" w:space="0" w:color="auto"/>
              <w:left w:val="single" w:sz="8" w:space="0" w:color="auto"/>
              <w:bottom w:val="single" w:sz="8" w:space="0" w:color="auto"/>
              <w:right w:val="single" w:sz="8" w:space="0" w:color="auto"/>
            </w:tcBorders>
          </w:tcPr>
          <w:p w14:paraId="40080E11" w14:textId="77777777" w:rsidR="001C5EA6" w:rsidRPr="00BF3362" w:rsidRDefault="001C5EA6" w:rsidP="005C0CAF">
            <w:pPr>
              <w:jc w:val="right"/>
              <w:rPr>
                <w:rFonts w:ascii="Arial" w:hAnsi="Arial" w:cs="Arial"/>
                <w:sz w:val="20"/>
                <w:szCs w:val="20"/>
              </w:rPr>
            </w:pPr>
            <w:r w:rsidRPr="00BF3362">
              <w:rPr>
                <w:rFonts w:ascii="Arial" w:hAnsi="Arial"/>
                <w:sz w:val="20"/>
                <w:szCs w:val="20"/>
              </w:rPr>
              <w:t>436</w:t>
            </w:r>
          </w:p>
        </w:tc>
        <w:tc>
          <w:tcPr>
            <w:tcW w:w="1701" w:type="dxa"/>
            <w:tcBorders>
              <w:top w:val="single" w:sz="8" w:space="0" w:color="auto"/>
              <w:left w:val="single" w:sz="8" w:space="0" w:color="auto"/>
              <w:bottom w:val="single" w:sz="8" w:space="0" w:color="auto"/>
              <w:right w:val="single" w:sz="8" w:space="0" w:color="auto"/>
            </w:tcBorders>
          </w:tcPr>
          <w:p w14:paraId="101076FF" w14:textId="77777777" w:rsidR="001C5EA6" w:rsidRPr="00BF3362" w:rsidRDefault="001C5EA6" w:rsidP="005C0CAF">
            <w:pPr>
              <w:ind w:left="568"/>
              <w:jc w:val="right"/>
              <w:rPr>
                <w:rFonts w:ascii="Arial" w:eastAsia="Arial" w:hAnsi="Arial" w:cs="Arial"/>
                <w:sz w:val="20"/>
                <w:szCs w:val="20"/>
              </w:rPr>
            </w:pPr>
            <w:r w:rsidRPr="00BF3362">
              <w:rPr>
                <w:rFonts w:ascii="Arial" w:hAnsi="Arial"/>
                <w:sz w:val="20"/>
                <w:szCs w:val="20"/>
              </w:rPr>
              <w:t xml:space="preserve"> 443</w:t>
            </w:r>
          </w:p>
        </w:tc>
      </w:tr>
    </w:tbl>
    <w:p w14:paraId="5CD7E226" w14:textId="77777777" w:rsidR="00963A6D" w:rsidRPr="00BF3362" w:rsidRDefault="00963A6D" w:rsidP="00963A6D">
      <w:pPr>
        <w:pStyle w:val="Geenafstand"/>
        <w:rPr>
          <w:rFonts w:ascii="Arial" w:eastAsia="Arial" w:hAnsi="Arial" w:cs="Arial"/>
          <w:sz w:val="20"/>
          <w:szCs w:val="20"/>
        </w:rPr>
      </w:pPr>
    </w:p>
    <w:p w14:paraId="5CE32957" w14:textId="0B9E8EC5" w:rsidR="001C5EA6" w:rsidRPr="00BF3362" w:rsidRDefault="001C5EA6" w:rsidP="00963A6D">
      <w:pPr>
        <w:pStyle w:val="Kop2"/>
        <w:numPr>
          <w:ilvl w:val="0"/>
          <w:numId w:val="0"/>
        </w:numPr>
        <w:ind w:left="576" w:hanging="576"/>
        <w:rPr>
          <w:sz w:val="20"/>
          <w:szCs w:val="18"/>
        </w:rPr>
      </w:pPr>
      <w:bookmarkStart w:id="6" w:name="_Toc51752495"/>
      <w:r w:rsidRPr="00BF3362">
        <w:rPr>
          <w:sz w:val="20"/>
          <w:szCs w:val="18"/>
        </w:rPr>
        <w:t>Rate applicable to substantial shareholdings in box 2</w:t>
      </w:r>
      <w:bookmarkEnd w:id="6"/>
    </w:p>
    <w:p w14:paraId="11B5CA19" w14:textId="675512FB" w:rsidR="001C5EA6" w:rsidRPr="00BF3362" w:rsidRDefault="001C5EA6" w:rsidP="001C5EA6">
      <w:pPr>
        <w:rPr>
          <w:rFonts w:ascii="Arial" w:hAnsi="Arial" w:cs="Arial"/>
          <w:sz w:val="20"/>
          <w:szCs w:val="20"/>
        </w:rPr>
      </w:pPr>
      <w:r w:rsidRPr="00BF3362">
        <w:rPr>
          <w:rFonts w:ascii="Arial" w:hAnsi="Arial"/>
          <w:sz w:val="20"/>
          <w:szCs w:val="20"/>
        </w:rPr>
        <w:t>The rate in box 2 is currently 26.25%. It had already been decided last year that this rate would increase to 26.9% with effect from 2021. There will be no changes to this plan. The rate of 26.9% will apply to benefits from substantial shareholdings, such as dividends that are paid by a private limited company to a shareholder (director/major shareholder) and become part of his private assets, and capital gains on the sale of shares.</w:t>
      </w:r>
    </w:p>
    <w:p w14:paraId="2DF11B18" w14:textId="77777777" w:rsidR="001C5EA6" w:rsidRPr="00BF3362" w:rsidRDefault="001C5EA6" w:rsidP="001C5EA6">
      <w:pPr>
        <w:rPr>
          <w:rFonts w:ascii="Arial" w:eastAsia="Arial" w:hAnsi="Arial" w:cs="Arial"/>
          <w:b/>
          <w:bCs/>
          <w:sz w:val="20"/>
          <w:szCs w:val="20"/>
        </w:rPr>
      </w:pPr>
    </w:p>
    <w:p w14:paraId="15A92B88" w14:textId="0E0CECC5" w:rsidR="001C5EA6" w:rsidRPr="00BF3362" w:rsidRDefault="00594546" w:rsidP="001C5EA6">
      <w:pPr>
        <w:shd w:val="clear" w:color="auto" w:fill="D9D9D9"/>
        <w:rPr>
          <w:rFonts w:ascii="Arial" w:hAnsi="Arial" w:cs="Arial"/>
          <w:b/>
          <w:bCs/>
          <w:sz w:val="20"/>
          <w:szCs w:val="20"/>
        </w:rPr>
      </w:pPr>
      <w:r w:rsidRPr="00BF3362">
        <w:rPr>
          <w:rFonts w:ascii="Arial" w:hAnsi="Arial"/>
          <w:b/>
          <w:bCs/>
          <w:sz w:val="20"/>
          <w:szCs w:val="20"/>
        </w:rPr>
        <w:t xml:space="preserve">Tip: </w:t>
      </w:r>
    </w:p>
    <w:p w14:paraId="15F7C2A5" w14:textId="60E7568B" w:rsidR="001C5EA6" w:rsidRPr="00BF3362" w:rsidRDefault="001C5EA6" w:rsidP="001C5EA6">
      <w:pPr>
        <w:shd w:val="clear" w:color="auto" w:fill="D9D9D9"/>
        <w:rPr>
          <w:rFonts w:ascii="Arial" w:hAnsi="Arial" w:cs="Arial"/>
          <w:sz w:val="20"/>
          <w:szCs w:val="20"/>
        </w:rPr>
      </w:pPr>
      <w:r w:rsidRPr="00BF3362">
        <w:rPr>
          <w:rFonts w:ascii="Arial" w:hAnsi="Arial"/>
          <w:sz w:val="20"/>
          <w:szCs w:val="20"/>
        </w:rPr>
        <w:t>Due to the increase in the rate, it may be advantageous to distribute a dividend in 2020. Are you considering making a dividend payment in 2020? If you have benefited from coronavirus support measures, pay close attention to the relevant regulations, as under some of these measures you are prohibited from distributing a dividend.</w:t>
      </w:r>
    </w:p>
    <w:p w14:paraId="5CF2FD4B" w14:textId="77777777" w:rsidR="001C5EA6" w:rsidRPr="00BF3362" w:rsidRDefault="001C5EA6" w:rsidP="001C5EA6">
      <w:pPr>
        <w:rPr>
          <w:rFonts w:ascii="Arial" w:eastAsia="Arial" w:hAnsi="Arial" w:cs="Arial"/>
          <w:b/>
          <w:bCs/>
          <w:sz w:val="20"/>
          <w:szCs w:val="20"/>
        </w:rPr>
      </w:pPr>
    </w:p>
    <w:p w14:paraId="081BC3AD" w14:textId="77777777" w:rsidR="001C5EA6" w:rsidRPr="00BF3362" w:rsidRDefault="001C5EA6" w:rsidP="00963A6D">
      <w:pPr>
        <w:pStyle w:val="Kop2"/>
        <w:numPr>
          <w:ilvl w:val="0"/>
          <w:numId w:val="0"/>
        </w:numPr>
        <w:ind w:left="576" w:hanging="576"/>
        <w:rPr>
          <w:rFonts w:eastAsia="Arial"/>
          <w:bCs/>
          <w:sz w:val="20"/>
          <w:szCs w:val="18"/>
        </w:rPr>
      </w:pPr>
      <w:bookmarkStart w:id="7" w:name="_Toc51752496"/>
      <w:r w:rsidRPr="00BF3362">
        <w:rPr>
          <w:sz w:val="20"/>
          <w:szCs w:val="18"/>
        </w:rPr>
        <w:lastRenderedPageBreak/>
        <w:t>Adjustment of rate in box 3</w:t>
      </w:r>
      <w:bookmarkEnd w:id="7"/>
    </w:p>
    <w:p w14:paraId="2C2E76CD"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To help smaller savers and investors, the legislative proposal relating to the ‘Adjustment of box 3 Act’ proposes a change to the tax on imputed return on investment in box 3. </w:t>
      </w:r>
    </w:p>
    <w:p w14:paraId="0D905DBC" w14:textId="77777777" w:rsidR="001C5EA6" w:rsidRPr="00BF3362" w:rsidRDefault="001C5EA6" w:rsidP="001C5EA6">
      <w:pPr>
        <w:rPr>
          <w:rFonts w:ascii="Arial" w:eastAsia="Arial" w:hAnsi="Arial" w:cs="Arial"/>
          <w:sz w:val="20"/>
          <w:szCs w:val="20"/>
        </w:rPr>
      </w:pPr>
    </w:p>
    <w:p w14:paraId="76689ECE"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The system used to determine returns will not change in 2021. The tax payable will therefore continue to be calculated on the basis of three bands. However, the tax-free allowance per person will be increased from € 30,846 in 2020 to € 50,000 in 2021. </w:t>
      </w:r>
    </w:p>
    <w:p w14:paraId="26A136CE" w14:textId="77777777" w:rsidR="001C5EA6" w:rsidRPr="00BF3362" w:rsidRDefault="001C5EA6" w:rsidP="001C5EA6">
      <w:pPr>
        <w:rPr>
          <w:rFonts w:ascii="Arial" w:eastAsia="Arial" w:hAnsi="Arial" w:cs="Arial"/>
          <w:sz w:val="20"/>
          <w:szCs w:val="20"/>
        </w:rPr>
      </w:pPr>
    </w:p>
    <w:p w14:paraId="11C03AF4"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In 2021 the bands will be as follows:  </w:t>
      </w:r>
    </w:p>
    <w:p w14:paraId="16A26C5F" w14:textId="77777777" w:rsidR="001C5EA6" w:rsidRPr="00BF3362" w:rsidRDefault="001C5EA6" w:rsidP="001C5EA6">
      <w:pPr>
        <w:numPr>
          <w:ilvl w:val="0"/>
          <w:numId w:val="7"/>
        </w:numPr>
        <w:shd w:val="clear" w:color="auto" w:fill="FFFFFF"/>
        <w:ind w:left="300" w:firstLine="126"/>
        <w:rPr>
          <w:rFonts w:ascii="Arial" w:hAnsi="Arial" w:cs="Arial"/>
          <w:sz w:val="20"/>
          <w:szCs w:val="20"/>
        </w:rPr>
      </w:pPr>
      <w:r w:rsidRPr="00BF3362">
        <w:rPr>
          <w:rFonts w:ascii="Arial" w:hAnsi="Arial"/>
          <w:sz w:val="20"/>
          <w:szCs w:val="20"/>
        </w:rPr>
        <w:t>Band 1 will run from € 50,000 to € 100,000 (2020: € 30,849 to € 103,643).</w:t>
      </w:r>
    </w:p>
    <w:p w14:paraId="70244828" w14:textId="77777777" w:rsidR="001C5EA6" w:rsidRPr="00BF3362" w:rsidRDefault="001C5EA6" w:rsidP="001C5EA6">
      <w:pPr>
        <w:numPr>
          <w:ilvl w:val="0"/>
          <w:numId w:val="7"/>
        </w:numPr>
        <w:shd w:val="clear" w:color="auto" w:fill="FFFFFF"/>
        <w:ind w:left="300" w:firstLine="126"/>
        <w:rPr>
          <w:rFonts w:ascii="Arial" w:hAnsi="Arial" w:cs="Arial"/>
          <w:sz w:val="20"/>
          <w:szCs w:val="20"/>
        </w:rPr>
      </w:pPr>
      <w:r w:rsidRPr="00BF3362">
        <w:rPr>
          <w:rFonts w:ascii="Arial" w:hAnsi="Arial"/>
          <w:sz w:val="20"/>
          <w:szCs w:val="20"/>
        </w:rPr>
        <w:t>Band 2 will run from € 100,000 to € 1,000,000 (2020: € 103,643 to € 1,036,418).</w:t>
      </w:r>
    </w:p>
    <w:p w14:paraId="3AF129F5" w14:textId="77777777" w:rsidR="001C5EA6" w:rsidRPr="00BF3362" w:rsidRDefault="001C5EA6" w:rsidP="001C5EA6">
      <w:pPr>
        <w:numPr>
          <w:ilvl w:val="0"/>
          <w:numId w:val="7"/>
        </w:numPr>
        <w:shd w:val="clear" w:color="auto" w:fill="FFFFFF"/>
        <w:ind w:left="300" w:firstLine="126"/>
        <w:rPr>
          <w:rFonts w:ascii="Arial" w:hAnsi="Arial" w:cs="Arial"/>
          <w:sz w:val="20"/>
          <w:szCs w:val="20"/>
        </w:rPr>
      </w:pPr>
      <w:r w:rsidRPr="00BF3362">
        <w:rPr>
          <w:rFonts w:ascii="Arial" w:hAnsi="Arial"/>
          <w:sz w:val="20"/>
          <w:szCs w:val="20"/>
        </w:rPr>
        <w:t>Band 3 will start from € 1,000,000 (2020: from € 1,036,418).</w:t>
      </w:r>
    </w:p>
    <w:p w14:paraId="50E3668F" w14:textId="77777777" w:rsidR="001C5EA6" w:rsidRPr="00BF3362" w:rsidRDefault="001C5EA6" w:rsidP="001C5EA6">
      <w:pPr>
        <w:rPr>
          <w:rFonts w:ascii="Arial" w:eastAsia="Arial" w:hAnsi="Arial" w:cs="Arial"/>
          <w:sz w:val="20"/>
          <w:szCs w:val="20"/>
        </w:rPr>
      </w:pPr>
    </w:p>
    <w:p w14:paraId="3EE24B86" w14:textId="77777777" w:rsidR="001C5EA6" w:rsidRPr="00BF3362" w:rsidRDefault="001C5EA6" w:rsidP="001C5EA6">
      <w:pPr>
        <w:rPr>
          <w:rFonts w:ascii="Arial" w:eastAsia="Arial" w:hAnsi="Arial" w:cs="Arial"/>
          <w:sz w:val="20"/>
          <w:szCs w:val="20"/>
        </w:rPr>
      </w:pPr>
      <w:r w:rsidRPr="00BF3362">
        <w:rPr>
          <w:rFonts w:ascii="Arial" w:hAnsi="Arial"/>
          <w:sz w:val="20"/>
          <w:szCs w:val="20"/>
        </w:rPr>
        <w:t>The rate in box 3 will increase to 31% (currently 30%).</w:t>
      </w:r>
    </w:p>
    <w:p w14:paraId="0A7829C7" w14:textId="77777777" w:rsidR="001C5EA6" w:rsidRPr="00BF3362" w:rsidRDefault="001C5EA6" w:rsidP="001C5EA6">
      <w:pPr>
        <w:rPr>
          <w:rFonts w:ascii="Arial" w:eastAsia="Arial" w:hAnsi="Arial" w:cs="Arial"/>
          <w:b/>
          <w:bCs/>
          <w:sz w:val="20"/>
          <w:szCs w:val="20"/>
        </w:rPr>
      </w:pPr>
    </w:p>
    <w:p w14:paraId="3EE75F74" w14:textId="77777777" w:rsidR="001C5EA6" w:rsidRPr="00BF3362" w:rsidRDefault="001C5EA6" w:rsidP="001C5EA6">
      <w:pPr>
        <w:shd w:val="clear" w:color="auto" w:fill="D9D9D9"/>
        <w:rPr>
          <w:rFonts w:ascii="Arial" w:hAnsi="Arial" w:cs="Arial"/>
          <w:b/>
          <w:bCs/>
          <w:sz w:val="20"/>
          <w:szCs w:val="20"/>
        </w:rPr>
      </w:pPr>
      <w:r w:rsidRPr="00BF3362">
        <w:rPr>
          <w:rFonts w:ascii="Arial" w:hAnsi="Arial"/>
          <w:b/>
          <w:bCs/>
          <w:sz w:val="20"/>
          <w:szCs w:val="20"/>
        </w:rPr>
        <w:t xml:space="preserve">Please note: </w:t>
      </w:r>
    </w:p>
    <w:p w14:paraId="4D45CCC4" w14:textId="6D323483" w:rsidR="001C5EA6" w:rsidRPr="00BF3362" w:rsidRDefault="001C5EA6" w:rsidP="001C5EA6">
      <w:pPr>
        <w:shd w:val="clear" w:color="auto" w:fill="D9D9D9"/>
        <w:rPr>
          <w:rFonts w:ascii="Arial" w:hAnsi="Arial" w:cs="Arial"/>
          <w:sz w:val="20"/>
          <w:szCs w:val="20"/>
        </w:rPr>
      </w:pPr>
      <w:r w:rsidRPr="00BF3362">
        <w:rPr>
          <w:rFonts w:ascii="Arial" w:hAnsi="Arial"/>
          <w:sz w:val="20"/>
          <w:szCs w:val="20"/>
        </w:rPr>
        <w:t xml:space="preserve">The increase in the tax allowance will not affect your entitlement to allowances, such as care allowance, housing allowance or the child-based budget. An asset threshold of € 31,430 (2021) will apply to these allowances. </w:t>
      </w:r>
    </w:p>
    <w:p w14:paraId="09CD5D10" w14:textId="77777777" w:rsidR="001C5EA6" w:rsidRPr="00BF3362" w:rsidRDefault="001C5EA6" w:rsidP="001C5EA6">
      <w:pPr>
        <w:rPr>
          <w:rFonts w:ascii="Arial" w:eastAsia="Arial" w:hAnsi="Arial" w:cs="Arial"/>
          <w:b/>
          <w:bCs/>
          <w:sz w:val="20"/>
          <w:szCs w:val="20"/>
        </w:rPr>
      </w:pPr>
    </w:p>
    <w:p w14:paraId="2677EAD5"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For some time now bringing the tax on imputed return on investment more closely into line with the actual return achieved has been considered a desirable step. At the moment an external study is therefore being prepared to look into the practicalities of introducing a tax that is aligned with the actual return on assets. The government aims to have the results available in the spring of 2021. </w:t>
      </w:r>
    </w:p>
    <w:p w14:paraId="6178B3CF" w14:textId="77777777" w:rsidR="001C5EA6" w:rsidRPr="00BF3362" w:rsidRDefault="001C5EA6" w:rsidP="001C5EA6">
      <w:pPr>
        <w:rPr>
          <w:rFonts w:ascii="Arial" w:eastAsia="Arial" w:hAnsi="Arial" w:cs="Arial"/>
          <w:sz w:val="20"/>
          <w:szCs w:val="20"/>
        </w:rPr>
      </w:pPr>
    </w:p>
    <w:p w14:paraId="6E970282" w14:textId="77777777" w:rsidR="001C5EA6" w:rsidRPr="00BF3362" w:rsidRDefault="001C5EA6" w:rsidP="00963A6D">
      <w:pPr>
        <w:pStyle w:val="Kop2"/>
        <w:numPr>
          <w:ilvl w:val="0"/>
          <w:numId w:val="0"/>
        </w:numPr>
        <w:ind w:left="576" w:hanging="576"/>
        <w:rPr>
          <w:rFonts w:eastAsia="Arial"/>
          <w:bCs/>
          <w:sz w:val="20"/>
          <w:szCs w:val="18"/>
        </w:rPr>
      </w:pPr>
      <w:bookmarkStart w:id="8" w:name="_Toc51752497"/>
      <w:r w:rsidRPr="00BF3362">
        <w:rPr>
          <w:sz w:val="20"/>
          <w:szCs w:val="18"/>
        </w:rPr>
        <w:t>Change to corporation tax rates</w:t>
      </w:r>
      <w:bookmarkEnd w:id="8"/>
    </w:p>
    <w:p w14:paraId="32482E29"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With effect from 1 January 2020 the lower rate of corporation tax was cut from 19% to 16.5%. The higher rate remained at 25%. These rates were due to be reduced further to 15% and 21.7% respectively with effect from 1 January 2021. However, it was recently decided that the higher rate will not be cut. This will therefore remain at 25%, although the lower rate will still be reduced to 15%. </w:t>
      </w:r>
    </w:p>
    <w:p w14:paraId="161FBB55" w14:textId="77777777" w:rsidR="001C5EA6" w:rsidRPr="00BF3362" w:rsidRDefault="001C5EA6" w:rsidP="001C5EA6">
      <w:pPr>
        <w:rPr>
          <w:rFonts w:ascii="Arial" w:eastAsia="Arial" w:hAnsi="Arial" w:cs="Arial"/>
          <w:sz w:val="20"/>
          <w:szCs w:val="20"/>
        </w:rPr>
      </w:pPr>
    </w:p>
    <w:p w14:paraId="5A625696" w14:textId="77777777" w:rsidR="001C5EA6" w:rsidRPr="00BF3362" w:rsidRDefault="001C5EA6" w:rsidP="001C5EA6">
      <w:pPr>
        <w:rPr>
          <w:rFonts w:ascii="Arial" w:eastAsia="Arial" w:hAnsi="Arial" w:cs="Arial"/>
          <w:sz w:val="20"/>
          <w:szCs w:val="20"/>
        </w:rPr>
      </w:pPr>
      <w:r w:rsidRPr="00BF3362">
        <w:rPr>
          <w:rFonts w:ascii="Arial" w:hAnsi="Arial"/>
          <w:sz w:val="20"/>
          <w:szCs w:val="20"/>
        </w:rPr>
        <w:t xml:space="preserve">Adjustments will also be made to the bands. In 2021 the 25% rate will only apply to profits in excess of € 245,000 and in 2022 to profits of more than € 395,000. </w:t>
      </w:r>
    </w:p>
    <w:p w14:paraId="09A0A6DD" w14:textId="77777777" w:rsidR="001C5EA6" w:rsidRPr="00BF3362" w:rsidRDefault="001C5EA6" w:rsidP="001C5EA6">
      <w:pPr>
        <w:rPr>
          <w:rFonts w:ascii="Arial" w:eastAsia="Arial" w:hAnsi="Arial" w:cs="Arial"/>
          <w:sz w:val="20"/>
          <w:szCs w:val="20"/>
        </w:rPr>
      </w:pPr>
    </w:p>
    <w:p w14:paraId="732E351D" w14:textId="77777777" w:rsidR="001C5EA6" w:rsidRPr="00BF3362" w:rsidRDefault="001C5EA6" w:rsidP="001C5EA6">
      <w:pPr>
        <w:rPr>
          <w:rFonts w:ascii="Arial" w:eastAsia="Arial" w:hAnsi="Arial" w:cs="Arial"/>
          <w:sz w:val="20"/>
          <w:szCs w:val="20"/>
        </w:rPr>
      </w:pPr>
      <w:r w:rsidRPr="00BF3362">
        <w:rPr>
          <w:rFonts w:ascii="Arial" w:hAnsi="Arial"/>
          <w:sz w:val="20"/>
          <w:szCs w:val="20"/>
        </w:rPr>
        <w:t>The corporation tax rates in 2021 and 2022 will be as follows:</w:t>
      </w:r>
    </w:p>
    <w:p w14:paraId="4EB888A7" w14:textId="77777777" w:rsidR="001C5EA6" w:rsidRPr="00BF3362" w:rsidRDefault="001C5EA6" w:rsidP="001C5EA6">
      <w:pPr>
        <w:rPr>
          <w:rFonts w:ascii="Arial" w:eastAsia="Arial" w:hAnsi="Arial" w:cs="Arial"/>
          <w:sz w:val="20"/>
          <w:szCs w:val="20"/>
        </w:rPr>
      </w:pPr>
    </w:p>
    <w:tbl>
      <w:tblPr>
        <w:tblW w:w="9488" w:type="dxa"/>
        <w:tblLayout w:type="fixed"/>
        <w:tblLook w:val="04A0" w:firstRow="1" w:lastRow="0" w:firstColumn="1" w:lastColumn="0" w:noHBand="0" w:noVBand="1"/>
      </w:tblPr>
      <w:tblGrid>
        <w:gridCol w:w="3534"/>
        <w:gridCol w:w="2126"/>
        <w:gridCol w:w="1985"/>
        <w:gridCol w:w="1843"/>
      </w:tblGrid>
      <w:tr w:rsidR="001C5EA6" w:rsidRPr="00BF3362" w14:paraId="562C55AD" w14:textId="77777777" w:rsidTr="00963A6D">
        <w:trPr>
          <w:trHeight w:val="300"/>
        </w:trPr>
        <w:tc>
          <w:tcPr>
            <w:tcW w:w="3534" w:type="dxa"/>
            <w:tcBorders>
              <w:top w:val="single" w:sz="8" w:space="0" w:color="auto"/>
              <w:left w:val="single" w:sz="8" w:space="0" w:color="auto"/>
              <w:bottom w:val="single" w:sz="8" w:space="0" w:color="auto"/>
              <w:right w:val="single" w:sz="8" w:space="0" w:color="auto"/>
            </w:tcBorders>
          </w:tcPr>
          <w:p w14:paraId="185F56E5" w14:textId="77777777" w:rsidR="001C5EA6" w:rsidRPr="00BF3362" w:rsidRDefault="001C5EA6" w:rsidP="005C0CAF">
            <w:pPr>
              <w:rPr>
                <w:rFonts w:ascii="Arial" w:hAnsi="Arial" w:cs="Arial"/>
                <w:b/>
                <w:bCs/>
                <w:sz w:val="20"/>
                <w:szCs w:val="20"/>
              </w:rPr>
            </w:pPr>
            <w:r w:rsidRPr="00BF3362">
              <w:rPr>
                <w:rFonts w:ascii="Arial" w:hAnsi="Arial"/>
                <w:b/>
                <w:bCs/>
                <w:sz w:val="20"/>
                <w:szCs w:val="20"/>
              </w:rPr>
              <w:t>Corporation tax</w:t>
            </w:r>
          </w:p>
        </w:tc>
        <w:tc>
          <w:tcPr>
            <w:tcW w:w="2126" w:type="dxa"/>
            <w:tcBorders>
              <w:top w:val="single" w:sz="8" w:space="0" w:color="auto"/>
              <w:left w:val="single" w:sz="8" w:space="0" w:color="auto"/>
              <w:bottom w:val="single" w:sz="8" w:space="0" w:color="auto"/>
              <w:right w:val="single" w:sz="8" w:space="0" w:color="auto"/>
            </w:tcBorders>
          </w:tcPr>
          <w:p w14:paraId="1C955C12" w14:textId="77777777" w:rsidR="001C5EA6" w:rsidRPr="00BF3362" w:rsidRDefault="001C5EA6" w:rsidP="00963A6D">
            <w:pPr>
              <w:jc w:val="right"/>
              <w:rPr>
                <w:rFonts w:ascii="Arial" w:eastAsia="Arial" w:hAnsi="Arial" w:cs="Arial"/>
                <w:b/>
                <w:bCs/>
                <w:sz w:val="20"/>
                <w:szCs w:val="20"/>
              </w:rPr>
            </w:pPr>
            <w:r w:rsidRPr="00BF3362">
              <w:rPr>
                <w:rFonts w:ascii="Arial" w:hAnsi="Arial"/>
                <w:b/>
                <w:bCs/>
                <w:sz w:val="20"/>
                <w:szCs w:val="20"/>
              </w:rPr>
              <w:t xml:space="preserve">      2020</w:t>
            </w:r>
          </w:p>
        </w:tc>
        <w:tc>
          <w:tcPr>
            <w:tcW w:w="1985" w:type="dxa"/>
            <w:tcBorders>
              <w:top w:val="single" w:sz="8" w:space="0" w:color="auto"/>
              <w:left w:val="single" w:sz="8" w:space="0" w:color="auto"/>
              <w:bottom w:val="single" w:sz="8" w:space="0" w:color="auto"/>
              <w:right w:val="single" w:sz="8" w:space="0" w:color="auto"/>
            </w:tcBorders>
          </w:tcPr>
          <w:p w14:paraId="28F9DFF4" w14:textId="77777777" w:rsidR="001C5EA6" w:rsidRPr="00BF3362" w:rsidRDefault="001C5EA6" w:rsidP="00963A6D">
            <w:pPr>
              <w:jc w:val="right"/>
              <w:rPr>
                <w:rFonts w:ascii="Arial" w:eastAsia="Arial" w:hAnsi="Arial" w:cs="Arial"/>
                <w:b/>
                <w:bCs/>
                <w:sz w:val="20"/>
                <w:szCs w:val="20"/>
              </w:rPr>
            </w:pPr>
            <w:r w:rsidRPr="00BF3362">
              <w:rPr>
                <w:rFonts w:ascii="Arial" w:hAnsi="Arial"/>
                <w:b/>
                <w:bCs/>
                <w:sz w:val="20"/>
                <w:szCs w:val="20"/>
              </w:rPr>
              <w:t xml:space="preserve">  2021</w:t>
            </w:r>
          </w:p>
        </w:tc>
        <w:tc>
          <w:tcPr>
            <w:tcW w:w="1843" w:type="dxa"/>
            <w:tcBorders>
              <w:top w:val="single" w:sz="8" w:space="0" w:color="auto"/>
              <w:left w:val="single" w:sz="8" w:space="0" w:color="auto"/>
              <w:bottom w:val="single" w:sz="8" w:space="0" w:color="auto"/>
              <w:right w:val="single" w:sz="8" w:space="0" w:color="auto"/>
            </w:tcBorders>
          </w:tcPr>
          <w:p w14:paraId="15115D13" w14:textId="77777777" w:rsidR="001C5EA6" w:rsidRPr="00BF3362" w:rsidRDefault="001C5EA6" w:rsidP="00963A6D">
            <w:pPr>
              <w:jc w:val="right"/>
              <w:rPr>
                <w:rFonts w:ascii="Arial" w:eastAsia="Arial" w:hAnsi="Arial" w:cs="Arial"/>
                <w:b/>
                <w:bCs/>
                <w:sz w:val="20"/>
                <w:szCs w:val="20"/>
              </w:rPr>
            </w:pPr>
            <w:r w:rsidRPr="00BF3362">
              <w:rPr>
                <w:rFonts w:ascii="Arial" w:hAnsi="Arial"/>
                <w:b/>
                <w:bCs/>
                <w:sz w:val="20"/>
                <w:szCs w:val="20"/>
              </w:rPr>
              <w:t xml:space="preserve">   2022</w:t>
            </w:r>
          </w:p>
        </w:tc>
      </w:tr>
      <w:tr w:rsidR="001C5EA6" w:rsidRPr="00BF3362" w14:paraId="1F8EE845" w14:textId="77777777" w:rsidTr="00963A6D">
        <w:trPr>
          <w:trHeight w:val="285"/>
        </w:trPr>
        <w:tc>
          <w:tcPr>
            <w:tcW w:w="3534" w:type="dxa"/>
            <w:tcBorders>
              <w:top w:val="single" w:sz="8" w:space="0" w:color="auto"/>
              <w:left w:val="single" w:sz="8" w:space="0" w:color="auto"/>
              <w:bottom w:val="single" w:sz="8" w:space="0" w:color="auto"/>
              <w:right w:val="single" w:sz="8" w:space="0" w:color="auto"/>
            </w:tcBorders>
          </w:tcPr>
          <w:p w14:paraId="7DDFBB64" w14:textId="77777777" w:rsidR="001C5EA6" w:rsidRPr="00BF3362" w:rsidRDefault="001C5EA6" w:rsidP="005C0CAF">
            <w:pPr>
              <w:rPr>
                <w:rFonts w:ascii="Arial" w:eastAsia="Arial" w:hAnsi="Arial" w:cs="Arial"/>
                <w:sz w:val="20"/>
                <w:szCs w:val="20"/>
              </w:rPr>
            </w:pPr>
            <w:r w:rsidRPr="00BF3362">
              <w:rPr>
                <w:rFonts w:ascii="Arial" w:hAnsi="Arial"/>
                <w:sz w:val="20"/>
                <w:szCs w:val="20"/>
              </w:rPr>
              <w:t xml:space="preserve">Profit </w:t>
            </w:r>
          </w:p>
        </w:tc>
        <w:tc>
          <w:tcPr>
            <w:tcW w:w="2126" w:type="dxa"/>
            <w:tcBorders>
              <w:top w:val="single" w:sz="8" w:space="0" w:color="auto"/>
              <w:left w:val="single" w:sz="8" w:space="0" w:color="auto"/>
              <w:bottom w:val="single" w:sz="8" w:space="0" w:color="auto"/>
              <w:right w:val="single" w:sz="8" w:space="0" w:color="auto"/>
            </w:tcBorders>
          </w:tcPr>
          <w:p w14:paraId="0B24DA9A" w14:textId="77777777" w:rsidR="001C5EA6" w:rsidRPr="00BF3362" w:rsidRDefault="001C5EA6" w:rsidP="005C0CAF">
            <w:pPr>
              <w:jc w:val="right"/>
              <w:rPr>
                <w:rFonts w:ascii="Arial" w:eastAsia="Arial" w:hAnsi="Arial" w:cs="Arial"/>
                <w:sz w:val="20"/>
                <w:szCs w:val="20"/>
              </w:rPr>
            </w:pPr>
            <w:r w:rsidRPr="00BF3362">
              <w:rPr>
                <w:rFonts w:ascii="Arial" w:hAnsi="Arial"/>
                <w:sz w:val="20"/>
                <w:szCs w:val="20"/>
              </w:rPr>
              <w:t>16.5%</w:t>
            </w:r>
          </w:p>
          <w:p w14:paraId="1FE2EF62" w14:textId="77777777" w:rsidR="001C5EA6" w:rsidRPr="00BF3362" w:rsidRDefault="001C5EA6" w:rsidP="005C0CAF">
            <w:pPr>
              <w:jc w:val="right"/>
              <w:rPr>
                <w:rFonts w:ascii="Arial" w:hAnsi="Arial" w:cs="Arial"/>
                <w:sz w:val="20"/>
                <w:szCs w:val="20"/>
              </w:rPr>
            </w:pPr>
            <w:r w:rsidRPr="00BF3362">
              <w:rPr>
                <w:rFonts w:ascii="Arial" w:hAnsi="Arial"/>
                <w:sz w:val="20"/>
                <w:szCs w:val="20"/>
              </w:rPr>
              <w:t>Up to € 200,000</w:t>
            </w:r>
          </w:p>
        </w:tc>
        <w:tc>
          <w:tcPr>
            <w:tcW w:w="1985" w:type="dxa"/>
            <w:tcBorders>
              <w:top w:val="single" w:sz="8" w:space="0" w:color="auto"/>
              <w:left w:val="single" w:sz="8" w:space="0" w:color="auto"/>
              <w:bottom w:val="single" w:sz="8" w:space="0" w:color="auto"/>
              <w:right w:val="single" w:sz="8" w:space="0" w:color="auto"/>
            </w:tcBorders>
          </w:tcPr>
          <w:p w14:paraId="6006473C" w14:textId="77777777" w:rsidR="001C5EA6" w:rsidRPr="00BF3362" w:rsidRDefault="001C5EA6" w:rsidP="005C0CAF">
            <w:pPr>
              <w:jc w:val="right"/>
              <w:rPr>
                <w:rFonts w:ascii="Arial" w:eastAsia="Arial" w:hAnsi="Arial" w:cs="Arial"/>
                <w:sz w:val="20"/>
                <w:szCs w:val="20"/>
              </w:rPr>
            </w:pPr>
            <w:r w:rsidRPr="00BF3362">
              <w:rPr>
                <w:rFonts w:ascii="Arial" w:hAnsi="Arial"/>
                <w:sz w:val="20"/>
                <w:szCs w:val="20"/>
              </w:rPr>
              <w:t>15.0%</w:t>
            </w:r>
          </w:p>
          <w:p w14:paraId="6BE7B152" w14:textId="4AE10B81" w:rsidR="001C5EA6" w:rsidRPr="00BF3362" w:rsidRDefault="001C5EA6" w:rsidP="005C0CAF">
            <w:pPr>
              <w:jc w:val="right"/>
              <w:rPr>
                <w:rFonts w:ascii="Arial" w:eastAsia="Arial" w:hAnsi="Arial" w:cs="Arial"/>
                <w:sz w:val="20"/>
                <w:szCs w:val="20"/>
              </w:rPr>
            </w:pPr>
            <w:r w:rsidRPr="00BF3362">
              <w:rPr>
                <w:rFonts w:ascii="Arial" w:hAnsi="Arial"/>
                <w:sz w:val="20"/>
                <w:szCs w:val="20"/>
              </w:rPr>
              <w:t>Up to € 245,000</w:t>
            </w:r>
          </w:p>
        </w:tc>
        <w:tc>
          <w:tcPr>
            <w:tcW w:w="1843" w:type="dxa"/>
            <w:tcBorders>
              <w:top w:val="single" w:sz="8" w:space="0" w:color="auto"/>
              <w:left w:val="single" w:sz="8" w:space="0" w:color="auto"/>
              <w:bottom w:val="single" w:sz="8" w:space="0" w:color="auto"/>
              <w:right w:val="single" w:sz="8" w:space="0" w:color="auto"/>
            </w:tcBorders>
          </w:tcPr>
          <w:p w14:paraId="328A7F8A" w14:textId="77777777" w:rsidR="001C5EA6" w:rsidRPr="00BF3362" w:rsidRDefault="001C5EA6" w:rsidP="005C0CAF">
            <w:pPr>
              <w:jc w:val="right"/>
              <w:rPr>
                <w:rFonts w:ascii="Arial" w:eastAsia="Arial" w:hAnsi="Arial" w:cs="Arial"/>
                <w:sz w:val="20"/>
                <w:szCs w:val="20"/>
              </w:rPr>
            </w:pPr>
            <w:r w:rsidRPr="00BF3362">
              <w:rPr>
                <w:rFonts w:ascii="Arial" w:hAnsi="Arial"/>
                <w:sz w:val="20"/>
                <w:szCs w:val="20"/>
              </w:rPr>
              <w:t>15.0%</w:t>
            </w:r>
          </w:p>
          <w:p w14:paraId="064BA894" w14:textId="36833280" w:rsidR="001C5EA6" w:rsidRPr="00BF3362" w:rsidRDefault="001C5EA6" w:rsidP="005C0CAF">
            <w:pPr>
              <w:jc w:val="right"/>
              <w:rPr>
                <w:rFonts w:ascii="Arial" w:hAnsi="Arial" w:cs="Arial"/>
                <w:sz w:val="20"/>
                <w:szCs w:val="20"/>
              </w:rPr>
            </w:pPr>
            <w:r w:rsidRPr="00BF3362">
              <w:rPr>
                <w:rFonts w:ascii="Arial" w:hAnsi="Arial"/>
                <w:sz w:val="20"/>
                <w:szCs w:val="20"/>
              </w:rPr>
              <w:t>Up to € 395,000</w:t>
            </w:r>
          </w:p>
        </w:tc>
      </w:tr>
      <w:tr w:rsidR="001C5EA6" w:rsidRPr="00BF3362" w14:paraId="33726D4B" w14:textId="77777777" w:rsidTr="00963A6D">
        <w:trPr>
          <w:trHeight w:val="285"/>
        </w:trPr>
        <w:tc>
          <w:tcPr>
            <w:tcW w:w="3534" w:type="dxa"/>
            <w:tcBorders>
              <w:top w:val="single" w:sz="8" w:space="0" w:color="auto"/>
              <w:left w:val="single" w:sz="8" w:space="0" w:color="auto"/>
              <w:bottom w:val="single" w:sz="8" w:space="0" w:color="auto"/>
              <w:right w:val="single" w:sz="8" w:space="0" w:color="auto"/>
            </w:tcBorders>
          </w:tcPr>
          <w:p w14:paraId="487162E0" w14:textId="77777777" w:rsidR="001C5EA6" w:rsidRPr="00BF3362" w:rsidRDefault="001C5EA6" w:rsidP="005C0CAF">
            <w:pPr>
              <w:rPr>
                <w:rFonts w:ascii="Arial" w:eastAsia="Arial" w:hAnsi="Arial" w:cs="Arial"/>
                <w:sz w:val="20"/>
                <w:szCs w:val="20"/>
              </w:rPr>
            </w:pPr>
            <w:r w:rsidRPr="00BF3362">
              <w:rPr>
                <w:rFonts w:ascii="Arial" w:hAnsi="Arial"/>
                <w:sz w:val="20"/>
                <w:szCs w:val="20"/>
              </w:rPr>
              <w:t>Profit above these thresholds</w:t>
            </w:r>
          </w:p>
        </w:tc>
        <w:tc>
          <w:tcPr>
            <w:tcW w:w="2126" w:type="dxa"/>
            <w:tcBorders>
              <w:top w:val="single" w:sz="8" w:space="0" w:color="auto"/>
              <w:left w:val="single" w:sz="8" w:space="0" w:color="auto"/>
              <w:bottom w:val="single" w:sz="8" w:space="0" w:color="auto"/>
              <w:right w:val="single" w:sz="8" w:space="0" w:color="auto"/>
            </w:tcBorders>
          </w:tcPr>
          <w:p w14:paraId="40EB13FA" w14:textId="77777777" w:rsidR="001C5EA6" w:rsidRPr="00BF3362" w:rsidRDefault="001C5EA6" w:rsidP="00963A6D">
            <w:pPr>
              <w:jc w:val="right"/>
              <w:rPr>
                <w:rFonts w:ascii="Arial" w:hAnsi="Arial" w:cs="Arial"/>
                <w:sz w:val="20"/>
                <w:szCs w:val="20"/>
              </w:rPr>
            </w:pPr>
            <w:r w:rsidRPr="00BF3362">
              <w:rPr>
                <w:rFonts w:ascii="Arial" w:hAnsi="Arial"/>
                <w:sz w:val="20"/>
                <w:szCs w:val="20"/>
              </w:rPr>
              <w:t>25.0%</w:t>
            </w:r>
          </w:p>
        </w:tc>
        <w:tc>
          <w:tcPr>
            <w:tcW w:w="1985" w:type="dxa"/>
            <w:tcBorders>
              <w:top w:val="single" w:sz="8" w:space="0" w:color="auto"/>
              <w:left w:val="single" w:sz="8" w:space="0" w:color="auto"/>
              <w:bottom w:val="single" w:sz="8" w:space="0" w:color="auto"/>
              <w:right w:val="single" w:sz="8" w:space="0" w:color="auto"/>
            </w:tcBorders>
          </w:tcPr>
          <w:p w14:paraId="156A272E" w14:textId="77777777" w:rsidR="001C5EA6" w:rsidRPr="00BF3362" w:rsidRDefault="001C5EA6" w:rsidP="00963A6D">
            <w:pPr>
              <w:jc w:val="right"/>
              <w:rPr>
                <w:rFonts w:ascii="Arial" w:hAnsi="Arial" w:cs="Arial"/>
                <w:sz w:val="20"/>
                <w:szCs w:val="20"/>
              </w:rPr>
            </w:pPr>
            <w:r w:rsidRPr="00BF3362">
              <w:rPr>
                <w:rFonts w:ascii="Arial" w:hAnsi="Arial"/>
                <w:sz w:val="20"/>
                <w:szCs w:val="20"/>
              </w:rPr>
              <w:t>25.0%</w:t>
            </w:r>
          </w:p>
        </w:tc>
        <w:tc>
          <w:tcPr>
            <w:tcW w:w="1843" w:type="dxa"/>
            <w:tcBorders>
              <w:top w:val="single" w:sz="8" w:space="0" w:color="auto"/>
              <w:left w:val="single" w:sz="8" w:space="0" w:color="auto"/>
              <w:bottom w:val="single" w:sz="8" w:space="0" w:color="auto"/>
              <w:right w:val="single" w:sz="8" w:space="0" w:color="auto"/>
            </w:tcBorders>
          </w:tcPr>
          <w:p w14:paraId="246DBC85" w14:textId="77777777" w:rsidR="001C5EA6" w:rsidRPr="00BF3362" w:rsidRDefault="001C5EA6" w:rsidP="00963A6D">
            <w:pPr>
              <w:jc w:val="right"/>
              <w:rPr>
                <w:rFonts w:ascii="Arial" w:hAnsi="Arial" w:cs="Arial"/>
                <w:sz w:val="20"/>
                <w:szCs w:val="20"/>
              </w:rPr>
            </w:pPr>
            <w:r w:rsidRPr="00BF3362">
              <w:rPr>
                <w:rFonts w:ascii="Arial" w:hAnsi="Arial"/>
                <w:sz w:val="20"/>
                <w:szCs w:val="20"/>
              </w:rPr>
              <w:t>25.0%</w:t>
            </w:r>
          </w:p>
          <w:p w14:paraId="20E6059F" w14:textId="77777777" w:rsidR="001C5EA6" w:rsidRPr="00BF3362" w:rsidRDefault="001C5EA6" w:rsidP="00963A6D">
            <w:pPr>
              <w:jc w:val="right"/>
              <w:rPr>
                <w:rFonts w:ascii="Arial" w:hAnsi="Arial" w:cs="Arial"/>
                <w:sz w:val="20"/>
                <w:szCs w:val="20"/>
              </w:rPr>
            </w:pPr>
            <w:r w:rsidRPr="00BF3362">
              <w:rPr>
                <w:rFonts w:ascii="Arial" w:hAnsi="Arial"/>
                <w:sz w:val="20"/>
                <w:szCs w:val="20"/>
                <w:highlight w:val="yellow"/>
              </w:rPr>
              <w:t xml:space="preserve"> </w:t>
            </w:r>
          </w:p>
        </w:tc>
      </w:tr>
    </w:tbl>
    <w:p w14:paraId="47D7A97E" w14:textId="77777777" w:rsidR="001C5EA6" w:rsidRPr="00BF3362" w:rsidRDefault="001C5EA6" w:rsidP="001C5EA6">
      <w:pPr>
        <w:rPr>
          <w:rFonts w:ascii="Arial" w:hAnsi="Arial" w:cs="Arial"/>
          <w:sz w:val="20"/>
          <w:szCs w:val="20"/>
        </w:rPr>
      </w:pPr>
      <w:r w:rsidRPr="00BF3362">
        <w:rPr>
          <w:rFonts w:ascii="Arial" w:hAnsi="Arial"/>
          <w:sz w:val="20"/>
          <w:szCs w:val="20"/>
        </w:rPr>
        <w:t xml:space="preserve"> </w:t>
      </w:r>
    </w:p>
    <w:p w14:paraId="378E190C" w14:textId="77777777" w:rsidR="001C5EA6" w:rsidRPr="00BF3362" w:rsidRDefault="001C5EA6" w:rsidP="00963A6D">
      <w:pPr>
        <w:pStyle w:val="Kop2"/>
        <w:numPr>
          <w:ilvl w:val="0"/>
          <w:numId w:val="0"/>
        </w:numPr>
        <w:ind w:left="576" w:hanging="576"/>
        <w:rPr>
          <w:rFonts w:eastAsia="Arial"/>
          <w:bCs/>
          <w:sz w:val="20"/>
          <w:szCs w:val="18"/>
        </w:rPr>
      </w:pPr>
      <w:bookmarkStart w:id="9" w:name="_Toc51752498"/>
      <w:r w:rsidRPr="00BF3362">
        <w:rPr>
          <w:sz w:val="20"/>
          <w:szCs w:val="18"/>
        </w:rPr>
        <w:t>Innovation box</w:t>
      </w:r>
      <w:bookmarkEnd w:id="9"/>
    </w:p>
    <w:p w14:paraId="6163A5C4" w14:textId="77777777" w:rsidR="001C5EA6" w:rsidRPr="00BF3362" w:rsidRDefault="001C5EA6" w:rsidP="001C5EA6">
      <w:pPr>
        <w:rPr>
          <w:rFonts w:ascii="Arial" w:eastAsia="Arial" w:hAnsi="Arial" w:cs="Arial"/>
          <w:sz w:val="20"/>
          <w:szCs w:val="20"/>
        </w:rPr>
      </w:pPr>
      <w:r w:rsidRPr="00BF3362">
        <w:rPr>
          <w:rFonts w:ascii="Arial" w:hAnsi="Arial"/>
          <w:sz w:val="20"/>
          <w:szCs w:val="20"/>
        </w:rPr>
        <w:t>At present, profits resulting from innovative activities are taxed at 7% for corporation tax purposes, subject to certain conditions. This rate is increasing to 9% in 2021. The innovation box was introduced as a tax incentive to encourage entrepreneurs to carry out innovative research. To be eligible for the innovation box, you need R&amp;D declarations, which you can apply for at RVO.nl for research and development work.</w:t>
      </w:r>
    </w:p>
    <w:p w14:paraId="266DAAD0" w14:textId="77777777" w:rsidR="00257D9F" w:rsidRPr="00BF3362" w:rsidRDefault="00257D9F" w:rsidP="00257D9F">
      <w:pPr>
        <w:rPr>
          <w:rFonts w:ascii="Arial" w:eastAsia="Arial" w:hAnsi="Arial" w:cs="Arial"/>
          <w:sz w:val="20"/>
          <w:szCs w:val="20"/>
        </w:rPr>
      </w:pPr>
    </w:p>
    <w:p w14:paraId="2A3EEA6D" w14:textId="77777777" w:rsidR="00963A6D" w:rsidRPr="00BF3362" w:rsidRDefault="00963A6D">
      <w:pPr>
        <w:rPr>
          <w:rFonts w:ascii="Arial" w:hAnsi="Arial"/>
          <w:b/>
          <w:bCs/>
          <w:sz w:val="28"/>
        </w:rPr>
      </w:pPr>
      <w:bookmarkStart w:id="10" w:name="_Hlk19619137"/>
      <w:bookmarkEnd w:id="2"/>
      <w:r w:rsidRPr="00BF3362">
        <w:br w:type="page"/>
      </w:r>
    </w:p>
    <w:p w14:paraId="583EAF80" w14:textId="301ED786" w:rsidR="00122F79" w:rsidRPr="00BF3362" w:rsidRDefault="003752FC" w:rsidP="00180B75">
      <w:pPr>
        <w:pStyle w:val="Kop1"/>
      </w:pPr>
      <w:bookmarkStart w:id="11" w:name="_Toc51752499"/>
      <w:r w:rsidRPr="00BF3362">
        <w:lastRenderedPageBreak/>
        <w:t>Property</w:t>
      </w:r>
      <w:bookmarkEnd w:id="11"/>
    </w:p>
    <w:p w14:paraId="5DE4DDD3" w14:textId="77777777" w:rsidR="00963A6D" w:rsidRPr="00BF3362" w:rsidRDefault="00963A6D" w:rsidP="00963A6D">
      <w:pPr>
        <w:rPr>
          <w:rFonts w:ascii="Arial" w:eastAsia="Arial" w:hAnsi="Arial" w:cs="Arial"/>
          <w:sz w:val="20"/>
          <w:szCs w:val="20"/>
        </w:rPr>
      </w:pPr>
    </w:p>
    <w:p w14:paraId="69D1CF7C" w14:textId="0CA53B97" w:rsidR="00963A6D" w:rsidRPr="00BF3362" w:rsidRDefault="00963A6D" w:rsidP="00963A6D">
      <w:pPr>
        <w:rPr>
          <w:rFonts w:ascii="Arial" w:eastAsia="Arial" w:hAnsi="Arial" w:cs="Arial"/>
          <w:sz w:val="20"/>
          <w:szCs w:val="20"/>
        </w:rPr>
      </w:pPr>
      <w:r w:rsidRPr="00BF3362">
        <w:rPr>
          <w:rFonts w:ascii="Arial" w:hAnsi="Arial"/>
          <w:sz w:val="20"/>
          <w:szCs w:val="20"/>
        </w:rPr>
        <w:t>Property and home ownership are something of a recurring theme in the government’s tax plans. This year is no exception. The accelerated reduction in mortgage interest relief will continue gradually, while the changes to transfer tax are expected to have a significant impact. First-time buyers (up to the age of 35) will be completely exempt from this tax and purchases by investors will be taxed at a higher rate.</w:t>
      </w:r>
    </w:p>
    <w:p w14:paraId="39EBC488" w14:textId="77777777" w:rsidR="00963A6D" w:rsidRPr="00BF3362" w:rsidRDefault="00963A6D" w:rsidP="00963A6D">
      <w:pPr>
        <w:rPr>
          <w:rFonts w:ascii="Arial" w:eastAsia="Arial" w:hAnsi="Arial" w:cs="Arial"/>
          <w:sz w:val="20"/>
          <w:szCs w:val="20"/>
        </w:rPr>
      </w:pPr>
    </w:p>
    <w:p w14:paraId="3111AACE" w14:textId="77777777" w:rsidR="00963A6D" w:rsidRPr="00BF3362" w:rsidRDefault="00963A6D" w:rsidP="00963A6D">
      <w:pPr>
        <w:pStyle w:val="Kop2"/>
        <w:numPr>
          <w:ilvl w:val="0"/>
          <w:numId w:val="0"/>
        </w:numPr>
        <w:ind w:left="576" w:hanging="576"/>
        <w:rPr>
          <w:rFonts w:eastAsia="Arial"/>
          <w:sz w:val="20"/>
          <w:szCs w:val="18"/>
        </w:rPr>
      </w:pPr>
      <w:bookmarkStart w:id="12" w:name="_Toc51752500"/>
      <w:r w:rsidRPr="00BF3362">
        <w:rPr>
          <w:sz w:val="20"/>
          <w:szCs w:val="18"/>
        </w:rPr>
        <w:t>Accelerated reduction in mortgage interest relief on own home</w:t>
      </w:r>
      <w:bookmarkEnd w:id="12"/>
      <w:r w:rsidRPr="00BF3362">
        <w:rPr>
          <w:sz w:val="20"/>
          <w:szCs w:val="18"/>
        </w:rPr>
        <w:t xml:space="preserve"> </w:t>
      </w:r>
    </w:p>
    <w:p w14:paraId="0DD263C0" w14:textId="77777777" w:rsidR="00963A6D" w:rsidRPr="00BF3362" w:rsidRDefault="00963A6D" w:rsidP="00963A6D">
      <w:pPr>
        <w:rPr>
          <w:rFonts w:ascii="Arial" w:eastAsia="Arial" w:hAnsi="Arial" w:cs="Arial"/>
          <w:sz w:val="20"/>
          <w:szCs w:val="20"/>
        </w:rPr>
      </w:pPr>
      <w:r w:rsidRPr="00BF3362">
        <w:rPr>
          <w:rFonts w:ascii="Arial" w:hAnsi="Arial"/>
          <w:sz w:val="20"/>
          <w:szCs w:val="20"/>
        </w:rPr>
        <w:t>Since 2014 the tax advantage available in the form of mortgage interest relief has been gradually reduced, if the interest is deducted at the highest income tax rate in box 1. In 2020 it is still possible to deduct mortgage interest at a rate of 46% In 2021 the maximum rate of the deduction will be 43% and in 2022 40%. A further reduction will be applied in 2023, with the result that mortgage interest will be deductible at a definitive maximum rate of 37.07%. This percentage corresponds to the rate in the first income tax band.</w:t>
      </w:r>
    </w:p>
    <w:p w14:paraId="5B497818" w14:textId="77777777" w:rsidR="00963A6D" w:rsidRPr="00BF3362" w:rsidRDefault="00963A6D" w:rsidP="00963A6D">
      <w:pPr>
        <w:jc w:val="both"/>
        <w:rPr>
          <w:rFonts w:ascii="Arial" w:eastAsia="Arial" w:hAnsi="Arial" w:cs="Arial"/>
          <w:sz w:val="20"/>
          <w:szCs w:val="20"/>
        </w:rPr>
      </w:pPr>
    </w:p>
    <w:p w14:paraId="2C91052A" w14:textId="77777777" w:rsidR="00963A6D" w:rsidRPr="00BF3362" w:rsidRDefault="00963A6D" w:rsidP="00963A6D">
      <w:pPr>
        <w:shd w:val="clear" w:color="auto" w:fill="D9D9D9"/>
        <w:rPr>
          <w:rFonts w:ascii="Arial" w:hAnsi="Arial" w:cs="Arial"/>
          <w:b/>
          <w:bCs/>
          <w:sz w:val="20"/>
          <w:szCs w:val="20"/>
        </w:rPr>
      </w:pPr>
      <w:r w:rsidRPr="00BF3362">
        <w:rPr>
          <w:rFonts w:ascii="Arial" w:hAnsi="Arial"/>
          <w:b/>
          <w:bCs/>
          <w:sz w:val="20"/>
          <w:szCs w:val="20"/>
        </w:rPr>
        <w:t>Please note:</w:t>
      </w:r>
    </w:p>
    <w:p w14:paraId="480BB640" w14:textId="77777777" w:rsidR="005C0CAF" w:rsidRPr="00BF3362" w:rsidRDefault="00963A6D" w:rsidP="00963A6D">
      <w:pPr>
        <w:shd w:val="clear" w:color="auto" w:fill="D9D9D9"/>
        <w:rPr>
          <w:rFonts w:ascii="Arial" w:hAnsi="Arial" w:cs="Arial"/>
          <w:sz w:val="20"/>
          <w:szCs w:val="20"/>
        </w:rPr>
      </w:pPr>
      <w:r w:rsidRPr="00BF3362">
        <w:rPr>
          <w:rFonts w:ascii="Arial" w:hAnsi="Arial"/>
          <w:sz w:val="20"/>
          <w:szCs w:val="20"/>
        </w:rPr>
        <w:t>This rate reduction does not apply to the addition to taxable income for the notional rental value of your own home. This addition is therefore taxed at the maximum rate of 49.5%.</w:t>
      </w:r>
    </w:p>
    <w:p w14:paraId="1064A207" w14:textId="43AC6782" w:rsidR="00963A6D" w:rsidRPr="00BF3362" w:rsidRDefault="00963A6D" w:rsidP="005C0CAF">
      <w:pPr>
        <w:jc w:val="both"/>
        <w:rPr>
          <w:rFonts w:ascii="Arial" w:eastAsia="Arial" w:hAnsi="Arial" w:cs="Arial"/>
          <w:sz w:val="20"/>
          <w:szCs w:val="20"/>
        </w:rPr>
      </w:pPr>
      <w:r w:rsidRPr="00BF3362">
        <w:rPr>
          <w:rFonts w:ascii="Arial" w:hAnsi="Arial"/>
          <w:sz w:val="20"/>
          <w:szCs w:val="20"/>
        </w:rPr>
        <w:t xml:space="preserve"> </w:t>
      </w:r>
    </w:p>
    <w:p w14:paraId="7FA899CA" w14:textId="77777777" w:rsidR="00963A6D" w:rsidRPr="00BF3362" w:rsidRDefault="00963A6D" w:rsidP="00963A6D">
      <w:pPr>
        <w:pStyle w:val="Kop2"/>
        <w:numPr>
          <w:ilvl w:val="0"/>
          <w:numId w:val="0"/>
        </w:numPr>
        <w:ind w:left="576" w:hanging="576"/>
        <w:rPr>
          <w:rFonts w:eastAsia="Arial"/>
          <w:sz w:val="20"/>
          <w:szCs w:val="18"/>
        </w:rPr>
      </w:pPr>
      <w:bookmarkStart w:id="13" w:name="_Toc51752501"/>
      <w:r w:rsidRPr="00BF3362">
        <w:rPr>
          <w:sz w:val="20"/>
          <w:szCs w:val="18"/>
        </w:rPr>
        <w:t>Notional rental value to be reduced, but to increase under secondment scheme</w:t>
      </w:r>
      <w:bookmarkEnd w:id="13"/>
    </w:p>
    <w:p w14:paraId="0220E3E1" w14:textId="2DA111D7" w:rsidR="00963A6D" w:rsidRPr="00BF3362" w:rsidRDefault="00963A6D" w:rsidP="00963A6D">
      <w:pPr>
        <w:rPr>
          <w:rFonts w:ascii="Arial" w:eastAsia="Arial" w:hAnsi="Arial" w:cs="Arial"/>
          <w:b/>
          <w:bCs/>
          <w:sz w:val="20"/>
          <w:szCs w:val="20"/>
        </w:rPr>
      </w:pPr>
      <w:r w:rsidRPr="00BF3362">
        <w:rPr>
          <w:rFonts w:ascii="Arial" w:hAnsi="Arial"/>
          <w:sz w:val="20"/>
          <w:szCs w:val="20"/>
        </w:rPr>
        <w:t>The notional rental value is a percentage of the WOZ value (value for the purposes of the Valuation of Immovable Property Act) of your home and is added to your income. This percentage will be reduced in 2021 from 0.6% to 0.5% for homes with a WOZ value of between € 75,000 and € 1,110,000. The own home deductible item will therefore increase. This reduction is intended to compensate for the scaling back of mortgage interest relief.</w:t>
      </w:r>
    </w:p>
    <w:p w14:paraId="42D2EE34" w14:textId="77777777" w:rsidR="00963A6D" w:rsidRPr="00BF3362" w:rsidRDefault="00963A6D" w:rsidP="00963A6D">
      <w:pPr>
        <w:rPr>
          <w:rFonts w:ascii="Arial" w:eastAsia="Arial" w:hAnsi="Arial" w:cs="Arial"/>
          <w:sz w:val="20"/>
          <w:szCs w:val="20"/>
        </w:rPr>
      </w:pPr>
    </w:p>
    <w:p w14:paraId="310914F7" w14:textId="77777777" w:rsidR="00963A6D" w:rsidRPr="00BF3362" w:rsidRDefault="00963A6D" w:rsidP="00963A6D">
      <w:pPr>
        <w:rPr>
          <w:rFonts w:ascii="Arial" w:eastAsia="Arial" w:hAnsi="Arial" w:cs="Arial"/>
          <w:sz w:val="20"/>
          <w:szCs w:val="20"/>
        </w:rPr>
      </w:pPr>
      <w:r w:rsidRPr="00BF3362">
        <w:rPr>
          <w:rFonts w:ascii="Arial" w:hAnsi="Arial"/>
          <w:sz w:val="20"/>
          <w:szCs w:val="20"/>
        </w:rPr>
        <w:t>In 2020 the notional rental value has also been reduced for workers who have been posted to a different location and are taking advantage of the secondment scheme (‘uitzendregeling’). This reduction will be reversed with effect from 2021. The secondment scheme allows you to continue to designate your home as your main residence for tax purposes if you are temporarily posted to another location and are therefore not living in your home. In such a case it is still possible to deduct mortgage interest, subject to certain conditions.</w:t>
      </w:r>
    </w:p>
    <w:p w14:paraId="44760A91" w14:textId="77777777" w:rsidR="00963A6D" w:rsidRPr="00BF3362" w:rsidRDefault="00963A6D" w:rsidP="00963A6D">
      <w:pPr>
        <w:rPr>
          <w:rFonts w:ascii="Arial" w:eastAsia="Arial" w:hAnsi="Arial" w:cs="Arial"/>
          <w:b/>
          <w:bCs/>
          <w:sz w:val="20"/>
          <w:szCs w:val="20"/>
        </w:rPr>
      </w:pPr>
    </w:p>
    <w:p w14:paraId="74DAB612" w14:textId="19BA2EDE" w:rsidR="00963A6D" w:rsidRPr="00BF3362" w:rsidRDefault="00963A6D" w:rsidP="005C0CAF">
      <w:pPr>
        <w:pStyle w:val="Kop2"/>
        <w:numPr>
          <w:ilvl w:val="0"/>
          <w:numId w:val="0"/>
        </w:numPr>
        <w:ind w:left="576" w:hanging="576"/>
        <w:rPr>
          <w:rFonts w:eastAsia="Arial"/>
          <w:sz w:val="20"/>
          <w:szCs w:val="18"/>
        </w:rPr>
      </w:pPr>
      <w:bookmarkStart w:id="14" w:name="_Toc51752502"/>
      <w:r w:rsidRPr="00BF3362">
        <w:rPr>
          <w:sz w:val="20"/>
          <w:szCs w:val="18"/>
        </w:rPr>
        <w:t>Increase in transfer tax on residential properties that are rented out and non-residential properties</w:t>
      </w:r>
      <w:bookmarkEnd w:id="14"/>
    </w:p>
    <w:p w14:paraId="0587C55B" w14:textId="77777777" w:rsidR="00963A6D" w:rsidRPr="00BF3362" w:rsidRDefault="00963A6D" w:rsidP="00963A6D">
      <w:pPr>
        <w:rPr>
          <w:rFonts w:ascii="Arial" w:eastAsia="Arial" w:hAnsi="Arial" w:cs="Arial"/>
          <w:sz w:val="20"/>
          <w:szCs w:val="20"/>
        </w:rPr>
      </w:pPr>
      <w:r w:rsidRPr="00BF3362">
        <w:rPr>
          <w:rFonts w:ascii="Arial" w:hAnsi="Arial"/>
          <w:sz w:val="20"/>
          <w:szCs w:val="20"/>
        </w:rPr>
        <w:t xml:space="preserve">At present, transfer tax is charged at a rate of 2% on residential properties and 6% on non-residential properties. In the case of non-residential properties, such as commercial buildings and business premises, this tax was due to rise to 7% from 1 January 2021. This change will not come into effect. </w:t>
      </w:r>
    </w:p>
    <w:p w14:paraId="44AAEE6E" w14:textId="77777777" w:rsidR="00963A6D" w:rsidRPr="00BF3362" w:rsidRDefault="00963A6D" w:rsidP="00963A6D">
      <w:pPr>
        <w:rPr>
          <w:rFonts w:ascii="Arial" w:eastAsia="Arial" w:hAnsi="Arial" w:cs="Arial"/>
          <w:sz w:val="20"/>
          <w:szCs w:val="20"/>
        </w:rPr>
      </w:pPr>
    </w:p>
    <w:p w14:paraId="6C89B88A" w14:textId="77777777" w:rsidR="00963A6D" w:rsidRPr="00BF3362" w:rsidRDefault="00963A6D" w:rsidP="00963A6D">
      <w:pPr>
        <w:rPr>
          <w:rFonts w:ascii="Arial" w:eastAsia="Arial" w:hAnsi="Arial" w:cs="Arial"/>
          <w:sz w:val="20"/>
          <w:szCs w:val="20"/>
        </w:rPr>
      </w:pPr>
      <w:r w:rsidRPr="00BF3362">
        <w:rPr>
          <w:rFonts w:ascii="Arial" w:hAnsi="Arial"/>
          <w:sz w:val="20"/>
          <w:szCs w:val="20"/>
        </w:rPr>
        <w:t xml:space="preserve">Instead, the general rate will be increased to 8% from 2021. This rate applies to purchases of non-residential properties, such as commercial premises, as well as to purchases of residential properties that are not used as a main residence, e.g. houses that are rented out and holiday homes. </w:t>
      </w:r>
    </w:p>
    <w:p w14:paraId="7A798A61" w14:textId="77777777" w:rsidR="00963A6D" w:rsidRPr="00BF3362" w:rsidRDefault="00963A6D" w:rsidP="00963A6D">
      <w:pPr>
        <w:rPr>
          <w:rFonts w:ascii="Arial" w:eastAsia="Arial" w:hAnsi="Arial" w:cs="Arial"/>
          <w:sz w:val="20"/>
          <w:szCs w:val="20"/>
        </w:rPr>
      </w:pPr>
    </w:p>
    <w:p w14:paraId="23BE9C02" w14:textId="77777777" w:rsidR="00963A6D" w:rsidRPr="00BF3362" w:rsidRDefault="00963A6D" w:rsidP="00963A6D">
      <w:pPr>
        <w:rPr>
          <w:rFonts w:ascii="Arial" w:eastAsia="Arial" w:hAnsi="Arial" w:cs="Arial"/>
          <w:sz w:val="20"/>
          <w:szCs w:val="20"/>
        </w:rPr>
      </w:pPr>
      <w:r w:rsidRPr="00BF3362">
        <w:rPr>
          <w:rFonts w:ascii="Arial" w:hAnsi="Arial"/>
          <w:sz w:val="20"/>
          <w:szCs w:val="20"/>
        </w:rPr>
        <w:t>From 1 January 2021 the purchase of residential properties by non-natural persons (e.g. companies, housing associations, etc.) will therefore always be subject to transfer tax at a rate of 8%.</w:t>
      </w:r>
    </w:p>
    <w:p w14:paraId="4B6E6F38" w14:textId="77777777" w:rsidR="00963A6D" w:rsidRPr="00BF3362" w:rsidRDefault="00963A6D" w:rsidP="00963A6D">
      <w:pPr>
        <w:jc w:val="both"/>
        <w:rPr>
          <w:rFonts w:ascii="Arial" w:eastAsia="Arial" w:hAnsi="Arial" w:cs="Arial"/>
          <w:sz w:val="20"/>
          <w:szCs w:val="20"/>
        </w:rPr>
      </w:pPr>
    </w:p>
    <w:p w14:paraId="66ADA496" w14:textId="05F109B6" w:rsidR="00963A6D" w:rsidRPr="00BF3362" w:rsidRDefault="00963A6D" w:rsidP="00963A6D">
      <w:pPr>
        <w:shd w:val="clear" w:color="auto" w:fill="D9D9D9"/>
        <w:rPr>
          <w:rFonts w:ascii="Arial" w:hAnsi="Arial" w:cs="Arial"/>
          <w:b/>
          <w:bCs/>
          <w:sz w:val="20"/>
          <w:szCs w:val="20"/>
        </w:rPr>
      </w:pPr>
      <w:r w:rsidRPr="00BF3362">
        <w:rPr>
          <w:rFonts w:ascii="Arial" w:hAnsi="Arial"/>
          <w:b/>
          <w:bCs/>
          <w:sz w:val="20"/>
          <w:szCs w:val="20"/>
        </w:rPr>
        <w:t>Tip:</w:t>
      </w:r>
    </w:p>
    <w:p w14:paraId="0CC43FFE" w14:textId="7FCC2697" w:rsidR="00963A6D" w:rsidRPr="00BF3362" w:rsidRDefault="00963A6D" w:rsidP="00963A6D">
      <w:pPr>
        <w:shd w:val="clear" w:color="auto" w:fill="D9D9D9"/>
        <w:rPr>
          <w:rFonts w:ascii="Arial" w:hAnsi="Arial" w:cs="Arial"/>
          <w:sz w:val="20"/>
          <w:szCs w:val="20"/>
        </w:rPr>
      </w:pPr>
      <w:r w:rsidRPr="00BF3362">
        <w:rPr>
          <w:rFonts w:ascii="Arial" w:hAnsi="Arial"/>
          <w:sz w:val="20"/>
          <w:szCs w:val="20"/>
        </w:rPr>
        <w:t>Do you want to invest in property and would you like to take advantage of the lower rate of transfer tax while this still applies? If so, the property must have been transferred to you by 31 December 2020!</w:t>
      </w:r>
    </w:p>
    <w:p w14:paraId="55F17520" w14:textId="77777777" w:rsidR="005C0CAF" w:rsidRPr="00BF3362" w:rsidRDefault="005C0CAF" w:rsidP="005C0CAF">
      <w:pPr>
        <w:jc w:val="both"/>
        <w:rPr>
          <w:rFonts w:ascii="Arial" w:eastAsia="Arial" w:hAnsi="Arial" w:cs="Arial"/>
          <w:sz w:val="20"/>
          <w:szCs w:val="20"/>
        </w:rPr>
      </w:pPr>
    </w:p>
    <w:p w14:paraId="7277BF23" w14:textId="77777777" w:rsidR="00963A6D" w:rsidRPr="00BF3362" w:rsidRDefault="00963A6D" w:rsidP="005C0CAF">
      <w:pPr>
        <w:pStyle w:val="Kop2"/>
        <w:numPr>
          <w:ilvl w:val="0"/>
          <w:numId w:val="0"/>
        </w:numPr>
        <w:ind w:left="576" w:hanging="576"/>
        <w:rPr>
          <w:rFonts w:eastAsia="Arial"/>
          <w:sz w:val="20"/>
          <w:szCs w:val="18"/>
        </w:rPr>
      </w:pPr>
      <w:bookmarkStart w:id="15" w:name="_Toc51752503"/>
      <w:r w:rsidRPr="00BF3362">
        <w:rPr>
          <w:sz w:val="20"/>
          <w:szCs w:val="18"/>
        </w:rPr>
        <w:t>Exemption from transfer tax for first-time buyers</w:t>
      </w:r>
      <w:bookmarkEnd w:id="15"/>
    </w:p>
    <w:p w14:paraId="76ECA942" w14:textId="77777777" w:rsidR="00963A6D" w:rsidRPr="00BF3362" w:rsidRDefault="00963A6D" w:rsidP="00963A6D">
      <w:pPr>
        <w:rPr>
          <w:rFonts w:ascii="Arial" w:eastAsia="Arial" w:hAnsi="Arial" w:cs="Arial"/>
          <w:sz w:val="20"/>
          <w:szCs w:val="20"/>
        </w:rPr>
      </w:pPr>
      <w:r w:rsidRPr="00BF3362">
        <w:rPr>
          <w:rFonts w:ascii="Arial" w:hAnsi="Arial"/>
          <w:sz w:val="20"/>
          <w:szCs w:val="20"/>
        </w:rPr>
        <w:t xml:space="preserve">From 1 January 2021 first-time buyers will no longer have to pay transfer tax when buying a home.   </w:t>
      </w:r>
    </w:p>
    <w:p w14:paraId="70263971" w14:textId="77777777" w:rsidR="00963A6D" w:rsidRPr="00BF3362" w:rsidRDefault="00963A6D" w:rsidP="00963A6D">
      <w:pPr>
        <w:rPr>
          <w:rFonts w:ascii="Arial" w:eastAsia="Arial" w:hAnsi="Arial" w:cs="Arial"/>
          <w:sz w:val="20"/>
          <w:szCs w:val="20"/>
        </w:rPr>
      </w:pPr>
    </w:p>
    <w:p w14:paraId="0576969F" w14:textId="77777777" w:rsidR="00963A6D" w:rsidRPr="00BF3362" w:rsidRDefault="00963A6D" w:rsidP="00963A6D">
      <w:pPr>
        <w:rPr>
          <w:rFonts w:ascii="Arial" w:eastAsia="Arial" w:hAnsi="Arial" w:cs="Arial"/>
          <w:sz w:val="20"/>
          <w:szCs w:val="20"/>
        </w:rPr>
      </w:pPr>
      <w:r w:rsidRPr="00BF3362">
        <w:rPr>
          <w:rFonts w:ascii="Arial" w:hAnsi="Arial"/>
          <w:sz w:val="20"/>
          <w:szCs w:val="20"/>
        </w:rPr>
        <w:t>The conditions that apply to this exemption are as follows:</w:t>
      </w:r>
    </w:p>
    <w:p w14:paraId="317CFAE6" w14:textId="77777777" w:rsidR="00963A6D" w:rsidRPr="00BF3362" w:rsidRDefault="00963A6D" w:rsidP="00963A6D">
      <w:pPr>
        <w:pStyle w:val="Lijstalinea"/>
        <w:numPr>
          <w:ilvl w:val="0"/>
          <w:numId w:val="11"/>
        </w:numPr>
        <w:spacing w:after="0" w:line="240" w:lineRule="auto"/>
        <w:rPr>
          <w:rFonts w:ascii="Arial" w:eastAsia="Times New Roman" w:hAnsi="Arial" w:cs="Arial"/>
          <w:sz w:val="20"/>
          <w:szCs w:val="20"/>
        </w:rPr>
      </w:pPr>
      <w:r w:rsidRPr="00BF3362">
        <w:rPr>
          <w:rFonts w:ascii="Arial" w:hAnsi="Arial"/>
          <w:sz w:val="20"/>
          <w:szCs w:val="20"/>
        </w:rPr>
        <w:t>the buyer is aged between 18 and 35,</w:t>
      </w:r>
    </w:p>
    <w:p w14:paraId="22B218AE" w14:textId="77777777" w:rsidR="00963A6D" w:rsidRPr="00BF3362" w:rsidRDefault="00963A6D" w:rsidP="00963A6D">
      <w:pPr>
        <w:pStyle w:val="Lijstalinea"/>
        <w:numPr>
          <w:ilvl w:val="0"/>
          <w:numId w:val="11"/>
        </w:numPr>
        <w:spacing w:after="0" w:line="240" w:lineRule="auto"/>
        <w:rPr>
          <w:rFonts w:ascii="Arial" w:hAnsi="Arial" w:cs="Arial"/>
          <w:sz w:val="20"/>
          <w:szCs w:val="20"/>
        </w:rPr>
      </w:pPr>
      <w:r w:rsidRPr="00BF3362">
        <w:rPr>
          <w:rFonts w:ascii="Arial" w:hAnsi="Arial"/>
          <w:sz w:val="20"/>
          <w:szCs w:val="20"/>
        </w:rPr>
        <w:t>the buyer will live in the purchased home him/herself and this will be his/her main residence,</w:t>
      </w:r>
    </w:p>
    <w:p w14:paraId="25699DDC" w14:textId="77777777" w:rsidR="00963A6D" w:rsidRPr="00BF3362" w:rsidRDefault="00963A6D" w:rsidP="00963A6D">
      <w:pPr>
        <w:pStyle w:val="Lijstalinea"/>
        <w:numPr>
          <w:ilvl w:val="0"/>
          <w:numId w:val="11"/>
        </w:numPr>
        <w:spacing w:after="0" w:line="240" w:lineRule="auto"/>
        <w:rPr>
          <w:rFonts w:ascii="Arial" w:hAnsi="Arial" w:cs="Arial"/>
          <w:sz w:val="20"/>
          <w:szCs w:val="20"/>
        </w:rPr>
      </w:pPr>
      <w:r w:rsidRPr="00BF3362">
        <w:rPr>
          <w:rFonts w:ascii="Arial" w:hAnsi="Arial"/>
          <w:sz w:val="20"/>
          <w:szCs w:val="20"/>
        </w:rPr>
        <w:lastRenderedPageBreak/>
        <w:t>and he/she has not previously benefited from the exemption.</w:t>
      </w:r>
    </w:p>
    <w:p w14:paraId="5FD9C1CF" w14:textId="77777777" w:rsidR="00963A6D" w:rsidRPr="00BF3362" w:rsidRDefault="00963A6D" w:rsidP="00963A6D">
      <w:pPr>
        <w:rPr>
          <w:rFonts w:ascii="Arial" w:eastAsia="Arial" w:hAnsi="Arial" w:cs="Arial"/>
          <w:sz w:val="20"/>
          <w:szCs w:val="20"/>
        </w:rPr>
      </w:pPr>
    </w:p>
    <w:p w14:paraId="3FED0794" w14:textId="77777777" w:rsidR="00963A6D" w:rsidRPr="00BF3362" w:rsidRDefault="00963A6D" w:rsidP="00963A6D">
      <w:pPr>
        <w:rPr>
          <w:rFonts w:ascii="Arial" w:eastAsia="Arial" w:hAnsi="Arial" w:cs="Arial"/>
          <w:sz w:val="20"/>
          <w:szCs w:val="20"/>
        </w:rPr>
      </w:pPr>
      <w:r w:rsidRPr="00BF3362">
        <w:rPr>
          <w:rFonts w:ascii="Arial" w:hAnsi="Arial"/>
          <w:sz w:val="20"/>
          <w:szCs w:val="20"/>
        </w:rPr>
        <w:t xml:space="preserve">The buyer must declare in writing that he/she fulfils these conditions. This declaration is required by the notary for the transfer tax return. </w:t>
      </w:r>
    </w:p>
    <w:p w14:paraId="03488964" w14:textId="77777777" w:rsidR="00963A6D" w:rsidRPr="00BF3362" w:rsidRDefault="00963A6D" w:rsidP="00963A6D">
      <w:pPr>
        <w:rPr>
          <w:rFonts w:ascii="Arial" w:eastAsia="Arial" w:hAnsi="Arial" w:cs="Arial"/>
          <w:sz w:val="20"/>
          <w:szCs w:val="20"/>
        </w:rPr>
      </w:pPr>
    </w:p>
    <w:p w14:paraId="10CB85E4" w14:textId="77777777" w:rsidR="00963A6D" w:rsidRPr="00BF3362" w:rsidRDefault="00963A6D" w:rsidP="00963A6D">
      <w:pPr>
        <w:rPr>
          <w:rFonts w:ascii="Arial" w:eastAsia="Arial" w:hAnsi="Arial" w:cs="Arial"/>
          <w:sz w:val="20"/>
          <w:szCs w:val="20"/>
        </w:rPr>
      </w:pPr>
      <w:r w:rsidRPr="00BF3362">
        <w:rPr>
          <w:rFonts w:ascii="Arial" w:hAnsi="Arial"/>
          <w:sz w:val="20"/>
          <w:szCs w:val="20"/>
        </w:rPr>
        <w:t xml:space="preserve">If a couple buy a house together, e.g. on a 50/50 basis, it is necessary to assess for each buyer whether the exemption can be applied. It is therefore possible that one buyer will qualify for the exemption, while the other has to pay 2% transfer tax on his/her share in the property. </w:t>
      </w:r>
    </w:p>
    <w:p w14:paraId="6ADC3706" w14:textId="77777777" w:rsidR="00963A6D" w:rsidRPr="00BF3362" w:rsidRDefault="00963A6D" w:rsidP="00963A6D">
      <w:pPr>
        <w:rPr>
          <w:rFonts w:ascii="Arial" w:eastAsia="Arial" w:hAnsi="Arial" w:cs="Arial"/>
          <w:b/>
          <w:bCs/>
          <w:sz w:val="20"/>
          <w:szCs w:val="20"/>
        </w:rPr>
      </w:pPr>
    </w:p>
    <w:p w14:paraId="1D37BEB1" w14:textId="77777777" w:rsidR="00963A6D" w:rsidRPr="00BF3362" w:rsidRDefault="00963A6D" w:rsidP="00963A6D">
      <w:pPr>
        <w:rPr>
          <w:rFonts w:ascii="Arial" w:eastAsia="Arial" w:hAnsi="Arial" w:cs="Arial"/>
          <w:sz w:val="20"/>
          <w:szCs w:val="20"/>
        </w:rPr>
      </w:pPr>
      <w:r w:rsidRPr="00BF3362">
        <w:rPr>
          <w:rFonts w:ascii="Arial" w:hAnsi="Arial"/>
          <w:sz w:val="20"/>
          <w:szCs w:val="20"/>
        </w:rPr>
        <w:t xml:space="preserve">If you do not fulfil these conditions when buying a home, you will have to pay 2% transfer tax. You are only entitled to this lower rate if you will be living in the home yourself. Otherwise the new rate of 8% will apply. </w:t>
      </w:r>
    </w:p>
    <w:p w14:paraId="1EFCD24C" w14:textId="77777777" w:rsidR="00963A6D" w:rsidRPr="00BF3362" w:rsidRDefault="00963A6D" w:rsidP="00963A6D">
      <w:pPr>
        <w:jc w:val="both"/>
        <w:rPr>
          <w:rFonts w:ascii="Arial" w:eastAsia="Arial" w:hAnsi="Arial" w:cs="Arial"/>
          <w:sz w:val="20"/>
          <w:szCs w:val="20"/>
        </w:rPr>
      </w:pPr>
    </w:p>
    <w:p w14:paraId="641C6701" w14:textId="77777777" w:rsidR="00963A6D" w:rsidRPr="00BF3362" w:rsidRDefault="00963A6D" w:rsidP="00963A6D">
      <w:pPr>
        <w:shd w:val="clear" w:color="auto" w:fill="D9D9D9"/>
        <w:rPr>
          <w:rFonts w:ascii="Arial" w:hAnsi="Arial" w:cs="Arial"/>
          <w:b/>
          <w:bCs/>
          <w:sz w:val="20"/>
          <w:szCs w:val="20"/>
        </w:rPr>
      </w:pPr>
      <w:r w:rsidRPr="00BF3362">
        <w:rPr>
          <w:rFonts w:ascii="Arial" w:hAnsi="Arial"/>
          <w:b/>
          <w:bCs/>
          <w:sz w:val="20"/>
          <w:szCs w:val="20"/>
        </w:rPr>
        <w:t>Tip:</w:t>
      </w:r>
    </w:p>
    <w:p w14:paraId="30A87073" w14:textId="4949C90A" w:rsidR="00963A6D" w:rsidRPr="00BF3362" w:rsidRDefault="00963A6D" w:rsidP="00963A6D">
      <w:pPr>
        <w:shd w:val="clear" w:color="auto" w:fill="D9D9D9"/>
        <w:rPr>
          <w:rFonts w:ascii="Arial" w:hAnsi="Arial" w:cs="Arial"/>
          <w:sz w:val="20"/>
          <w:szCs w:val="20"/>
        </w:rPr>
      </w:pPr>
      <w:r w:rsidRPr="00BF3362">
        <w:rPr>
          <w:rFonts w:ascii="Arial" w:hAnsi="Arial"/>
          <w:sz w:val="20"/>
          <w:szCs w:val="20"/>
        </w:rPr>
        <w:t>Are you aged between 18 and 35 and already have your own home, but want to buy a new home from 1 January 2021? If so, you still qualify for the exemption from transfer tax for first-time buyers, as you have not previously benefited from this exemption.</w:t>
      </w:r>
    </w:p>
    <w:p w14:paraId="2EB26105" w14:textId="77777777" w:rsidR="00963A6D" w:rsidRPr="00BF3362" w:rsidRDefault="00963A6D" w:rsidP="00963A6D">
      <w:pPr>
        <w:rPr>
          <w:rFonts w:ascii="Arial" w:eastAsia="Arial" w:hAnsi="Arial" w:cs="Arial"/>
          <w:b/>
          <w:bCs/>
          <w:sz w:val="20"/>
          <w:szCs w:val="20"/>
        </w:rPr>
      </w:pPr>
    </w:p>
    <w:bookmarkEnd w:id="10"/>
    <w:p w14:paraId="01728164" w14:textId="77777777" w:rsidR="00963A6D" w:rsidRPr="00BF3362" w:rsidRDefault="00963A6D">
      <w:pPr>
        <w:rPr>
          <w:rFonts w:ascii="Arial" w:hAnsi="Arial"/>
          <w:b/>
          <w:bCs/>
          <w:sz w:val="28"/>
        </w:rPr>
      </w:pPr>
      <w:r w:rsidRPr="00BF3362">
        <w:br w:type="page"/>
      </w:r>
    </w:p>
    <w:p w14:paraId="606A1EE8" w14:textId="0755CBA7" w:rsidR="00122F79" w:rsidRPr="00BF3362" w:rsidRDefault="00F904A8" w:rsidP="00963A6D">
      <w:pPr>
        <w:pStyle w:val="Kop1"/>
      </w:pPr>
      <w:bookmarkStart w:id="16" w:name="_Toc51752504"/>
      <w:r w:rsidRPr="00BF3362">
        <w:lastRenderedPageBreak/>
        <w:t>Entrepreneurs and businesses</w:t>
      </w:r>
      <w:bookmarkEnd w:id="16"/>
    </w:p>
    <w:p w14:paraId="62308B50" w14:textId="77777777" w:rsidR="00122F79" w:rsidRPr="00BF3362" w:rsidRDefault="00122F79" w:rsidP="00122F79">
      <w:pPr>
        <w:rPr>
          <w:rFonts w:ascii="Arial" w:hAnsi="Arial" w:cs="Arial"/>
          <w:sz w:val="20"/>
          <w:szCs w:val="20"/>
        </w:rPr>
      </w:pPr>
    </w:p>
    <w:p w14:paraId="5CD8ECB1" w14:textId="5F5F6A96" w:rsidR="005C0CAF" w:rsidRPr="00BF3362" w:rsidRDefault="005C0CAF" w:rsidP="005C0CAF">
      <w:pPr>
        <w:rPr>
          <w:rFonts w:ascii="Arial" w:hAnsi="Arial" w:cs="Arial"/>
          <w:sz w:val="20"/>
          <w:szCs w:val="20"/>
        </w:rPr>
      </w:pPr>
      <w:r w:rsidRPr="00BF3362">
        <w:rPr>
          <w:rFonts w:ascii="Arial" w:hAnsi="Arial"/>
          <w:sz w:val="20"/>
          <w:szCs w:val="20"/>
        </w:rPr>
        <w:t>From adjustments to the work-related expenses scheme and a further reduction in the self-employed person’s allowance through to changes to corporation tax, the changes announced in the 2021 Tax Plan also have various consequences for businesses. Find out what you need to be aware of as an entrepreneur below.</w:t>
      </w:r>
    </w:p>
    <w:p w14:paraId="6A88F3C7" w14:textId="77777777" w:rsidR="005C0CAF" w:rsidRPr="00BF3362" w:rsidRDefault="005C0CAF" w:rsidP="005C0CAF">
      <w:pPr>
        <w:rPr>
          <w:rFonts w:ascii="Arial" w:hAnsi="Arial" w:cs="Arial"/>
          <w:sz w:val="20"/>
          <w:szCs w:val="20"/>
        </w:rPr>
      </w:pPr>
    </w:p>
    <w:p w14:paraId="08FD3159" w14:textId="77777777" w:rsidR="005C0CAF" w:rsidRPr="00BF3362" w:rsidRDefault="005C0CAF" w:rsidP="005C0CAF">
      <w:pPr>
        <w:pStyle w:val="Kop2"/>
        <w:numPr>
          <w:ilvl w:val="0"/>
          <w:numId w:val="0"/>
        </w:numPr>
        <w:ind w:left="576" w:hanging="576"/>
        <w:rPr>
          <w:sz w:val="20"/>
          <w:szCs w:val="18"/>
        </w:rPr>
      </w:pPr>
      <w:bookmarkStart w:id="17" w:name="_Toc51752505"/>
      <w:r w:rsidRPr="00BF3362">
        <w:rPr>
          <w:sz w:val="20"/>
          <w:szCs w:val="18"/>
        </w:rPr>
        <w:t>Gradual reduction in self-employed person’s allowance</w:t>
      </w:r>
      <w:bookmarkEnd w:id="17"/>
    </w:p>
    <w:p w14:paraId="745ADE26" w14:textId="77777777" w:rsidR="005C0CAF" w:rsidRPr="00BF3362" w:rsidRDefault="005C0CAF" w:rsidP="005C0CAF">
      <w:pPr>
        <w:rPr>
          <w:rFonts w:ascii="Arial" w:hAnsi="Arial" w:cs="Arial"/>
          <w:sz w:val="20"/>
          <w:szCs w:val="20"/>
        </w:rPr>
      </w:pPr>
      <w:r w:rsidRPr="00BF3362">
        <w:rPr>
          <w:rFonts w:ascii="Arial" w:hAnsi="Arial"/>
          <w:sz w:val="20"/>
          <w:szCs w:val="20"/>
        </w:rPr>
        <w:t>The self-employed person’s allowance is being reduced further. This will be compensated for by an increase in the employed person’s tax credit and a cut in income tax.</w:t>
      </w:r>
    </w:p>
    <w:p w14:paraId="5D094832" w14:textId="77777777" w:rsidR="005C0CAF" w:rsidRPr="00BF3362" w:rsidRDefault="005C0CAF" w:rsidP="005C0CAF">
      <w:pPr>
        <w:rPr>
          <w:rFonts w:ascii="Arial" w:hAnsi="Arial" w:cs="Arial"/>
          <w:sz w:val="20"/>
          <w:szCs w:val="20"/>
        </w:rPr>
      </w:pPr>
    </w:p>
    <w:p w14:paraId="482391B0" w14:textId="77777777" w:rsidR="005C0CAF" w:rsidRPr="00BF3362" w:rsidRDefault="005C0CAF" w:rsidP="005C0CAF">
      <w:pPr>
        <w:rPr>
          <w:rFonts w:ascii="Arial" w:hAnsi="Arial" w:cs="Arial"/>
          <w:sz w:val="20"/>
          <w:szCs w:val="20"/>
        </w:rPr>
      </w:pPr>
      <w:r w:rsidRPr="00BF3362">
        <w:rPr>
          <w:rFonts w:ascii="Arial" w:hAnsi="Arial"/>
          <w:sz w:val="20"/>
          <w:szCs w:val="20"/>
        </w:rPr>
        <w:t>In 2021 the maximum self-employed person’s allowance will be € 6,670 (2020: € 7,030). From 2021 onwards this allowance will be reduced more quickly than had been announced in the 2020 Tax Plan. It will be lowered in eight steps of € 360, one step of € 390 and eight steps of € 110 to ultimately stand at € 3,240 in 2036.</w:t>
      </w:r>
    </w:p>
    <w:p w14:paraId="1798D984" w14:textId="77777777" w:rsidR="005C0CAF" w:rsidRPr="00BF3362" w:rsidRDefault="005C0CAF" w:rsidP="005C0CAF">
      <w:pPr>
        <w:rPr>
          <w:rFonts w:ascii="Arial" w:hAnsi="Arial" w:cs="Arial"/>
          <w:sz w:val="20"/>
          <w:szCs w:val="20"/>
        </w:rPr>
      </w:pPr>
    </w:p>
    <w:p w14:paraId="120C737A" w14:textId="1B02FA96" w:rsidR="005C0CAF" w:rsidRPr="00BF3362" w:rsidRDefault="005C0CAF" w:rsidP="005C0CAF">
      <w:pPr>
        <w:rPr>
          <w:rFonts w:ascii="Arial" w:hAnsi="Arial" w:cs="Arial"/>
          <w:sz w:val="20"/>
          <w:szCs w:val="20"/>
        </w:rPr>
      </w:pPr>
      <w:r w:rsidRPr="00BF3362">
        <w:rPr>
          <w:rFonts w:ascii="Arial" w:hAnsi="Arial"/>
          <w:sz w:val="20"/>
          <w:szCs w:val="20"/>
        </w:rPr>
        <w:t>The self-employed person’s allowance is an amount that entrepreneurs can deduct from their profit for income tax purposes, provided that they have worked as an entrepreneur for at least 1,225 hours in a calendar year and have dedicated 50% of their working time to the business. It reduces the amount on which you have to pay income tax. This means that, on balance, you need to pay over less income tax to the Tax and Customs Administration.</w:t>
      </w:r>
    </w:p>
    <w:p w14:paraId="5C54110D" w14:textId="77777777" w:rsidR="005C0CAF" w:rsidRPr="00BF3362" w:rsidRDefault="005C0CAF" w:rsidP="005C0CAF">
      <w:pPr>
        <w:rPr>
          <w:rFonts w:ascii="Arial" w:hAnsi="Arial" w:cs="Arial"/>
          <w:sz w:val="20"/>
          <w:szCs w:val="20"/>
        </w:rPr>
      </w:pPr>
    </w:p>
    <w:p w14:paraId="02B6C19A" w14:textId="77777777" w:rsidR="005C0CAF" w:rsidRPr="00BF3362" w:rsidRDefault="005C0CAF" w:rsidP="005C0CAF">
      <w:pPr>
        <w:pStyle w:val="Kop2"/>
        <w:numPr>
          <w:ilvl w:val="0"/>
          <w:numId w:val="0"/>
        </w:numPr>
        <w:ind w:left="576" w:hanging="576"/>
        <w:rPr>
          <w:sz w:val="20"/>
          <w:szCs w:val="18"/>
        </w:rPr>
      </w:pPr>
      <w:bookmarkStart w:id="18" w:name="_Toc51752506"/>
      <w:r w:rsidRPr="00BF3362">
        <w:rPr>
          <w:sz w:val="20"/>
          <w:szCs w:val="18"/>
        </w:rPr>
        <w:t>Offsetting of losses restricted for corporation tax</w:t>
      </w:r>
      <w:bookmarkEnd w:id="18"/>
    </w:p>
    <w:p w14:paraId="382DDFDA" w14:textId="77777777" w:rsidR="005C0CAF" w:rsidRPr="00BF3362" w:rsidRDefault="005C0CAF" w:rsidP="005C0CAF">
      <w:pPr>
        <w:rPr>
          <w:rFonts w:ascii="Arial" w:hAnsi="Arial" w:cs="Arial"/>
          <w:sz w:val="20"/>
          <w:szCs w:val="20"/>
        </w:rPr>
      </w:pPr>
      <w:r w:rsidRPr="00BF3362">
        <w:rPr>
          <w:rFonts w:ascii="Arial" w:hAnsi="Arial"/>
          <w:sz w:val="20"/>
          <w:szCs w:val="20"/>
        </w:rPr>
        <w:t xml:space="preserve">At present, a loss can be carried back one year and carried forward six years. From 2022 the intention is to allow losses to be carried forward without any time limit. It will be possible to offset losses (carried forward and back) against up to € 1,000,000 of taxable profit. If the profit is higher, losses can only be offset against up to 50% of the profit above € 1,000,000 in any one year. </w:t>
      </w:r>
    </w:p>
    <w:p w14:paraId="29A2EA81" w14:textId="77777777" w:rsidR="005C0CAF" w:rsidRPr="00BF3362" w:rsidRDefault="005C0CAF" w:rsidP="005C0CAF">
      <w:pPr>
        <w:jc w:val="both"/>
        <w:rPr>
          <w:rFonts w:ascii="Arial" w:eastAsia="Arial" w:hAnsi="Arial" w:cs="Arial"/>
          <w:sz w:val="20"/>
          <w:szCs w:val="20"/>
        </w:rPr>
      </w:pPr>
    </w:p>
    <w:p w14:paraId="6A0B0D2F" w14:textId="6C870454" w:rsidR="005C0CAF" w:rsidRPr="00BF3362" w:rsidRDefault="005C0CAF" w:rsidP="005C0CAF">
      <w:pPr>
        <w:shd w:val="clear" w:color="auto" w:fill="D9D9D9"/>
        <w:rPr>
          <w:rFonts w:ascii="Arial" w:hAnsi="Arial" w:cs="Arial"/>
          <w:b/>
          <w:bCs/>
          <w:sz w:val="20"/>
          <w:szCs w:val="20"/>
        </w:rPr>
      </w:pPr>
      <w:r w:rsidRPr="00BF3362">
        <w:rPr>
          <w:rFonts w:ascii="Arial" w:hAnsi="Arial"/>
          <w:b/>
          <w:bCs/>
          <w:sz w:val="20"/>
          <w:szCs w:val="20"/>
        </w:rPr>
        <w:t>Please note:</w:t>
      </w:r>
    </w:p>
    <w:p w14:paraId="4505B85D" w14:textId="0B50A6B6" w:rsidR="005C0CAF" w:rsidRPr="00BF3362" w:rsidRDefault="005C0CAF" w:rsidP="005C0CAF">
      <w:pPr>
        <w:shd w:val="clear" w:color="auto" w:fill="D9D9D9"/>
        <w:rPr>
          <w:rFonts w:ascii="Arial" w:hAnsi="Arial" w:cs="Arial"/>
          <w:sz w:val="20"/>
          <w:szCs w:val="20"/>
        </w:rPr>
      </w:pPr>
      <w:r w:rsidRPr="00BF3362">
        <w:rPr>
          <w:rFonts w:ascii="Arial" w:hAnsi="Arial"/>
          <w:sz w:val="20"/>
          <w:szCs w:val="20"/>
        </w:rPr>
        <w:t>A legislative proposal still has to be submitted.</w:t>
      </w:r>
    </w:p>
    <w:p w14:paraId="30183B02" w14:textId="77777777" w:rsidR="005C0CAF" w:rsidRPr="00BF3362" w:rsidRDefault="005C0CAF" w:rsidP="005C0CAF">
      <w:pPr>
        <w:jc w:val="both"/>
        <w:rPr>
          <w:rFonts w:ascii="Arial" w:eastAsia="Arial" w:hAnsi="Arial" w:cs="Arial"/>
          <w:sz w:val="20"/>
          <w:szCs w:val="20"/>
        </w:rPr>
      </w:pPr>
    </w:p>
    <w:p w14:paraId="58CE6DA3" w14:textId="77777777" w:rsidR="005C0CAF" w:rsidRPr="00BF3362" w:rsidRDefault="005C0CAF" w:rsidP="005C0CAF">
      <w:pPr>
        <w:pStyle w:val="Kop2"/>
        <w:numPr>
          <w:ilvl w:val="0"/>
          <w:numId w:val="0"/>
        </w:numPr>
        <w:ind w:left="576" w:hanging="576"/>
        <w:rPr>
          <w:sz w:val="20"/>
          <w:szCs w:val="18"/>
        </w:rPr>
      </w:pPr>
      <w:bookmarkStart w:id="19" w:name="_Toc51752507"/>
      <w:r w:rsidRPr="00BF3362">
        <w:rPr>
          <w:sz w:val="20"/>
          <w:szCs w:val="18"/>
        </w:rPr>
        <w:t>Job-related investment tax credit (BIK)</w:t>
      </w:r>
      <w:bookmarkEnd w:id="19"/>
    </w:p>
    <w:p w14:paraId="7525F9F1" w14:textId="2C2AE2DA" w:rsidR="005C0CAF" w:rsidRPr="00BF3362" w:rsidRDefault="005C0CAF" w:rsidP="005C0CAF">
      <w:pPr>
        <w:rPr>
          <w:rFonts w:ascii="Arial" w:hAnsi="Arial" w:cs="Arial"/>
          <w:sz w:val="20"/>
          <w:szCs w:val="20"/>
        </w:rPr>
      </w:pPr>
      <w:r w:rsidRPr="00BF3362">
        <w:rPr>
          <w:rFonts w:ascii="Arial" w:hAnsi="Arial"/>
          <w:sz w:val="20"/>
          <w:szCs w:val="20"/>
        </w:rPr>
        <w:t>From 2021 a job-related investment tax credit (BIK) will make it more attractive for companies to make investments. If companies invest in operating assets, they will be allowed to deduct a percentage of these investments from the payroll tax/national insurance contributions they have to pay. Further details will be announced by the government at a later date.</w:t>
      </w:r>
    </w:p>
    <w:p w14:paraId="044D8B68" w14:textId="77777777" w:rsidR="005C0CAF" w:rsidRPr="00BF3362" w:rsidRDefault="005C0CAF" w:rsidP="005C0CAF">
      <w:pPr>
        <w:rPr>
          <w:rFonts w:ascii="Arial" w:hAnsi="Arial" w:cs="Arial"/>
          <w:sz w:val="20"/>
          <w:szCs w:val="20"/>
        </w:rPr>
      </w:pPr>
    </w:p>
    <w:p w14:paraId="4CF293A7" w14:textId="77777777" w:rsidR="005C0CAF" w:rsidRPr="00BF3362" w:rsidRDefault="005C0CAF" w:rsidP="005C0CAF">
      <w:pPr>
        <w:pStyle w:val="Kop2"/>
        <w:numPr>
          <w:ilvl w:val="0"/>
          <w:numId w:val="0"/>
        </w:numPr>
        <w:ind w:left="576" w:hanging="576"/>
        <w:rPr>
          <w:sz w:val="20"/>
          <w:szCs w:val="18"/>
        </w:rPr>
      </w:pPr>
      <w:bookmarkStart w:id="20" w:name="_Toc51752508"/>
      <w:r w:rsidRPr="00BF3362">
        <w:rPr>
          <w:sz w:val="20"/>
          <w:szCs w:val="18"/>
        </w:rPr>
        <w:t>Work-related expenses scheme</w:t>
      </w:r>
      <w:bookmarkEnd w:id="20"/>
    </w:p>
    <w:p w14:paraId="11175D3D" w14:textId="77777777" w:rsidR="005C0CAF" w:rsidRPr="00BF3362" w:rsidRDefault="005C0CAF" w:rsidP="005C0CAF">
      <w:pPr>
        <w:rPr>
          <w:rFonts w:ascii="Arial" w:hAnsi="Arial" w:cs="Arial"/>
          <w:b/>
          <w:bCs/>
          <w:i/>
          <w:iCs/>
          <w:sz w:val="20"/>
          <w:szCs w:val="20"/>
        </w:rPr>
      </w:pPr>
    </w:p>
    <w:p w14:paraId="4860B265" w14:textId="77777777" w:rsidR="005C0CAF" w:rsidRPr="00BF3362" w:rsidRDefault="005C0CAF" w:rsidP="005C0CAF">
      <w:pPr>
        <w:rPr>
          <w:rFonts w:ascii="Arial" w:hAnsi="Arial" w:cs="Arial"/>
          <w:b/>
          <w:bCs/>
          <w:i/>
          <w:iCs/>
          <w:sz w:val="20"/>
          <w:szCs w:val="20"/>
        </w:rPr>
      </w:pPr>
      <w:r w:rsidRPr="00BF3362">
        <w:rPr>
          <w:rFonts w:ascii="Arial" w:hAnsi="Arial"/>
          <w:b/>
          <w:bCs/>
          <w:i/>
          <w:iCs/>
          <w:sz w:val="20"/>
          <w:szCs w:val="20"/>
        </w:rPr>
        <w:t>Restriction of fixed budget for wage bills from € 400,000</w:t>
      </w:r>
    </w:p>
    <w:p w14:paraId="40A8A03D" w14:textId="77777777" w:rsidR="005C0CAF" w:rsidRPr="00BF3362" w:rsidRDefault="005C0CAF" w:rsidP="005C0CAF">
      <w:pPr>
        <w:rPr>
          <w:rFonts w:ascii="Arial" w:hAnsi="Arial" w:cs="Arial"/>
          <w:sz w:val="20"/>
          <w:szCs w:val="20"/>
        </w:rPr>
      </w:pPr>
      <w:r w:rsidRPr="00BF3362">
        <w:rPr>
          <w:rFonts w:ascii="Arial" w:hAnsi="Arial"/>
          <w:sz w:val="20"/>
          <w:szCs w:val="20"/>
        </w:rPr>
        <w:t>Since 1 January 2020 a two-band system has applied to the fixed budget under the work-related expenses scheme (WKR):</w:t>
      </w:r>
    </w:p>
    <w:p w14:paraId="20180BF2" w14:textId="77777777" w:rsidR="005C0CAF" w:rsidRPr="00BF3362" w:rsidRDefault="005C0CAF" w:rsidP="005C0CAF">
      <w:pPr>
        <w:pStyle w:val="Lijstalinea"/>
        <w:numPr>
          <w:ilvl w:val="0"/>
          <w:numId w:val="13"/>
        </w:numPr>
        <w:spacing w:after="160" w:line="259" w:lineRule="auto"/>
        <w:rPr>
          <w:rFonts w:ascii="Arial" w:eastAsia="Times New Roman" w:hAnsi="Arial" w:cs="Arial"/>
          <w:sz w:val="20"/>
          <w:szCs w:val="20"/>
        </w:rPr>
      </w:pPr>
      <w:r w:rsidRPr="00BF3362">
        <w:rPr>
          <w:rFonts w:ascii="Arial" w:hAnsi="Arial"/>
          <w:sz w:val="20"/>
          <w:szCs w:val="20"/>
        </w:rPr>
        <w:t>Up to a wage bill of € 400,000 the fixed budget is 1.7% (in 2020 this is temporarily 3%).</w:t>
      </w:r>
    </w:p>
    <w:p w14:paraId="558EF6D7" w14:textId="77777777" w:rsidR="005C0CAF" w:rsidRPr="00BF3362" w:rsidRDefault="005C0CAF" w:rsidP="005C0CAF">
      <w:pPr>
        <w:pStyle w:val="Lijstalinea"/>
        <w:numPr>
          <w:ilvl w:val="0"/>
          <w:numId w:val="13"/>
        </w:numPr>
        <w:spacing w:after="160" w:line="259" w:lineRule="auto"/>
        <w:rPr>
          <w:rFonts w:ascii="Arial" w:eastAsia="Times New Roman" w:hAnsi="Arial" w:cs="Arial"/>
          <w:sz w:val="20"/>
          <w:szCs w:val="20"/>
        </w:rPr>
      </w:pPr>
      <w:r w:rsidRPr="00BF3362">
        <w:rPr>
          <w:rFonts w:ascii="Arial" w:hAnsi="Arial"/>
          <w:sz w:val="20"/>
          <w:szCs w:val="20"/>
        </w:rPr>
        <w:t xml:space="preserve">From € 400,001 a fixed budget of 1.2% applies. </w:t>
      </w:r>
    </w:p>
    <w:p w14:paraId="68A06B39" w14:textId="77777777" w:rsidR="005C0CAF" w:rsidRPr="00BF3362" w:rsidRDefault="005C0CAF" w:rsidP="005C0CAF">
      <w:pPr>
        <w:pStyle w:val="Lijstalinea"/>
        <w:spacing w:after="160" w:line="259" w:lineRule="auto"/>
        <w:rPr>
          <w:rFonts w:ascii="Arial" w:eastAsia="Times New Roman" w:hAnsi="Arial" w:cs="Arial"/>
          <w:sz w:val="20"/>
          <w:szCs w:val="20"/>
        </w:rPr>
      </w:pPr>
    </w:p>
    <w:p w14:paraId="6D3E50BB" w14:textId="77777777" w:rsidR="005C0CAF" w:rsidRPr="00BF3362" w:rsidRDefault="005C0CAF" w:rsidP="005C0CAF">
      <w:pPr>
        <w:pStyle w:val="Lijstalinea"/>
        <w:spacing w:after="160" w:line="259" w:lineRule="auto"/>
        <w:ind w:left="0"/>
        <w:rPr>
          <w:rFonts w:ascii="Arial" w:eastAsia="Times New Roman" w:hAnsi="Arial" w:cs="Arial"/>
          <w:sz w:val="20"/>
          <w:szCs w:val="20"/>
        </w:rPr>
      </w:pPr>
      <w:r w:rsidRPr="00BF3362">
        <w:rPr>
          <w:rFonts w:ascii="Arial" w:hAnsi="Arial"/>
          <w:sz w:val="20"/>
          <w:szCs w:val="20"/>
        </w:rPr>
        <w:t>This percentage will be lowered from 1.2% to 1.18% with effect from 2021. The rate applicable in the first band will remain at 1.7%.</w:t>
      </w:r>
    </w:p>
    <w:p w14:paraId="0AAC0CC6" w14:textId="77777777" w:rsidR="005C0CAF" w:rsidRPr="00BF3362" w:rsidRDefault="005C0CAF" w:rsidP="005C0CAF">
      <w:pPr>
        <w:pStyle w:val="Lijstalinea"/>
        <w:spacing w:after="160" w:line="259" w:lineRule="auto"/>
        <w:ind w:left="0"/>
        <w:rPr>
          <w:rFonts w:ascii="Arial" w:eastAsia="Times New Roman" w:hAnsi="Arial" w:cs="Arial"/>
          <w:sz w:val="20"/>
          <w:szCs w:val="20"/>
        </w:rPr>
      </w:pPr>
    </w:p>
    <w:p w14:paraId="23EABD59" w14:textId="7DD6B095" w:rsidR="005C0CAF" w:rsidRPr="00BF3362" w:rsidRDefault="005C0CAF" w:rsidP="005C0CAF">
      <w:pPr>
        <w:pStyle w:val="Lijstalinea"/>
        <w:spacing w:after="160" w:line="259" w:lineRule="auto"/>
        <w:ind w:left="0"/>
        <w:rPr>
          <w:rFonts w:ascii="Arial" w:eastAsia="Arial" w:hAnsi="Arial" w:cs="Arial"/>
          <w:sz w:val="20"/>
          <w:szCs w:val="20"/>
        </w:rPr>
      </w:pPr>
      <w:bookmarkStart w:id="21" w:name="_Hlk51105449"/>
      <w:r w:rsidRPr="00BF3362">
        <w:rPr>
          <w:rFonts w:ascii="Arial" w:hAnsi="Arial"/>
          <w:sz w:val="20"/>
          <w:szCs w:val="20"/>
        </w:rPr>
        <w:t>If the allowances and benefits in kind exceed the fixed budget, a final levy of 80% is payable.</w:t>
      </w:r>
    </w:p>
    <w:p w14:paraId="56927C41" w14:textId="77777777" w:rsidR="005C0CAF" w:rsidRPr="00BF3362" w:rsidRDefault="005C0CAF" w:rsidP="005C0CAF">
      <w:pPr>
        <w:shd w:val="clear" w:color="auto" w:fill="D9D9D9"/>
        <w:rPr>
          <w:rFonts w:ascii="Arial" w:hAnsi="Arial" w:cs="Arial"/>
          <w:b/>
          <w:bCs/>
          <w:sz w:val="20"/>
          <w:szCs w:val="20"/>
        </w:rPr>
      </w:pPr>
      <w:r w:rsidRPr="00BF3362">
        <w:rPr>
          <w:rFonts w:ascii="Arial" w:hAnsi="Arial"/>
          <w:b/>
          <w:bCs/>
          <w:sz w:val="20"/>
          <w:szCs w:val="20"/>
        </w:rPr>
        <w:t>Tip:</w:t>
      </w:r>
    </w:p>
    <w:p w14:paraId="4CB5A3C0" w14:textId="75597038" w:rsidR="005C0CAF" w:rsidRPr="00BF3362" w:rsidRDefault="005C0CAF" w:rsidP="005C0CAF">
      <w:pPr>
        <w:shd w:val="clear" w:color="auto" w:fill="D9D9D9"/>
        <w:rPr>
          <w:rFonts w:ascii="Arial" w:hAnsi="Arial" w:cs="Arial"/>
          <w:sz w:val="20"/>
          <w:szCs w:val="20"/>
        </w:rPr>
      </w:pPr>
      <w:r w:rsidRPr="00BF3362">
        <w:rPr>
          <w:rFonts w:ascii="Arial" w:hAnsi="Arial"/>
          <w:sz w:val="20"/>
          <w:szCs w:val="20"/>
        </w:rPr>
        <w:t>Is it possible that the allowances and benefits in kind you grant will exceed the fixed budget next year (wage bill of more than € 400,000) and are you in a position to bring them forward? If so, you can save tax by applying the 1.2% rate this year instead of 1.18% in 2021.</w:t>
      </w:r>
    </w:p>
    <w:bookmarkEnd w:id="21"/>
    <w:p w14:paraId="4BEFEB1A" w14:textId="77777777" w:rsidR="007C7138" w:rsidRDefault="007C7138" w:rsidP="005C0CAF">
      <w:pPr>
        <w:rPr>
          <w:rFonts w:ascii="Arial" w:hAnsi="Arial"/>
          <w:b/>
          <w:bCs/>
          <w:i/>
          <w:iCs/>
          <w:sz w:val="20"/>
          <w:szCs w:val="20"/>
        </w:rPr>
      </w:pPr>
    </w:p>
    <w:p w14:paraId="50E7BC11" w14:textId="77777777" w:rsidR="005C0CAF" w:rsidRPr="00BF3362" w:rsidRDefault="005C0CAF" w:rsidP="005C0CAF">
      <w:pPr>
        <w:rPr>
          <w:rFonts w:ascii="Arial" w:hAnsi="Arial" w:cs="Arial"/>
          <w:b/>
          <w:bCs/>
          <w:i/>
          <w:iCs/>
          <w:sz w:val="20"/>
          <w:szCs w:val="20"/>
        </w:rPr>
      </w:pPr>
      <w:r w:rsidRPr="00BF3362">
        <w:rPr>
          <w:rFonts w:ascii="Arial" w:hAnsi="Arial"/>
          <w:b/>
          <w:bCs/>
          <w:i/>
          <w:iCs/>
          <w:sz w:val="20"/>
          <w:szCs w:val="20"/>
        </w:rPr>
        <w:t>Specific exemption for retraining</w:t>
      </w:r>
    </w:p>
    <w:p w14:paraId="1BBE3024" w14:textId="47D35610" w:rsidR="005C0CAF" w:rsidRPr="00BF3362" w:rsidRDefault="005C0CAF" w:rsidP="005C0CAF">
      <w:pPr>
        <w:rPr>
          <w:rFonts w:ascii="Arial" w:hAnsi="Arial" w:cs="Arial"/>
          <w:sz w:val="20"/>
          <w:szCs w:val="20"/>
        </w:rPr>
      </w:pPr>
      <w:r w:rsidRPr="00BF3362">
        <w:rPr>
          <w:rFonts w:ascii="Arial" w:hAnsi="Arial"/>
          <w:sz w:val="20"/>
          <w:szCs w:val="20"/>
        </w:rPr>
        <w:lastRenderedPageBreak/>
        <w:t xml:space="preserve">As a result of the current crisis, the government is placing an even greater emphasis on the importance of training. From 2021 the specific exemption for training will also apply to allowances and benefits in kind granted for training arising from previous employment. This means that from 2021 onwards employers will be able to reimburse the training costs of former employees free of tax. Training costs are currently regarded as a wage from earlier employment and the employer is required to pay payroll tax on them. This relaxation of the rules will apply to allowances and benefits in kind granted for the purpose of following a training programme or course of study with a view to generating income. </w:t>
      </w:r>
    </w:p>
    <w:p w14:paraId="11998A9E" w14:textId="77777777" w:rsidR="005C0CAF" w:rsidRPr="00BF3362" w:rsidRDefault="005C0CAF" w:rsidP="005C0CAF">
      <w:pPr>
        <w:rPr>
          <w:rFonts w:ascii="Arial" w:hAnsi="Arial" w:cs="Arial"/>
          <w:sz w:val="20"/>
          <w:szCs w:val="20"/>
        </w:rPr>
      </w:pPr>
    </w:p>
    <w:p w14:paraId="6A4992BE" w14:textId="77777777" w:rsidR="005C0CAF" w:rsidRPr="00BF3362" w:rsidRDefault="005C0CAF" w:rsidP="005C0CAF">
      <w:pPr>
        <w:pStyle w:val="Kop2"/>
        <w:numPr>
          <w:ilvl w:val="0"/>
          <w:numId w:val="0"/>
        </w:numPr>
        <w:ind w:left="576" w:hanging="576"/>
        <w:rPr>
          <w:sz w:val="20"/>
          <w:szCs w:val="18"/>
        </w:rPr>
      </w:pPr>
      <w:bookmarkStart w:id="22" w:name="_Toc51752509"/>
      <w:r w:rsidRPr="00BF3362">
        <w:rPr>
          <w:sz w:val="20"/>
          <w:szCs w:val="18"/>
        </w:rPr>
        <w:t>Clarification of method used to calculate small-scale investment tax credit (KIA)</w:t>
      </w:r>
      <w:bookmarkEnd w:id="22"/>
    </w:p>
    <w:p w14:paraId="238F6FAC" w14:textId="77777777" w:rsidR="005C0CAF" w:rsidRPr="00BF3362" w:rsidRDefault="005C0CAF" w:rsidP="005C0CAF">
      <w:pPr>
        <w:rPr>
          <w:rFonts w:ascii="Arial" w:hAnsi="Arial" w:cs="Arial"/>
          <w:b/>
          <w:bCs/>
          <w:sz w:val="20"/>
          <w:szCs w:val="20"/>
        </w:rPr>
      </w:pPr>
      <w:r w:rsidRPr="00BF3362">
        <w:rPr>
          <w:rFonts w:ascii="Arial" w:hAnsi="Arial"/>
          <w:sz w:val="20"/>
          <w:szCs w:val="20"/>
        </w:rPr>
        <w:t xml:space="preserve">The small-scale investment tax credit (KIA or investment tax credit) is intended to promote investments that are relatively small in scale. The level of the investment tax credit depends on the annual investment amount. Since 2010 this tax credit has not always been a percentage of the investment amount; a fixed ceiling has applied for some investment amounts. At present, the text of the Act incorporating the investment tax credit does not make sufficiently clear how it should be calculated in the case of a business that is run by means of a collaborative arrangement, such as a partnership or general partnership. </w:t>
      </w:r>
    </w:p>
    <w:p w14:paraId="50BBDB7F" w14:textId="77777777" w:rsidR="005C0CAF" w:rsidRPr="00BF3362" w:rsidRDefault="005C0CAF" w:rsidP="005C0CAF">
      <w:pPr>
        <w:rPr>
          <w:rFonts w:ascii="Arial" w:hAnsi="Arial" w:cs="Arial"/>
          <w:sz w:val="20"/>
          <w:szCs w:val="20"/>
        </w:rPr>
      </w:pPr>
    </w:p>
    <w:p w14:paraId="51E071F3" w14:textId="77777777" w:rsidR="005C0CAF" w:rsidRPr="00BF3362" w:rsidRDefault="005C0CAF" w:rsidP="005C0CAF">
      <w:pPr>
        <w:rPr>
          <w:rFonts w:ascii="Arial" w:hAnsi="Arial" w:cs="Arial"/>
          <w:sz w:val="20"/>
          <w:szCs w:val="20"/>
        </w:rPr>
      </w:pPr>
      <w:r w:rsidRPr="00BF3362">
        <w:rPr>
          <w:rFonts w:ascii="Arial" w:hAnsi="Arial"/>
          <w:sz w:val="20"/>
          <w:szCs w:val="20"/>
        </w:rPr>
        <w:t>This lack of clarity resulted in legal proceedings, in which the Supreme Court ultimately delivered a ruling. The Supreme Court ruled that, first of all, the amount of the investment tax credit must be calculated on the basis of the total amount of the investments. The entrepreneur is then entitled to a share of this investment tax credit in proportion to his/her share in the total investment amount.</w:t>
      </w:r>
    </w:p>
    <w:p w14:paraId="2A8056D0" w14:textId="77777777" w:rsidR="005C0CAF" w:rsidRPr="00BF3362" w:rsidRDefault="005C0CAF" w:rsidP="005C0CAF">
      <w:pPr>
        <w:rPr>
          <w:rFonts w:ascii="Arial" w:hAnsi="Arial" w:cs="Arial"/>
          <w:sz w:val="20"/>
          <w:szCs w:val="20"/>
        </w:rPr>
      </w:pPr>
    </w:p>
    <w:p w14:paraId="188F33BF" w14:textId="77777777" w:rsidR="005C0CAF" w:rsidRPr="00BF3362" w:rsidRDefault="005C0CAF" w:rsidP="005C0CAF">
      <w:pPr>
        <w:rPr>
          <w:rFonts w:ascii="Arial" w:hAnsi="Arial" w:cs="Arial"/>
          <w:sz w:val="20"/>
          <w:szCs w:val="20"/>
        </w:rPr>
      </w:pPr>
      <w:r w:rsidRPr="00BF3362">
        <w:rPr>
          <w:rFonts w:ascii="Arial" w:hAnsi="Arial"/>
          <w:sz w:val="20"/>
          <w:szCs w:val="20"/>
        </w:rPr>
        <w:t>However, the Supreme Court highlighted one exception to this calculation method. If the investment tax credit calculated on the basis of the total amount of the investments equals the fixed ceiling, the entrepreneur is entitled to this maximum amount. In such a case, therefore, there is no pro-rata recalculation of the investment tax credit. The government considers this to be undesirable and is changing the investment tax credit in such a way that the pro-rata recalculation will still take place. This is worked out in figures in the example below.</w:t>
      </w:r>
    </w:p>
    <w:p w14:paraId="48C0D31E" w14:textId="77777777" w:rsidR="005C0CAF" w:rsidRPr="00BF3362" w:rsidRDefault="005C0CAF" w:rsidP="005C0CAF">
      <w:pPr>
        <w:rPr>
          <w:rFonts w:ascii="Arial" w:hAnsi="Arial" w:cs="Arial"/>
          <w:sz w:val="20"/>
          <w:szCs w:val="20"/>
        </w:rPr>
      </w:pPr>
    </w:p>
    <w:p w14:paraId="28701099" w14:textId="77777777" w:rsidR="005C0CAF" w:rsidRPr="00BF3362" w:rsidRDefault="005C0CAF" w:rsidP="005C0CAF">
      <w:pPr>
        <w:rPr>
          <w:rFonts w:ascii="Arial" w:hAnsi="Arial" w:cs="Arial"/>
          <w:sz w:val="20"/>
          <w:szCs w:val="20"/>
        </w:rPr>
      </w:pPr>
      <w:r w:rsidRPr="00BF3362">
        <w:rPr>
          <w:rFonts w:ascii="Arial" w:hAnsi="Arial"/>
          <w:b/>
          <w:bCs/>
          <w:i/>
          <w:iCs/>
          <w:sz w:val="20"/>
          <w:szCs w:val="20"/>
        </w:rPr>
        <w:t>Example</w:t>
      </w:r>
    </w:p>
    <w:p w14:paraId="6E398A3B" w14:textId="77777777" w:rsidR="005C0CAF" w:rsidRPr="00BF3362" w:rsidRDefault="005C0CAF" w:rsidP="005C0CAF">
      <w:pPr>
        <w:spacing w:line="259" w:lineRule="auto"/>
        <w:rPr>
          <w:rFonts w:ascii="Arial" w:hAnsi="Arial" w:cs="Arial"/>
          <w:i/>
          <w:iCs/>
          <w:sz w:val="20"/>
          <w:szCs w:val="20"/>
        </w:rPr>
      </w:pPr>
      <w:r w:rsidRPr="00BF3362">
        <w:rPr>
          <w:rFonts w:ascii="Arial" w:hAnsi="Arial"/>
          <w:i/>
          <w:iCs/>
          <w:sz w:val="20"/>
          <w:szCs w:val="20"/>
        </w:rPr>
        <w:t>An entrepreneur belongs to a general partnership and is entitled to 50% of the surplus profit. He also has non-partnership assets. Over the course of a year the general partnership invested € 40,000. The entrepreneur therefore invested € 20,000 (50% of € 40,000) in the business. In addition, the entrepreneur invested € 60,000 in his non-partnership assets. The total investment amount is therefore € 100,000. The fixed ceiling of € 16,307 of investment tax credit applies. According to the Supreme Court’s ruling, the entrepreneur would be able to claim this amount in the form of investment tax credit. On the basis of the proposed change to the law, this amount will be recalculated as follows: (50% x € 40,000 + € 60,000) / € 100,000 x € 16,307 = € 13,046</w:t>
      </w:r>
    </w:p>
    <w:p w14:paraId="3078F2AB" w14:textId="77777777" w:rsidR="005C0CAF" w:rsidRPr="00BF3362" w:rsidRDefault="005C0CAF" w:rsidP="005C0CAF">
      <w:pPr>
        <w:rPr>
          <w:rFonts w:ascii="Arial" w:hAnsi="Arial" w:cs="Arial"/>
          <w:sz w:val="20"/>
          <w:szCs w:val="20"/>
        </w:rPr>
      </w:pPr>
    </w:p>
    <w:p w14:paraId="2B026011" w14:textId="77777777" w:rsidR="005C0CAF" w:rsidRPr="00BF3362" w:rsidRDefault="005C0CAF" w:rsidP="005C0CAF">
      <w:pPr>
        <w:rPr>
          <w:rFonts w:ascii="Arial" w:hAnsi="Arial" w:cs="Arial"/>
          <w:sz w:val="20"/>
          <w:szCs w:val="20"/>
        </w:rPr>
      </w:pPr>
      <w:r w:rsidRPr="00BF3362">
        <w:rPr>
          <w:rFonts w:ascii="Arial" w:hAnsi="Arial"/>
          <w:sz w:val="20"/>
          <w:szCs w:val="20"/>
        </w:rPr>
        <w:t xml:space="preserve">Lastly, the legislator has made clear that – contrary to the Supreme Court’s view – the investment tax credit must be calculated per </w:t>
      </w:r>
      <w:r w:rsidRPr="00BF3362">
        <w:rPr>
          <w:rFonts w:ascii="Arial" w:hAnsi="Arial"/>
          <w:i/>
          <w:iCs/>
          <w:sz w:val="20"/>
          <w:szCs w:val="20"/>
        </w:rPr>
        <w:t>business</w:t>
      </w:r>
      <w:r w:rsidRPr="00BF3362">
        <w:rPr>
          <w:rFonts w:ascii="Arial" w:hAnsi="Arial"/>
          <w:sz w:val="20"/>
          <w:szCs w:val="20"/>
        </w:rPr>
        <w:t xml:space="preserve"> and not per </w:t>
      </w:r>
      <w:r w:rsidRPr="00BF3362">
        <w:rPr>
          <w:rFonts w:ascii="Arial" w:hAnsi="Arial"/>
          <w:i/>
          <w:iCs/>
          <w:sz w:val="20"/>
          <w:szCs w:val="20"/>
        </w:rPr>
        <w:t>entrepreneur</w:t>
      </w:r>
      <w:r w:rsidRPr="00BF3362">
        <w:rPr>
          <w:rFonts w:ascii="Arial" w:hAnsi="Arial"/>
          <w:sz w:val="20"/>
          <w:szCs w:val="20"/>
        </w:rPr>
        <w:t>. This has consequences for an entrepreneur who runs more than one business. In figures, the proposed change to the law works out as follows:</w:t>
      </w:r>
    </w:p>
    <w:p w14:paraId="152C2CC4" w14:textId="77777777" w:rsidR="005C0CAF" w:rsidRPr="00BF3362" w:rsidRDefault="005C0CAF" w:rsidP="005C0CAF">
      <w:pPr>
        <w:rPr>
          <w:rFonts w:ascii="Arial" w:hAnsi="Arial" w:cs="Arial"/>
          <w:sz w:val="20"/>
          <w:szCs w:val="20"/>
        </w:rPr>
      </w:pPr>
    </w:p>
    <w:p w14:paraId="5ABE24B5" w14:textId="77777777" w:rsidR="005C0CAF" w:rsidRPr="00BF3362" w:rsidRDefault="005C0CAF" w:rsidP="005C0CAF">
      <w:pPr>
        <w:rPr>
          <w:rFonts w:ascii="Arial" w:hAnsi="Arial" w:cs="Arial"/>
          <w:sz w:val="20"/>
          <w:szCs w:val="20"/>
        </w:rPr>
      </w:pPr>
      <w:r w:rsidRPr="00BF3362">
        <w:rPr>
          <w:rFonts w:ascii="Arial" w:hAnsi="Arial"/>
          <w:b/>
          <w:bCs/>
          <w:i/>
          <w:iCs/>
          <w:sz w:val="20"/>
          <w:szCs w:val="20"/>
        </w:rPr>
        <w:t>Example</w:t>
      </w:r>
    </w:p>
    <w:p w14:paraId="4B9314DC" w14:textId="04988950" w:rsidR="005C0CAF" w:rsidRPr="00BF3362" w:rsidRDefault="005C0CAF" w:rsidP="005C0CAF">
      <w:pPr>
        <w:rPr>
          <w:rFonts w:ascii="Arial" w:hAnsi="Arial" w:cs="Arial"/>
          <w:i/>
          <w:iCs/>
          <w:sz w:val="20"/>
          <w:szCs w:val="20"/>
        </w:rPr>
      </w:pPr>
      <w:r w:rsidRPr="00BF3362">
        <w:rPr>
          <w:rFonts w:ascii="Arial" w:hAnsi="Arial"/>
          <w:i/>
          <w:iCs/>
          <w:sz w:val="20"/>
          <w:szCs w:val="20"/>
        </w:rPr>
        <w:t>An entrepreneur runs two businesses: a bicycle shop and a horse riding centre. Over the course of a year he invests € 40,000 in both businesses, resulting in a total investment amount of € 80,000. In this case, in the Supreme Court’s view, the investment tax credit would amount to the set ceiling of € 16,307. According to the legislator, the investment tax credit has to be determined per business. The investment tax credit per business is 28% x € 40,000 = € 11,200. In total, the entrepreneur can therefore claim 2 x € 11,200 = € 22,400 in the form of investment tax credit.</w:t>
      </w:r>
    </w:p>
    <w:p w14:paraId="7E2D7A24" w14:textId="77777777" w:rsidR="005C0CAF" w:rsidRPr="00BF3362" w:rsidRDefault="005C0CAF" w:rsidP="005C0CAF">
      <w:pPr>
        <w:rPr>
          <w:rFonts w:ascii="Arial" w:hAnsi="Arial" w:cs="Arial"/>
          <w:sz w:val="20"/>
          <w:szCs w:val="20"/>
        </w:rPr>
      </w:pPr>
    </w:p>
    <w:p w14:paraId="7CA752F4" w14:textId="77777777" w:rsidR="005C0CAF" w:rsidRPr="00BF3362" w:rsidRDefault="005C0CAF" w:rsidP="005C0CAF">
      <w:pPr>
        <w:shd w:val="clear" w:color="auto" w:fill="D9D9D9"/>
        <w:rPr>
          <w:rFonts w:ascii="Arial" w:hAnsi="Arial" w:cs="Arial"/>
          <w:b/>
          <w:bCs/>
          <w:sz w:val="20"/>
          <w:szCs w:val="20"/>
        </w:rPr>
      </w:pPr>
      <w:r w:rsidRPr="00BF3362">
        <w:rPr>
          <w:rFonts w:ascii="Arial" w:hAnsi="Arial"/>
          <w:b/>
          <w:bCs/>
          <w:sz w:val="20"/>
          <w:szCs w:val="20"/>
        </w:rPr>
        <w:t>Tip:</w:t>
      </w:r>
    </w:p>
    <w:p w14:paraId="0CE1CD81" w14:textId="578AA34B" w:rsidR="005C0CAF" w:rsidRPr="00BF3362" w:rsidRDefault="005C0CAF" w:rsidP="005C0CAF">
      <w:pPr>
        <w:shd w:val="clear" w:color="auto" w:fill="D9D9D9"/>
        <w:rPr>
          <w:rFonts w:ascii="Arial" w:hAnsi="Arial" w:cs="Arial"/>
          <w:b/>
          <w:bCs/>
          <w:sz w:val="20"/>
          <w:szCs w:val="20"/>
        </w:rPr>
      </w:pPr>
      <w:r w:rsidRPr="00BF3362">
        <w:rPr>
          <w:rFonts w:ascii="Arial" w:hAnsi="Arial"/>
          <w:sz w:val="20"/>
          <w:szCs w:val="20"/>
        </w:rPr>
        <w:t>Investing in your business or businesses can affect the level of the investment tax credit. This means it may be worthwhile to bring forward or postpone investments. You should therefore plan your investments carefully and get advice on how to proceed.</w:t>
      </w:r>
    </w:p>
    <w:p w14:paraId="64942558" w14:textId="77777777" w:rsidR="005C0CAF" w:rsidRPr="00BF3362" w:rsidRDefault="005C0CAF" w:rsidP="005C0CAF">
      <w:pPr>
        <w:rPr>
          <w:rFonts w:ascii="Arial" w:hAnsi="Arial" w:cs="Arial"/>
          <w:sz w:val="20"/>
          <w:szCs w:val="20"/>
        </w:rPr>
      </w:pPr>
    </w:p>
    <w:p w14:paraId="3663CD8D" w14:textId="3A264B42" w:rsidR="005C0CAF" w:rsidRPr="00BF3362" w:rsidRDefault="005C0CAF">
      <w:pPr>
        <w:rPr>
          <w:rFonts w:ascii="Arial" w:hAnsi="Arial" w:cs="Arial"/>
          <w:sz w:val="20"/>
          <w:szCs w:val="20"/>
        </w:rPr>
      </w:pPr>
      <w:r w:rsidRPr="00BF3362">
        <w:br w:type="page"/>
      </w:r>
    </w:p>
    <w:p w14:paraId="539886F0" w14:textId="3086C8A8" w:rsidR="00050EDD" w:rsidRPr="00BF3362" w:rsidRDefault="005C0CAF" w:rsidP="005C0CAF">
      <w:pPr>
        <w:pStyle w:val="Kop1"/>
        <w:jc w:val="both"/>
      </w:pPr>
      <w:bookmarkStart w:id="23" w:name="_Toc51752510"/>
      <w:r w:rsidRPr="00BF3362">
        <w:lastRenderedPageBreak/>
        <w:t>International</w:t>
      </w:r>
      <w:bookmarkEnd w:id="23"/>
    </w:p>
    <w:p w14:paraId="680D5558" w14:textId="77777777" w:rsidR="005C0CAF" w:rsidRPr="00BF3362" w:rsidRDefault="005C0CAF" w:rsidP="005C0CAF">
      <w:pPr>
        <w:rPr>
          <w:rFonts w:ascii="Arial" w:hAnsi="Arial" w:cs="Arial"/>
          <w:sz w:val="20"/>
          <w:szCs w:val="20"/>
        </w:rPr>
      </w:pPr>
    </w:p>
    <w:p w14:paraId="5983F187" w14:textId="0F47DADC" w:rsidR="005C0CAF" w:rsidRPr="00BF3362" w:rsidRDefault="005C0CAF" w:rsidP="005C0CAF">
      <w:pPr>
        <w:rPr>
          <w:rFonts w:ascii="Arial" w:hAnsi="Arial" w:cs="Arial"/>
          <w:sz w:val="20"/>
          <w:szCs w:val="20"/>
        </w:rPr>
      </w:pPr>
      <w:r w:rsidRPr="00BF3362">
        <w:rPr>
          <w:rFonts w:ascii="Arial" w:hAnsi="Arial"/>
          <w:sz w:val="20"/>
          <w:szCs w:val="20"/>
        </w:rPr>
        <w:t>In some cases the new tax measures proposed in the Dutch Budget Memorandum and 2021 Tax Plan also affect the tax burden on international companies (or companies’ international activities). It is therefore worth taking note of the proposals.</w:t>
      </w:r>
    </w:p>
    <w:p w14:paraId="52A3ED0F" w14:textId="77777777" w:rsidR="005C0CAF" w:rsidRPr="00BF3362" w:rsidRDefault="005C0CAF" w:rsidP="005C0CAF">
      <w:pPr>
        <w:rPr>
          <w:rFonts w:ascii="Arial" w:hAnsi="Arial" w:cs="Arial"/>
          <w:sz w:val="20"/>
          <w:szCs w:val="20"/>
        </w:rPr>
      </w:pPr>
    </w:p>
    <w:p w14:paraId="35D5B6DD" w14:textId="77777777" w:rsidR="005C0CAF" w:rsidRPr="00BF3362" w:rsidRDefault="005C0CAF" w:rsidP="005C0CAF">
      <w:pPr>
        <w:pStyle w:val="Kop2"/>
        <w:numPr>
          <w:ilvl w:val="0"/>
          <w:numId w:val="0"/>
        </w:numPr>
        <w:ind w:left="576" w:hanging="576"/>
        <w:rPr>
          <w:sz w:val="20"/>
          <w:szCs w:val="18"/>
        </w:rPr>
      </w:pPr>
      <w:bookmarkStart w:id="24" w:name="_Toc51752511"/>
      <w:r w:rsidRPr="00BF3362">
        <w:rPr>
          <w:sz w:val="20"/>
          <w:szCs w:val="18"/>
        </w:rPr>
        <w:t>Restriction of interest relief on loans from related persons to be expanded</w:t>
      </w:r>
      <w:bookmarkEnd w:id="24"/>
    </w:p>
    <w:p w14:paraId="62D5088F" w14:textId="2FC41DA4" w:rsidR="005C0CAF" w:rsidRPr="00BF3362" w:rsidRDefault="005C0CAF" w:rsidP="005C0CAF">
      <w:pPr>
        <w:contextualSpacing/>
        <w:rPr>
          <w:rFonts w:ascii="Arial" w:hAnsi="Arial" w:cs="Arial"/>
          <w:sz w:val="20"/>
          <w:szCs w:val="20"/>
        </w:rPr>
      </w:pPr>
      <w:r w:rsidRPr="00BF3362">
        <w:rPr>
          <w:rFonts w:ascii="Arial" w:hAnsi="Arial"/>
          <w:sz w:val="20"/>
          <w:szCs w:val="20"/>
        </w:rPr>
        <w:t xml:space="preserve">If a company receives a loan from a related entity or a related natural person (such as a shareholder), under certain circumstances the interest payable on it is not deductible. Such debts with non-deductible interest are known as ‘qualifying debts’. </w:t>
      </w:r>
    </w:p>
    <w:p w14:paraId="11B1ECE8" w14:textId="77777777" w:rsidR="005C0CAF" w:rsidRPr="00BF3362" w:rsidRDefault="005C0CAF" w:rsidP="005C0CAF">
      <w:pPr>
        <w:contextualSpacing/>
        <w:rPr>
          <w:rFonts w:ascii="Arial" w:hAnsi="Arial" w:cs="Arial"/>
          <w:sz w:val="20"/>
          <w:szCs w:val="20"/>
        </w:rPr>
      </w:pPr>
    </w:p>
    <w:p w14:paraId="21B652B5" w14:textId="77777777" w:rsidR="005C0CAF" w:rsidRPr="00BF3362" w:rsidRDefault="005C0CAF" w:rsidP="005C0CAF">
      <w:pPr>
        <w:contextualSpacing/>
        <w:rPr>
          <w:rFonts w:ascii="Arial" w:hAnsi="Arial" w:cs="Arial"/>
          <w:sz w:val="20"/>
          <w:szCs w:val="20"/>
        </w:rPr>
      </w:pPr>
      <w:r w:rsidRPr="00BF3362">
        <w:rPr>
          <w:rFonts w:ascii="Arial" w:hAnsi="Arial"/>
          <w:sz w:val="20"/>
          <w:szCs w:val="20"/>
        </w:rPr>
        <w:t>There are two situations in which interest can be deducted:</w:t>
      </w:r>
    </w:p>
    <w:p w14:paraId="6A8FADC9" w14:textId="77777777" w:rsidR="005C0CAF" w:rsidRPr="00BF3362" w:rsidRDefault="005C0CAF" w:rsidP="005C0CAF">
      <w:pPr>
        <w:numPr>
          <w:ilvl w:val="0"/>
          <w:numId w:val="14"/>
        </w:numPr>
        <w:ind w:left="567" w:hanging="207"/>
        <w:contextualSpacing/>
        <w:rPr>
          <w:rFonts w:ascii="Arial" w:hAnsi="Arial" w:cs="Arial"/>
          <w:sz w:val="20"/>
          <w:szCs w:val="20"/>
        </w:rPr>
      </w:pPr>
      <w:r w:rsidRPr="00BF3362">
        <w:rPr>
          <w:rFonts w:ascii="Arial" w:hAnsi="Arial"/>
          <w:sz w:val="20"/>
          <w:szCs w:val="20"/>
        </w:rPr>
        <w:t>if the borrowing company can demonstrate that the debt was entered into on commercial terms.</w:t>
      </w:r>
    </w:p>
    <w:p w14:paraId="250AF587" w14:textId="77777777" w:rsidR="005C0CAF" w:rsidRPr="00BF3362" w:rsidRDefault="005C0CAF" w:rsidP="005C0CAF">
      <w:pPr>
        <w:numPr>
          <w:ilvl w:val="0"/>
          <w:numId w:val="14"/>
        </w:numPr>
        <w:ind w:left="567" w:hanging="207"/>
        <w:contextualSpacing/>
        <w:rPr>
          <w:rFonts w:ascii="Arial" w:hAnsi="Arial" w:cs="Arial"/>
          <w:sz w:val="20"/>
          <w:szCs w:val="20"/>
        </w:rPr>
      </w:pPr>
      <w:r w:rsidRPr="00BF3362">
        <w:rPr>
          <w:rFonts w:ascii="Arial" w:hAnsi="Arial"/>
          <w:sz w:val="20"/>
          <w:szCs w:val="20"/>
        </w:rPr>
        <w:t xml:space="preserve">if the recipient of the interest pays tax of at least 10% on the interest paid and the interest is not used to offset losses or for other claims for reduced taxation. Costs and exchange results relating to the loan also fall under ‘interest’. </w:t>
      </w:r>
    </w:p>
    <w:p w14:paraId="3079F909" w14:textId="77777777" w:rsidR="005C0CAF" w:rsidRPr="00BF3362" w:rsidRDefault="005C0CAF" w:rsidP="005C0CAF">
      <w:pPr>
        <w:contextualSpacing/>
        <w:rPr>
          <w:rFonts w:ascii="Arial" w:hAnsi="Arial" w:cs="Arial"/>
          <w:sz w:val="20"/>
          <w:szCs w:val="20"/>
        </w:rPr>
      </w:pPr>
    </w:p>
    <w:p w14:paraId="5253A290" w14:textId="77777777" w:rsidR="005C0CAF" w:rsidRPr="00BF3362" w:rsidRDefault="005C0CAF" w:rsidP="005C0CAF">
      <w:pPr>
        <w:contextualSpacing/>
        <w:rPr>
          <w:rFonts w:ascii="Arial" w:hAnsi="Arial" w:cs="Arial"/>
          <w:sz w:val="20"/>
          <w:szCs w:val="20"/>
        </w:rPr>
      </w:pPr>
      <w:r w:rsidRPr="00BF3362">
        <w:rPr>
          <w:rFonts w:ascii="Arial" w:hAnsi="Arial"/>
          <w:sz w:val="20"/>
          <w:szCs w:val="20"/>
        </w:rPr>
        <w:t xml:space="preserve">At present, to determine the level of the excluded interest, all qualifying debts are added together. Interest paid and exchange losses result in a lower profit, while interest received and exchange gains result in a higher profit. If the interest received is higher than the interest paid, this increases the profit. This is the case, for example, if the exchange gain on loan 1 exceeds the interest payable on loans 1 and 2 together. If the deduction of interest is excluded in this case, the company would actually have an exemption for the positive balance. </w:t>
      </w:r>
    </w:p>
    <w:p w14:paraId="6D905569" w14:textId="77777777" w:rsidR="005C0CAF" w:rsidRPr="00BF3362" w:rsidRDefault="005C0CAF" w:rsidP="005C0CAF">
      <w:pPr>
        <w:contextualSpacing/>
        <w:rPr>
          <w:rFonts w:ascii="Arial" w:hAnsi="Arial" w:cs="Arial"/>
          <w:sz w:val="20"/>
          <w:szCs w:val="20"/>
        </w:rPr>
      </w:pPr>
    </w:p>
    <w:p w14:paraId="55299AF3" w14:textId="6EB30EB6" w:rsidR="005C0CAF" w:rsidRPr="00BF3362" w:rsidRDefault="005C0CAF" w:rsidP="005C0CAF">
      <w:pPr>
        <w:contextualSpacing/>
        <w:rPr>
          <w:rFonts w:ascii="Arial" w:hAnsi="Arial" w:cs="Arial"/>
          <w:sz w:val="20"/>
          <w:szCs w:val="20"/>
        </w:rPr>
      </w:pPr>
      <w:r w:rsidRPr="00BF3362">
        <w:rPr>
          <w:rFonts w:ascii="Arial" w:hAnsi="Arial"/>
          <w:sz w:val="20"/>
          <w:szCs w:val="20"/>
        </w:rPr>
        <w:t>Under the current legislative proposal it is no longer possible for the restriction of interest relief on the basis of the Corporation Tax Act to result in a lower profit. For each qualifying debt it is necessary to assess whether excluding interest relief results in a lower profit. If the balance of the qualifying debt is positive, no restriction of interest relief applies to this debt and it is therefore left out of the calculation of the combined balance of all qualifying debts. The exemption for the positive balance therefore ceases to apply.</w:t>
      </w:r>
    </w:p>
    <w:p w14:paraId="664845C4" w14:textId="77777777" w:rsidR="005C0CAF" w:rsidRPr="00BF3362" w:rsidRDefault="005C0CAF" w:rsidP="005C0CAF">
      <w:pPr>
        <w:contextualSpacing/>
        <w:rPr>
          <w:rFonts w:ascii="Arial" w:hAnsi="Arial" w:cs="Arial"/>
          <w:sz w:val="20"/>
          <w:szCs w:val="20"/>
        </w:rPr>
      </w:pPr>
    </w:p>
    <w:p w14:paraId="382A3538" w14:textId="77777777" w:rsidR="005C0CAF" w:rsidRPr="00BF3362" w:rsidRDefault="005C0CAF" w:rsidP="005C0CAF">
      <w:pPr>
        <w:pStyle w:val="Kop2"/>
        <w:numPr>
          <w:ilvl w:val="0"/>
          <w:numId w:val="0"/>
        </w:numPr>
        <w:ind w:left="576" w:hanging="576"/>
        <w:rPr>
          <w:sz w:val="20"/>
          <w:szCs w:val="18"/>
        </w:rPr>
      </w:pPr>
      <w:bookmarkStart w:id="25" w:name="_Toc51752512"/>
      <w:r w:rsidRPr="00BF3362">
        <w:rPr>
          <w:sz w:val="20"/>
          <w:szCs w:val="18"/>
        </w:rPr>
        <w:t>Offsetting of advance corporation tax</w:t>
      </w:r>
      <w:bookmarkEnd w:id="25"/>
      <w:r w:rsidRPr="00BF3362">
        <w:rPr>
          <w:sz w:val="20"/>
          <w:szCs w:val="18"/>
        </w:rPr>
        <w:t xml:space="preserve"> </w:t>
      </w:r>
    </w:p>
    <w:p w14:paraId="4648701F" w14:textId="77777777" w:rsidR="005C0CAF" w:rsidRPr="00BF3362" w:rsidRDefault="005C0CAF" w:rsidP="005C0CAF">
      <w:pPr>
        <w:contextualSpacing/>
        <w:rPr>
          <w:rFonts w:ascii="Arial" w:hAnsi="Arial" w:cs="Arial"/>
          <w:sz w:val="20"/>
          <w:szCs w:val="20"/>
        </w:rPr>
      </w:pPr>
      <w:r w:rsidRPr="00BF3362">
        <w:rPr>
          <w:rFonts w:ascii="Arial" w:hAnsi="Arial"/>
          <w:sz w:val="20"/>
          <w:szCs w:val="20"/>
        </w:rPr>
        <w:t xml:space="preserve">Dividend tax and gambling tax are forms of advance corporation tax. You can offset these against the corporation tax payable on your corporation tax return. If your taxable profit is zero or negative, the dividend and/or gambling tax paid will be refunded to you. </w:t>
      </w:r>
    </w:p>
    <w:p w14:paraId="640239BD" w14:textId="77777777" w:rsidR="005C0CAF" w:rsidRPr="00BF3362" w:rsidRDefault="005C0CAF" w:rsidP="005C0CAF">
      <w:pPr>
        <w:contextualSpacing/>
        <w:rPr>
          <w:rFonts w:ascii="Arial" w:hAnsi="Arial" w:cs="Arial"/>
          <w:sz w:val="20"/>
          <w:szCs w:val="20"/>
        </w:rPr>
      </w:pPr>
    </w:p>
    <w:p w14:paraId="446DF7C1" w14:textId="77777777" w:rsidR="005C0CAF" w:rsidRPr="00BF3362" w:rsidRDefault="005C0CAF" w:rsidP="005C0CAF">
      <w:pPr>
        <w:contextualSpacing/>
        <w:rPr>
          <w:rFonts w:ascii="Arial" w:hAnsi="Arial" w:cs="Arial"/>
          <w:sz w:val="20"/>
          <w:szCs w:val="20"/>
        </w:rPr>
      </w:pPr>
      <w:r w:rsidRPr="00BF3362">
        <w:rPr>
          <w:rFonts w:ascii="Arial" w:hAnsi="Arial"/>
          <w:sz w:val="20"/>
          <w:szCs w:val="20"/>
        </w:rPr>
        <w:t>On the basis of recent European case-law, failure to refund Dutch dividend and gambling tax to foreign companies may be in breach of European law. That is because foreign entities that are not subject to corporation tax in the Netherlands, but do have to pay Dutch dividend or gambling tax, are not able to offset or reclaim these taxes.</w:t>
      </w:r>
    </w:p>
    <w:p w14:paraId="49C676C3" w14:textId="77777777" w:rsidR="005C0CAF" w:rsidRPr="00BF3362" w:rsidRDefault="005C0CAF" w:rsidP="005C0CAF">
      <w:pPr>
        <w:contextualSpacing/>
        <w:rPr>
          <w:rFonts w:ascii="Arial" w:hAnsi="Arial" w:cs="Arial"/>
          <w:sz w:val="20"/>
          <w:szCs w:val="20"/>
        </w:rPr>
      </w:pPr>
    </w:p>
    <w:p w14:paraId="5DC6F3E6" w14:textId="77777777" w:rsidR="005C0CAF" w:rsidRPr="00BF3362" w:rsidRDefault="005C0CAF" w:rsidP="005C0CAF">
      <w:pPr>
        <w:contextualSpacing/>
        <w:rPr>
          <w:rFonts w:ascii="Arial" w:hAnsi="Arial" w:cs="Arial"/>
          <w:sz w:val="20"/>
          <w:szCs w:val="20"/>
        </w:rPr>
      </w:pPr>
      <w:r w:rsidRPr="00BF3362">
        <w:rPr>
          <w:rFonts w:ascii="Arial" w:hAnsi="Arial"/>
          <w:sz w:val="20"/>
          <w:szCs w:val="20"/>
        </w:rPr>
        <w:t xml:space="preserve">For this reason, from 1 January 2022 the government wants the offsetting of dividend and gambling tax to be limited, in the case of Dutch companies, to the corporation tax owed. It will then no longer be possible to have these taxes refunded. </w:t>
      </w:r>
    </w:p>
    <w:p w14:paraId="3487AF53" w14:textId="77777777" w:rsidR="005C0CAF" w:rsidRPr="00BF3362" w:rsidRDefault="005C0CAF" w:rsidP="005C0CAF">
      <w:pPr>
        <w:contextualSpacing/>
        <w:rPr>
          <w:rFonts w:ascii="Arial" w:hAnsi="Arial" w:cs="Arial"/>
          <w:sz w:val="20"/>
          <w:szCs w:val="20"/>
        </w:rPr>
      </w:pPr>
    </w:p>
    <w:p w14:paraId="0D737C9A" w14:textId="65284790" w:rsidR="005C0CAF" w:rsidRPr="00BF3362" w:rsidRDefault="005C0CAF" w:rsidP="005C0CAF">
      <w:pPr>
        <w:contextualSpacing/>
        <w:rPr>
          <w:rFonts w:ascii="Arial" w:hAnsi="Arial" w:cs="Arial"/>
          <w:sz w:val="20"/>
          <w:szCs w:val="20"/>
        </w:rPr>
      </w:pPr>
      <w:r w:rsidRPr="00BF3362">
        <w:rPr>
          <w:rFonts w:ascii="Arial" w:hAnsi="Arial"/>
          <w:sz w:val="20"/>
          <w:szCs w:val="20"/>
        </w:rPr>
        <w:t>To prevent a potential conflict with EU law, a policy decision will be published shortly approving the entitlement of foreign entities to a refund of dividend and gambling tax, under certain conditions. This policy decision will be valid until the Act is amended in 2022.</w:t>
      </w:r>
    </w:p>
    <w:p w14:paraId="1458FB9F" w14:textId="77777777" w:rsidR="005C0CAF" w:rsidRPr="00BF3362" w:rsidRDefault="005C0CAF" w:rsidP="005C0CAF">
      <w:pPr>
        <w:rPr>
          <w:rFonts w:ascii="Arial" w:hAnsi="Arial" w:cs="Arial"/>
          <w:sz w:val="20"/>
          <w:szCs w:val="20"/>
        </w:rPr>
      </w:pPr>
    </w:p>
    <w:p w14:paraId="34B9CB12" w14:textId="77777777" w:rsidR="005C0CAF" w:rsidRPr="00BF3362" w:rsidRDefault="005C0CAF" w:rsidP="005C0CAF">
      <w:pPr>
        <w:shd w:val="clear" w:color="auto" w:fill="D9D9D9"/>
        <w:rPr>
          <w:rFonts w:ascii="Arial" w:hAnsi="Arial" w:cs="Arial"/>
          <w:b/>
          <w:bCs/>
          <w:sz w:val="20"/>
          <w:szCs w:val="20"/>
        </w:rPr>
      </w:pPr>
      <w:r w:rsidRPr="00BF3362">
        <w:rPr>
          <w:rFonts w:ascii="Arial" w:hAnsi="Arial"/>
          <w:b/>
          <w:bCs/>
          <w:sz w:val="20"/>
          <w:szCs w:val="20"/>
        </w:rPr>
        <w:t>Please note:</w:t>
      </w:r>
    </w:p>
    <w:p w14:paraId="56B02FE1" w14:textId="41175587" w:rsidR="005C0CAF" w:rsidRPr="00BF3362" w:rsidRDefault="005C0CAF" w:rsidP="005C0CAF">
      <w:pPr>
        <w:shd w:val="clear" w:color="auto" w:fill="D9D9D9"/>
        <w:rPr>
          <w:rFonts w:ascii="Arial" w:hAnsi="Arial" w:cs="Arial"/>
          <w:sz w:val="20"/>
          <w:szCs w:val="20"/>
        </w:rPr>
      </w:pPr>
      <w:r w:rsidRPr="00BF3362">
        <w:rPr>
          <w:rFonts w:ascii="Arial" w:hAnsi="Arial"/>
          <w:sz w:val="20"/>
          <w:szCs w:val="20"/>
        </w:rPr>
        <w:t>Is a foreign entity (e.g. within your group) not subject to corporation tax in the Netherlands, but has it paid dividend and/or gambling tax in the Netherlands in 2020 or previous years? If so, ask your advisor to request a refund of these taxes on your behalf.</w:t>
      </w:r>
    </w:p>
    <w:p w14:paraId="3738F01D" w14:textId="77777777" w:rsidR="005C0CAF" w:rsidRPr="00BF3362" w:rsidRDefault="005C0CAF" w:rsidP="005C0CAF">
      <w:pPr>
        <w:contextualSpacing/>
        <w:rPr>
          <w:rFonts w:ascii="Arial" w:hAnsi="Arial" w:cs="Arial"/>
          <w:sz w:val="20"/>
          <w:szCs w:val="20"/>
        </w:rPr>
      </w:pPr>
    </w:p>
    <w:p w14:paraId="4029A95F" w14:textId="63D5E4F5" w:rsidR="005C0CAF" w:rsidRPr="00BF3362" w:rsidRDefault="005C0CAF" w:rsidP="005C0CAF">
      <w:pPr>
        <w:pStyle w:val="Kop2"/>
        <w:numPr>
          <w:ilvl w:val="0"/>
          <w:numId w:val="0"/>
        </w:numPr>
        <w:ind w:left="576" w:hanging="576"/>
        <w:rPr>
          <w:sz w:val="20"/>
          <w:szCs w:val="18"/>
        </w:rPr>
      </w:pPr>
      <w:bookmarkStart w:id="26" w:name="_Toc51752513"/>
      <w:r w:rsidRPr="00BF3362">
        <w:rPr>
          <w:sz w:val="20"/>
          <w:szCs w:val="18"/>
        </w:rPr>
        <w:t>Change to arm’s length principle to tackle informal capital structures</w:t>
      </w:r>
      <w:bookmarkEnd w:id="26"/>
    </w:p>
    <w:p w14:paraId="19538B2A" w14:textId="77777777" w:rsidR="005C0CAF" w:rsidRPr="00BF3362" w:rsidRDefault="005C0CAF" w:rsidP="005C0CAF">
      <w:pPr>
        <w:contextualSpacing/>
        <w:rPr>
          <w:rFonts w:ascii="Arial" w:hAnsi="Arial" w:cs="Arial"/>
          <w:sz w:val="20"/>
          <w:szCs w:val="20"/>
        </w:rPr>
      </w:pPr>
      <w:r w:rsidRPr="00BF3362">
        <w:rPr>
          <w:rFonts w:ascii="Arial" w:hAnsi="Arial"/>
          <w:sz w:val="20"/>
          <w:szCs w:val="20"/>
        </w:rPr>
        <w:t xml:space="preserve">Companies that do business with each other within the same group must conduct these transactions on commercial terms that would be employed by independent third parties. Here we are talking about </w:t>
      </w:r>
      <w:r w:rsidRPr="00BF3362">
        <w:rPr>
          <w:rFonts w:ascii="Arial" w:hAnsi="Arial"/>
          <w:sz w:val="20"/>
          <w:szCs w:val="20"/>
        </w:rPr>
        <w:lastRenderedPageBreak/>
        <w:t>a commercial interest rate on a loan between companies or a commercial (transfer) price for products purchased, for example. This is referred to as the arm’s length principle.</w:t>
      </w:r>
    </w:p>
    <w:p w14:paraId="350E8215" w14:textId="77777777" w:rsidR="005C0CAF" w:rsidRPr="00BF3362" w:rsidRDefault="005C0CAF" w:rsidP="005C0CAF">
      <w:pPr>
        <w:contextualSpacing/>
        <w:rPr>
          <w:rFonts w:ascii="Arial" w:hAnsi="Arial" w:cs="Arial"/>
          <w:sz w:val="20"/>
          <w:szCs w:val="20"/>
        </w:rPr>
      </w:pPr>
    </w:p>
    <w:p w14:paraId="08A11F79" w14:textId="3310FFB6" w:rsidR="005C0CAF" w:rsidRPr="00BF3362" w:rsidRDefault="005C0CAF" w:rsidP="005C0CAF">
      <w:pPr>
        <w:contextualSpacing/>
        <w:rPr>
          <w:rFonts w:ascii="Arial" w:hAnsi="Arial" w:cs="Arial"/>
          <w:sz w:val="20"/>
          <w:szCs w:val="20"/>
        </w:rPr>
      </w:pPr>
      <w:r w:rsidRPr="00BF3362">
        <w:rPr>
          <w:rFonts w:ascii="Arial" w:hAnsi="Arial"/>
          <w:sz w:val="20"/>
          <w:szCs w:val="20"/>
        </w:rPr>
        <w:t xml:space="preserve">In international contexts in particular the arm’s length principle is important to prevent profit shifting to countries with low corporation tax rates. The Netherlands is planning to tighten up the arm’s length principle to tackle informal capital structures. A separate legislative proposal on this matter will be published by the government in the spring of 2021. </w:t>
      </w:r>
    </w:p>
    <w:p w14:paraId="2E2EC521" w14:textId="77777777" w:rsidR="005C0CAF" w:rsidRPr="00BF3362" w:rsidRDefault="005C0CAF" w:rsidP="005C0CAF">
      <w:pPr>
        <w:contextualSpacing/>
        <w:rPr>
          <w:rFonts w:ascii="Arial" w:hAnsi="Arial" w:cs="Arial"/>
          <w:sz w:val="20"/>
          <w:szCs w:val="20"/>
        </w:rPr>
      </w:pPr>
    </w:p>
    <w:p w14:paraId="28410F25" w14:textId="77777777" w:rsidR="005C0CAF" w:rsidRPr="00BF3362" w:rsidRDefault="005C0CAF" w:rsidP="005C0CAF">
      <w:pPr>
        <w:pStyle w:val="Kop2"/>
        <w:numPr>
          <w:ilvl w:val="0"/>
          <w:numId w:val="0"/>
        </w:numPr>
        <w:ind w:left="576" w:hanging="576"/>
        <w:rPr>
          <w:sz w:val="20"/>
          <w:szCs w:val="18"/>
        </w:rPr>
      </w:pPr>
      <w:bookmarkStart w:id="27" w:name="_Toc51752514"/>
      <w:r w:rsidRPr="00BF3362">
        <w:rPr>
          <w:sz w:val="20"/>
          <w:szCs w:val="18"/>
        </w:rPr>
        <w:t>Conditional Withholding Tax on Dividends Act</w:t>
      </w:r>
      <w:bookmarkEnd w:id="27"/>
    </w:p>
    <w:p w14:paraId="62EEBC08" w14:textId="77777777" w:rsidR="005C0CAF" w:rsidRPr="00BF3362" w:rsidRDefault="005C0CAF" w:rsidP="005C0CAF">
      <w:pPr>
        <w:rPr>
          <w:rFonts w:ascii="Arial" w:hAnsi="Arial" w:cs="Arial"/>
          <w:sz w:val="20"/>
          <w:szCs w:val="20"/>
        </w:rPr>
      </w:pPr>
      <w:r w:rsidRPr="00BF3362">
        <w:rPr>
          <w:rFonts w:ascii="Arial" w:hAnsi="Arial"/>
          <w:sz w:val="20"/>
          <w:szCs w:val="20"/>
        </w:rPr>
        <w:t>The Withholding Tax Act 2021 will apply from 1 January 2021. This will be supplemented by the ‘Conditional Withholding Tax on Dividends Act’, which will enter into force from 1 January 2024. Alongside the existing dividend tax, which the government has now definitively decided not to abolish, from 2024 the Netherlands will deduct a withholding tax on dividends paid out within a group to low-tax jurisdictions. A legislative proposal on this matter will also be published in the spring of 2021.</w:t>
      </w:r>
    </w:p>
    <w:p w14:paraId="7BB06495" w14:textId="77777777" w:rsidR="005C0CAF" w:rsidRPr="00BF3362" w:rsidRDefault="005C0CAF" w:rsidP="005C0CAF">
      <w:pPr>
        <w:rPr>
          <w:rFonts w:ascii="Arial" w:hAnsi="Arial" w:cs="Arial"/>
          <w:sz w:val="20"/>
          <w:szCs w:val="20"/>
        </w:rPr>
      </w:pPr>
    </w:p>
    <w:p w14:paraId="390F94A0" w14:textId="77777777" w:rsidR="005C0CAF" w:rsidRPr="00BF3362" w:rsidRDefault="005C0CAF" w:rsidP="005C0CAF">
      <w:pPr>
        <w:pStyle w:val="Kop2"/>
        <w:numPr>
          <w:ilvl w:val="0"/>
          <w:numId w:val="0"/>
        </w:numPr>
        <w:ind w:left="576" w:hanging="576"/>
        <w:rPr>
          <w:sz w:val="20"/>
          <w:szCs w:val="18"/>
        </w:rPr>
      </w:pPr>
      <w:bookmarkStart w:id="28" w:name="_Toc51752515"/>
      <w:r w:rsidRPr="00BF3362">
        <w:rPr>
          <w:sz w:val="20"/>
          <w:szCs w:val="18"/>
        </w:rPr>
        <w:t>Introduction of Withholding Tax Act 2021</w:t>
      </w:r>
      <w:bookmarkEnd w:id="28"/>
      <w:r w:rsidRPr="00BF3362">
        <w:rPr>
          <w:sz w:val="20"/>
          <w:szCs w:val="18"/>
        </w:rPr>
        <w:t xml:space="preserve"> </w:t>
      </w:r>
    </w:p>
    <w:p w14:paraId="25C59891" w14:textId="77777777" w:rsidR="005C0CAF" w:rsidRPr="00BF3362" w:rsidRDefault="005C0CAF" w:rsidP="005C0CAF">
      <w:pPr>
        <w:rPr>
          <w:rFonts w:ascii="Arial" w:hAnsi="Arial" w:cs="Arial"/>
          <w:sz w:val="20"/>
          <w:szCs w:val="20"/>
        </w:rPr>
      </w:pPr>
      <w:r w:rsidRPr="00BF3362">
        <w:rPr>
          <w:rFonts w:ascii="Arial" w:hAnsi="Arial"/>
          <w:sz w:val="20"/>
          <w:szCs w:val="20"/>
        </w:rPr>
        <w:t xml:space="preserve">At present the Netherlands does not levy any withholding tax on outgoing interest and royalty flows. As a result, Dutch companies can be used as a conduit to low-tax jurisdictions. The government intends to counter this form of tax avoidance with the proposed introduction of the ‘Withholding Tax Act 2021’.  </w:t>
      </w:r>
    </w:p>
    <w:p w14:paraId="287AAF5F" w14:textId="77777777" w:rsidR="005C0CAF" w:rsidRPr="00BF3362" w:rsidRDefault="005C0CAF" w:rsidP="005C0CAF">
      <w:pPr>
        <w:rPr>
          <w:rFonts w:ascii="Arial" w:hAnsi="Arial" w:cs="Arial"/>
          <w:sz w:val="20"/>
          <w:szCs w:val="20"/>
        </w:rPr>
      </w:pPr>
    </w:p>
    <w:p w14:paraId="05A687F0" w14:textId="77777777" w:rsidR="005C0CAF" w:rsidRPr="00BF3362" w:rsidRDefault="005C0CAF" w:rsidP="005C0CAF">
      <w:pPr>
        <w:rPr>
          <w:rFonts w:ascii="Arial" w:hAnsi="Arial" w:cs="Arial"/>
          <w:sz w:val="20"/>
          <w:szCs w:val="20"/>
        </w:rPr>
      </w:pPr>
      <w:r w:rsidRPr="00BF3362">
        <w:rPr>
          <w:rFonts w:ascii="Arial" w:hAnsi="Arial"/>
          <w:sz w:val="20"/>
          <w:szCs w:val="20"/>
        </w:rPr>
        <w:t xml:space="preserve">If a company is based in a low-tax jurisdiction and receives interest or royalties from an affiliated Dutch party, the receiving company is subject to tax under the Withholding Tax Act 2021. A country is regarded as a low-tax jurisdiction if its tax on profits is lower than 9% of if the country is on the current EU list of non-cooperative jurisdictions for tax purposes.  </w:t>
      </w:r>
    </w:p>
    <w:p w14:paraId="60B9AD0B" w14:textId="77777777" w:rsidR="005C0CAF" w:rsidRPr="00BF3362" w:rsidRDefault="005C0CAF" w:rsidP="005C0CAF">
      <w:pPr>
        <w:rPr>
          <w:rFonts w:ascii="Arial" w:hAnsi="Arial" w:cs="Arial"/>
          <w:sz w:val="20"/>
          <w:szCs w:val="20"/>
        </w:rPr>
      </w:pPr>
    </w:p>
    <w:p w14:paraId="4E307B4D" w14:textId="77777777" w:rsidR="005C0CAF" w:rsidRPr="00BF3362" w:rsidRDefault="005C0CAF" w:rsidP="005C0CAF">
      <w:pPr>
        <w:rPr>
          <w:rFonts w:ascii="Arial" w:hAnsi="Arial" w:cs="Arial"/>
          <w:sz w:val="20"/>
          <w:szCs w:val="20"/>
        </w:rPr>
      </w:pPr>
      <w:r w:rsidRPr="00BF3362">
        <w:rPr>
          <w:rFonts w:ascii="Arial" w:hAnsi="Arial"/>
          <w:sz w:val="20"/>
          <w:szCs w:val="20"/>
        </w:rPr>
        <w:t xml:space="preserve">The rate of the withholding tax will be the highest applicable corporation tax rate: 25% from 2021. </w:t>
      </w:r>
    </w:p>
    <w:p w14:paraId="34F71FED" w14:textId="77777777" w:rsidR="005C0CAF" w:rsidRPr="00BF3362" w:rsidRDefault="005C0CAF" w:rsidP="005C0CAF">
      <w:pPr>
        <w:rPr>
          <w:rFonts w:ascii="Arial" w:hAnsi="Arial" w:cs="Arial"/>
          <w:sz w:val="20"/>
          <w:szCs w:val="20"/>
        </w:rPr>
      </w:pPr>
    </w:p>
    <w:p w14:paraId="0790909B" w14:textId="254B3B35" w:rsidR="005C0CAF" w:rsidRPr="00BF3362" w:rsidRDefault="005C0CAF" w:rsidP="005C0CAF">
      <w:pPr>
        <w:rPr>
          <w:rFonts w:ascii="Arial" w:hAnsi="Arial" w:cs="Arial"/>
          <w:sz w:val="20"/>
          <w:szCs w:val="20"/>
        </w:rPr>
      </w:pPr>
      <w:r w:rsidRPr="00BF3362">
        <w:rPr>
          <w:rFonts w:ascii="Arial" w:hAnsi="Arial"/>
          <w:sz w:val="20"/>
          <w:szCs w:val="20"/>
        </w:rPr>
        <w:t>The company with a qualifying holding in the low-taxed subsidiary is the withholding entity for withholding tax purposes. From 1 January 2021 it must declare the interest and royalties paid to this subsidiary and pay over the withholding tax (by no later than 31 January 2022 for interest and royalties paid in 2021). The Withholding Tax Act will apply in the same way to a foreign branch of a company (a so-called permanent establishment).</w:t>
      </w:r>
    </w:p>
    <w:p w14:paraId="522B3632" w14:textId="77777777" w:rsidR="005C0CAF" w:rsidRPr="00BF3362" w:rsidRDefault="005C0CAF" w:rsidP="005C0CAF">
      <w:pPr>
        <w:rPr>
          <w:rFonts w:ascii="Arial" w:hAnsi="Arial" w:cs="Arial"/>
          <w:sz w:val="20"/>
          <w:szCs w:val="20"/>
        </w:rPr>
      </w:pPr>
    </w:p>
    <w:p w14:paraId="0F7EACC0" w14:textId="77777777" w:rsidR="005C0CAF" w:rsidRPr="00BF3362" w:rsidRDefault="005C0CAF" w:rsidP="005C0CAF">
      <w:pPr>
        <w:shd w:val="clear" w:color="auto" w:fill="D9D9D9"/>
        <w:rPr>
          <w:rFonts w:ascii="Arial" w:hAnsi="Arial" w:cs="Arial"/>
          <w:b/>
          <w:bCs/>
          <w:sz w:val="20"/>
          <w:szCs w:val="20"/>
        </w:rPr>
      </w:pPr>
      <w:r w:rsidRPr="00BF3362">
        <w:rPr>
          <w:rFonts w:ascii="Arial" w:hAnsi="Arial"/>
          <w:b/>
          <w:bCs/>
          <w:sz w:val="20"/>
          <w:szCs w:val="20"/>
        </w:rPr>
        <w:t>Please note:</w:t>
      </w:r>
    </w:p>
    <w:p w14:paraId="09B5FA2D" w14:textId="2B0CD399" w:rsidR="005C0CAF" w:rsidRPr="00BF3362" w:rsidRDefault="005C0CAF" w:rsidP="005C0CAF">
      <w:pPr>
        <w:shd w:val="clear" w:color="auto" w:fill="D9D9D9"/>
        <w:rPr>
          <w:rFonts w:ascii="Arial" w:hAnsi="Arial" w:cs="Arial"/>
          <w:sz w:val="20"/>
          <w:szCs w:val="20"/>
        </w:rPr>
      </w:pPr>
      <w:r w:rsidRPr="00BF3362">
        <w:rPr>
          <w:rFonts w:ascii="Arial" w:hAnsi="Arial"/>
          <w:sz w:val="20"/>
          <w:szCs w:val="20"/>
        </w:rPr>
        <w:t>Contrary to what was announced last year, the general rate of corporation tax will remain at 25% instead of being cut to 21.7%.</w:t>
      </w:r>
    </w:p>
    <w:p w14:paraId="3F330C03" w14:textId="77777777" w:rsidR="00B439FB" w:rsidRPr="00BF3362" w:rsidRDefault="00B439FB" w:rsidP="00B439FB">
      <w:pPr>
        <w:rPr>
          <w:rFonts w:ascii="Arial" w:hAnsi="Arial" w:cs="Arial"/>
          <w:sz w:val="20"/>
          <w:szCs w:val="20"/>
        </w:rPr>
      </w:pPr>
    </w:p>
    <w:p w14:paraId="7828BAC8" w14:textId="77777777" w:rsidR="005C0CAF" w:rsidRPr="00BF3362" w:rsidRDefault="005C0CAF">
      <w:pPr>
        <w:rPr>
          <w:rFonts w:ascii="Arial" w:hAnsi="Arial"/>
          <w:b/>
          <w:bCs/>
          <w:sz w:val="28"/>
        </w:rPr>
      </w:pPr>
      <w:r w:rsidRPr="00BF3362">
        <w:br w:type="page"/>
      </w:r>
    </w:p>
    <w:p w14:paraId="2460A02A" w14:textId="71BB4DAC" w:rsidR="00B439FB" w:rsidRPr="00BF3362" w:rsidRDefault="001B1BE2" w:rsidP="00180B75">
      <w:pPr>
        <w:pStyle w:val="Kop1"/>
      </w:pPr>
      <w:bookmarkStart w:id="29" w:name="_Toc51752516"/>
      <w:r w:rsidRPr="00BF3362">
        <w:lastRenderedPageBreak/>
        <w:t>Transport and sustainability</w:t>
      </w:r>
      <w:bookmarkEnd w:id="29"/>
    </w:p>
    <w:p w14:paraId="5C5B2240" w14:textId="51802237" w:rsidR="00F904A8" w:rsidRPr="00BF3362" w:rsidRDefault="00F904A8" w:rsidP="00F904A8">
      <w:pPr>
        <w:rPr>
          <w:rFonts w:ascii="Arial" w:eastAsia="Arial" w:hAnsi="Arial" w:cs="Arial"/>
          <w:sz w:val="20"/>
          <w:szCs w:val="20"/>
          <w:u w:val="single"/>
        </w:rPr>
      </w:pPr>
    </w:p>
    <w:p w14:paraId="5C9FA76B" w14:textId="13A8A276" w:rsidR="005C0CAF" w:rsidRPr="00BF3362" w:rsidRDefault="005C0CAF" w:rsidP="005C0CAF">
      <w:pPr>
        <w:rPr>
          <w:rFonts w:ascii="Arial" w:eastAsia="Arial" w:hAnsi="Arial" w:cs="Arial"/>
          <w:sz w:val="20"/>
          <w:szCs w:val="20"/>
        </w:rPr>
      </w:pPr>
      <w:r w:rsidRPr="00BF3362">
        <w:rPr>
          <w:rFonts w:ascii="Arial" w:hAnsi="Arial"/>
          <w:sz w:val="20"/>
          <w:szCs w:val="20"/>
        </w:rPr>
        <w:t>The government is keen to promote sustainability and is proposing various changes to environmental legislation. These will affect the addition to taxable income for electric cars and energy tax, for example. The proposals and changes in the area of taxation presented by the third Rutte cabinet on Prince’s Day this year in relation to transport and sustainability are presented below.</w:t>
      </w:r>
    </w:p>
    <w:p w14:paraId="476D35E6" w14:textId="77777777" w:rsidR="005C0CAF" w:rsidRPr="00BF3362" w:rsidRDefault="005C0CAF" w:rsidP="005C0CAF">
      <w:pPr>
        <w:rPr>
          <w:rFonts w:ascii="Arial" w:eastAsia="Arial" w:hAnsi="Arial" w:cs="Arial"/>
          <w:sz w:val="20"/>
          <w:szCs w:val="20"/>
        </w:rPr>
      </w:pPr>
    </w:p>
    <w:p w14:paraId="73E697AC" w14:textId="77777777" w:rsidR="005C0CAF" w:rsidRPr="00BF3362" w:rsidRDefault="005C0CAF" w:rsidP="005C0CAF">
      <w:pPr>
        <w:pStyle w:val="Kop2"/>
        <w:numPr>
          <w:ilvl w:val="0"/>
          <w:numId w:val="0"/>
        </w:numPr>
        <w:ind w:left="576" w:hanging="576"/>
        <w:rPr>
          <w:rFonts w:eastAsia="Arial"/>
          <w:sz w:val="20"/>
          <w:szCs w:val="18"/>
        </w:rPr>
      </w:pPr>
      <w:bookmarkStart w:id="30" w:name="_Toc51752517"/>
      <w:r w:rsidRPr="00BF3362">
        <w:rPr>
          <w:sz w:val="20"/>
          <w:szCs w:val="18"/>
        </w:rPr>
        <w:t>Increase in addition to taxable income for electric car</w:t>
      </w:r>
      <w:bookmarkEnd w:id="30"/>
    </w:p>
    <w:p w14:paraId="70559F96" w14:textId="4226535F" w:rsidR="005C0CAF" w:rsidRPr="00BF3362" w:rsidRDefault="005C0CAF" w:rsidP="005C0CAF">
      <w:pPr>
        <w:rPr>
          <w:rFonts w:ascii="Arial" w:hAnsi="Arial" w:cs="Arial"/>
          <w:sz w:val="20"/>
          <w:szCs w:val="20"/>
        </w:rPr>
      </w:pPr>
      <w:r w:rsidRPr="00BF3362">
        <w:rPr>
          <w:rFonts w:ascii="Arial" w:hAnsi="Arial"/>
          <w:sz w:val="20"/>
          <w:szCs w:val="20"/>
        </w:rPr>
        <w:t>Last year it was already announced that the addition to taxable income for the private use of electric cars would be increased incrementally. With effect from 1 January 2021 the addition to taxable income for the private use of electric cars will be 12% (2020: 8%) on a maximum value of € 40,000 (2020: € 45,000). Is the list price of the vehicle more than € 40,000? In that case the normal addition of 22% will apply on the amount above this figure.</w:t>
      </w:r>
    </w:p>
    <w:p w14:paraId="1FD8324F" w14:textId="77777777" w:rsidR="005C0CAF" w:rsidRPr="00BF3362" w:rsidRDefault="005C0CAF" w:rsidP="005C0CAF">
      <w:pPr>
        <w:rPr>
          <w:rFonts w:ascii="Arial" w:hAnsi="Arial" w:cs="Arial"/>
          <w:b/>
          <w:bCs/>
          <w:i/>
          <w:iCs/>
          <w:sz w:val="20"/>
          <w:szCs w:val="20"/>
        </w:rPr>
      </w:pPr>
    </w:p>
    <w:p w14:paraId="440EBB12" w14:textId="77777777" w:rsidR="005C0CAF" w:rsidRPr="00BF3362" w:rsidRDefault="005C0CAF" w:rsidP="005C0CAF">
      <w:pPr>
        <w:rPr>
          <w:rFonts w:ascii="Arial" w:hAnsi="Arial" w:cs="Arial"/>
          <w:b/>
          <w:bCs/>
          <w:sz w:val="20"/>
          <w:szCs w:val="20"/>
        </w:rPr>
      </w:pPr>
      <w:r w:rsidRPr="00BF3362">
        <w:rPr>
          <w:rFonts w:ascii="Arial" w:hAnsi="Arial"/>
          <w:b/>
          <w:bCs/>
          <w:i/>
          <w:iCs/>
          <w:sz w:val="20"/>
          <w:szCs w:val="20"/>
        </w:rPr>
        <w:t>Example</w:t>
      </w:r>
    </w:p>
    <w:p w14:paraId="042B6820" w14:textId="77777777" w:rsidR="005C0CAF" w:rsidRPr="00BF3362" w:rsidRDefault="005C0CAF" w:rsidP="005C0CAF">
      <w:pPr>
        <w:rPr>
          <w:rFonts w:ascii="Arial" w:hAnsi="Arial" w:cs="Arial"/>
          <w:i/>
          <w:iCs/>
          <w:sz w:val="20"/>
          <w:szCs w:val="20"/>
        </w:rPr>
      </w:pPr>
      <w:r w:rsidRPr="00BF3362">
        <w:rPr>
          <w:rFonts w:ascii="Arial" w:hAnsi="Arial"/>
          <w:i/>
          <w:iCs/>
          <w:sz w:val="20"/>
          <w:szCs w:val="20"/>
        </w:rPr>
        <w:t>If a Tesla Model X with a list price of € 110,000 is first registered in 2020, the gross monthly addition will be € 1,492. If this car is not registered until 2021, the gross monthly addition on the same car will be € 1,683.</w:t>
      </w:r>
    </w:p>
    <w:p w14:paraId="10464B26" w14:textId="77777777" w:rsidR="005C0CAF" w:rsidRPr="00BF3362" w:rsidRDefault="005C0CAF" w:rsidP="005C0CAF">
      <w:pPr>
        <w:rPr>
          <w:rFonts w:ascii="Arial" w:eastAsia="Arial" w:hAnsi="Arial" w:cs="Arial"/>
          <w:sz w:val="20"/>
          <w:szCs w:val="20"/>
        </w:rPr>
      </w:pPr>
    </w:p>
    <w:p w14:paraId="73BDBB21" w14:textId="77777777" w:rsidR="005C0CAF" w:rsidRPr="00BF3362" w:rsidRDefault="005C0CAF" w:rsidP="005C0CAF">
      <w:pPr>
        <w:rPr>
          <w:rFonts w:ascii="Arial" w:eastAsia="Arial" w:hAnsi="Arial" w:cs="Arial"/>
          <w:sz w:val="20"/>
          <w:szCs w:val="20"/>
        </w:rPr>
      </w:pPr>
      <w:r w:rsidRPr="00BF3362">
        <w:rPr>
          <w:rFonts w:ascii="Arial" w:hAnsi="Arial"/>
          <w:sz w:val="20"/>
          <w:szCs w:val="20"/>
        </w:rPr>
        <w:t xml:space="preserve">Over the coming years the addition will be increased further, rising to 16% in 2022 and 17% in 2025. The maximum list price up to which the lower addition is applicable will not be raised and will remain at € 40,000. </w:t>
      </w:r>
    </w:p>
    <w:p w14:paraId="50C0E862" w14:textId="77777777" w:rsidR="005C0CAF" w:rsidRPr="00BF3362" w:rsidRDefault="005C0CAF" w:rsidP="005C0CAF">
      <w:pPr>
        <w:rPr>
          <w:rFonts w:ascii="Arial" w:eastAsia="Arial" w:hAnsi="Arial" w:cs="Arial"/>
          <w:sz w:val="20"/>
          <w:szCs w:val="20"/>
        </w:rPr>
      </w:pPr>
    </w:p>
    <w:p w14:paraId="139FDA23" w14:textId="77777777" w:rsidR="005C0CAF" w:rsidRPr="00BF3362" w:rsidRDefault="005C0CAF" w:rsidP="005C0CAF">
      <w:pPr>
        <w:rPr>
          <w:rFonts w:ascii="Arial" w:eastAsia="Arial" w:hAnsi="Arial" w:cs="Arial"/>
          <w:sz w:val="20"/>
          <w:szCs w:val="20"/>
        </w:rPr>
      </w:pPr>
      <w:r w:rsidRPr="00BF3362">
        <w:rPr>
          <w:rFonts w:ascii="Arial" w:hAnsi="Arial"/>
          <w:sz w:val="20"/>
          <w:szCs w:val="20"/>
        </w:rPr>
        <w:t>One new regulation being introduced this year is that the maximum price will not apply to solar cars powered by integrated solar panels. The government’s intention here is to anticipate developments on the automotive market.</w:t>
      </w:r>
    </w:p>
    <w:p w14:paraId="76801EB8" w14:textId="77777777" w:rsidR="005C0CAF" w:rsidRPr="00BF3362" w:rsidRDefault="005C0CAF" w:rsidP="005C0CAF">
      <w:pPr>
        <w:rPr>
          <w:rFonts w:ascii="Arial" w:eastAsia="Arial" w:hAnsi="Arial" w:cs="Arial"/>
          <w:sz w:val="20"/>
          <w:szCs w:val="20"/>
        </w:rPr>
      </w:pPr>
    </w:p>
    <w:p w14:paraId="2C2766EA" w14:textId="77777777" w:rsidR="005C0CAF" w:rsidRPr="00BF3362" w:rsidRDefault="005C0CAF" w:rsidP="005C0CAF">
      <w:pPr>
        <w:rPr>
          <w:rFonts w:ascii="Arial" w:eastAsia="Arial" w:hAnsi="Arial" w:cs="Arial"/>
          <w:sz w:val="20"/>
          <w:szCs w:val="20"/>
        </w:rPr>
      </w:pPr>
      <w:r w:rsidRPr="00BF3362">
        <w:rPr>
          <w:rFonts w:ascii="Arial" w:hAnsi="Arial"/>
          <w:sz w:val="20"/>
          <w:szCs w:val="20"/>
        </w:rPr>
        <w:t>The addition percentage will be fixed for a five-year period, from the first day of the month following that in which the vehicle first enters use.</w:t>
      </w:r>
    </w:p>
    <w:p w14:paraId="4777EB08" w14:textId="77777777" w:rsidR="005C0CAF" w:rsidRPr="00BF3362" w:rsidRDefault="005C0CAF" w:rsidP="005C0CAF">
      <w:pPr>
        <w:rPr>
          <w:rFonts w:ascii="Arial" w:hAnsi="Arial" w:cs="Arial"/>
          <w:sz w:val="20"/>
          <w:szCs w:val="20"/>
        </w:rPr>
      </w:pPr>
    </w:p>
    <w:p w14:paraId="5E806C6B" w14:textId="671AC081" w:rsidR="005C0CAF" w:rsidRPr="00BF3362" w:rsidRDefault="001B1BE2" w:rsidP="005C0CAF">
      <w:pPr>
        <w:shd w:val="clear" w:color="auto" w:fill="D9D9D9"/>
        <w:rPr>
          <w:rFonts w:ascii="Arial" w:hAnsi="Arial" w:cs="Arial"/>
          <w:b/>
          <w:bCs/>
          <w:sz w:val="20"/>
          <w:szCs w:val="20"/>
        </w:rPr>
      </w:pPr>
      <w:r w:rsidRPr="00BF3362">
        <w:rPr>
          <w:rFonts w:ascii="Arial" w:hAnsi="Arial"/>
          <w:b/>
          <w:bCs/>
          <w:sz w:val="20"/>
          <w:szCs w:val="20"/>
        </w:rPr>
        <w:t>Tip:</w:t>
      </w:r>
    </w:p>
    <w:p w14:paraId="7FCC2EE4" w14:textId="6CE831C8" w:rsidR="005C0CAF" w:rsidRPr="00BF3362" w:rsidRDefault="005C0CAF" w:rsidP="005C0CAF">
      <w:pPr>
        <w:shd w:val="clear" w:color="auto" w:fill="D9D9D9"/>
        <w:rPr>
          <w:rFonts w:ascii="Arial" w:hAnsi="Arial" w:cs="Arial"/>
          <w:sz w:val="20"/>
          <w:szCs w:val="20"/>
        </w:rPr>
      </w:pPr>
      <w:r w:rsidRPr="00BF3362">
        <w:rPr>
          <w:rFonts w:ascii="Arial" w:hAnsi="Arial"/>
          <w:sz w:val="20"/>
          <w:szCs w:val="20"/>
        </w:rPr>
        <w:t>Do you intend to purchase an electric car? If so, make sure it is first registered in 2020. In that way you will make sure you benefit from the lower addition for private use of the car for five years.</w:t>
      </w:r>
    </w:p>
    <w:p w14:paraId="22CABEAB" w14:textId="77777777" w:rsidR="005C0CAF" w:rsidRPr="00BF3362" w:rsidRDefault="005C0CAF" w:rsidP="005C0CAF">
      <w:pPr>
        <w:rPr>
          <w:rFonts w:ascii="Arial" w:eastAsia="Arial" w:hAnsi="Arial" w:cs="Arial"/>
          <w:sz w:val="20"/>
          <w:szCs w:val="20"/>
        </w:rPr>
      </w:pPr>
    </w:p>
    <w:p w14:paraId="1502AE7A" w14:textId="77777777" w:rsidR="005C0CAF" w:rsidRPr="00BF3362" w:rsidRDefault="005C0CAF" w:rsidP="005C0CAF">
      <w:pPr>
        <w:pStyle w:val="Kop2"/>
        <w:numPr>
          <w:ilvl w:val="0"/>
          <w:numId w:val="0"/>
        </w:numPr>
        <w:ind w:left="576" w:hanging="576"/>
        <w:rPr>
          <w:rFonts w:eastAsia="Arial"/>
          <w:sz w:val="20"/>
          <w:szCs w:val="18"/>
        </w:rPr>
      </w:pPr>
      <w:bookmarkStart w:id="31" w:name="_Toc51752518"/>
      <w:r w:rsidRPr="00BF3362">
        <w:rPr>
          <w:sz w:val="20"/>
          <w:szCs w:val="18"/>
        </w:rPr>
        <w:t>Taxable event for private vehicle and motorcycle tax brought forward to time of registration</w:t>
      </w:r>
      <w:bookmarkEnd w:id="31"/>
    </w:p>
    <w:p w14:paraId="22EC4CFF" w14:textId="77777777" w:rsidR="005C0CAF" w:rsidRPr="00BF3362" w:rsidRDefault="005C0CAF" w:rsidP="005C0CAF">
      <w:pPr>
        <w:rPr>
          <w:rFonts w:ascii="Arial" w:eastAsia="Arial" w:hAnsi="Arial" w:cs="Arial"/>
          <w:sz w:val="20"/>
          <w:szCs w:val="20"/>
        </w:rPr>
      </w:pPr>
      <w:r w:rsidRPr="00BF3362">
        <w:rPr>
          <w:rFonts w:ascii="Arial" w:hAnsi="Arial"/>
          <w:sz w:val="20"/>
          <w:szCs w:val="20"/>
        </w:rPr>
        <w:t xml:space="preserve">The main taxable event for purposes of private vehicle and motorcycle tax (bpm) is currently the time when a motor vehicle is entered in the vehicle licence plate register. This covers both the entry of a motor vehicle in this register and its registration in the owner’s name. </w:t>
      </w:r>
    </w:p>
    <w:p w14:paraId="5E52A1D6" w14:textId="77777777" w:rsidR="005C0CAF" w:rsidRPr="00BF3362" w:rsidRDefault="005C0CAF" w:rsidP="005C0CAF">
      <w:pPr>
        <w:rPr>
          <w:rFonts w:ascii="Arial" w:eastAsia="Arial" w:hAnsi="Arial" w:cs="Arial"/>
          <w:sz w:val="20"/>
          <w:szCs w:val="20"/>
        </w:rPr>
      </w:pPr>
    </w:p>
    <w:p w14:paraId="2317685C" w14:textId="77777777" w:rsidR="005C0CAF" w:rsidRPr="00BF3362" w:rsidRDefault="005C0CAF" w:rsidP="005C0CAF">
      <w:pPr>
        <w:rPr>
          <w:rFonts w:ascii="Arial" w:hAnsi="Arial" w:cs="Arial"/>
          <w:sz w:val="20"/>
          <w:szCs w:val="20"/>
        </w:rPr>
      </w:pPr>
      <w:r w:rsidRPr="00BF3362">
        <w:rPr>
          <w:rFonts w:ascii="Arial" w:hAnsi="Arial"/>
          <w:sz w:val="20"/>
          <w:szCs w:val="20"/>
        </w:rPr>
        <w:t xml:space="preserve">The general rule at present is that the private vehicle and motorcycle tax return must be filed and the payment made before the motor vehicle is entered in the vehicle licence plate register. However, the condition of the motor vehicle at the time of registration determines the level of tax payable. </w:t>
      </w:r>
    </w:p>
    <w:p w14:paraId="540B4E30" w14:textId="77777777" w:rsidR="005C0CAF" w:rsidRPr="00BF3362" w:rsidRDefault="005C0CAF" w:rsidP="005C0CAF">
      <w:pPr>
        <w:rPr>
          <w:rFonts w:ascii="Arial" w:eastAsia="Arial" w:hAnsi="Arial" w:cs="Arial"/>
          <w:sz w:val="20"/>
          <w:szCs w:val="20"/>
        </w:rPr>
      </w:pPr>
    </w:p>
    <w:p w14:paraId="50C36D30" w14:textId="77777777" w:rsidR="005C0CAF" w:rsidRPr="00BF3362" w:rsidRDefault="005C0CAF" w:rsidP="005C0CAF">
      <w:pPr>
        <w:rPr>
          <w:rFonts w:ascii="Arial" w:eastAsia="Arial" w:hAnsi="Arial" w:cs="Arial"/>
          <w:sz w:val="20"/>
          <w:szCs w:val="20"/>
        </w:rPr>
      </w:pPr>
      <w:r w:rsidRPr="00BF3362">
        <w:rPr>
          <w:rFonts w:ascii="Arial" w:hAnsi="Arial"/>
          <w:sz w:val="20"/>
          <w:szCs w:val="20"/>
        </w:rPr>
        <w:t xml:space="preserve">To simplify the levying of this tax, in future the government wants the taxable event to relate to a single moment in time: the time when the motor vehicle is entered in the vehicle licence plate register. </w:t>
      </w:r>
    </w:p>
    <w:p w14:paraId="7440BDE6" w14:textId="25F7035E" w:rsidR="005C0CAF" w:rsidRPr="00BF3362" w:rsidRDefault="005C0CAF" w:rsidP="005C0CAF">
      <w:pPr>
        <w:rPr>
          <w:rFonts w:ascii="Arial" w:eastAsia="Arial" w:hAnsi="Arial" w:cs="Arial"/>
          <w:sz w:val="20"/>
          <w:szCs w:val="20"/>
        </w:rPr>
      </w:pPr>
      <w:r w:rsidRPr="00BF3362">
        <w:rPr>
          <w:rFonts w:ascii="Arial" w:hAnsi="Arial"/>
          <w:sz w:val="20"/>
          <w:szCs w:val="20"/>
        </w:rPr>
        <w:t>This proposal should also result in the domestic trade and import trade being treated equally for tax purposes.</w:t>
      </w:r>
    </w:p>
    <w:p w14:paraId="1048E9D8" w14:textId="77777777" w:rsidR="005C0CAF" w:rsidRPr="00BF3362" w:rsidRDefault="005C0CAF" w:rsidP="005C0CAF">
      <w:pPr>
        <w:rPr>
          <w:rFonts w:ascii="Arial" w:eastAsia="Arial" w:hAnsi="Arial" w:cs="Arial"/>
          <w:sz w:val="20"/>
          <w:szCs w:val="20"/>
        </w:rPr>
      </w:pPr>
    </w:p>
    <w:p w14:paraId="72C21D3C" w14:textId="77777777" w:rsidR="005C0CAF" w:rsidRPr="00BF3362" w:rsidRDefault="005C0CAF" w:rsidP="005C0CAF">
      <w:pPr>
        <w:pStyle w:val="Kop2"/>
        <w:numPr>
          <w:ilvl w:val="0"/>
          <w:numId w:val="0"/>
        </w:numPr>
        <w:ind w:left="576" w:hanging="576"/>
        <w:rPr>
          <w:rFonts w:eastAsia="Arial"/>
          <w:sz w:val="20"/>
          <w:szCs w:val="18"/>
        </w:rPr>
      </w:pPr>
      <w:bookmarkStart w:id="32" w:name="_Toc51752519"/>
      <w:r w:rsidRPr="00BF3362">
        <w:rPr>
          <w:sz w:val="20"/>
          <w:szCs w:val="18"/>
        </w:rPr>
        <w:t>Stricter CO</w:t>
      </w:r>
      <w:r w:rsidRPr="00BF3362">
        <w:rPr>
          <w:sz w:val="20"/>
          <w:szCs w:val="18"/>
          <w:vertAlign w:val="subscript"/>
        </w:rPr>
        <w:t>2</w:t>
      </w:r>
      <w:r w:rsidRPr="00BF3362">
        <w:rPr>
          <w:sz w:val="20"/>
          <w:szCs w:val="18"/>
        </w:rPr>
        <w:t xml:space="preserve"> thresholds, rates and diesel surcharge for private vehicle and motorcycle tax</w:t>
      </w:r>
      <w:bookmarkEnd w:id="32"/>
    </w:p>
    <w:p w14:paraId="1BE86A3B" w14:textId="77777777" w:rsidR="005C0CAF" w:rsidRPr="00BF3362" w:rsidRDefault="005C0CAF" w:rsidP="005C0CAF">
      <w:pPr>
        <w:rPr>
          <w:rFonts w:ascii="Arial" w:hAnsi="Arial" w:cs="Arial"/>
          <w:sz w:val="20"/>
          <w:szCs w:val="20"/>
        </w:rPr>
      </w:pPr>
      <w:r w:rsidRPr="00BF3362">
        <w:rPr>
          <w:rFonts w:ascii="Arial" w:hAnsi="Arial"/>
          <w:sz w:val="20"/>
          <w:szCs w:val="20"/>
        </w:rPr>
        <w:t>The CO</w:t>
      </w:r>
      <w:r w:rsidRPr="00BF3362">
        <w:rPr>
          <w:rFonts w:ascii="Arial" w:hAnsi="Arial"/>
          <w:sz w:val="20"/>
          <w:szCs w:val="20"/>
          <w:vertAlign w:val="subscript"/>
        </w:rPr>
        <w:t>2</w:t>
      </w:r>
      <w:r w:rsidRPr="00BF3362">
        <w:rPr>
          <w:rFonts w:ascii="Arial" w:hAnsi="Arial"/>
          <w:sz w:val="20"/>
          <w:szCs w:val="20"/>
        </w:rPr>
        <w:t xml:space="preserve"> thresholds for private vehicle and motorcycle tax are being lowered by 4.2%. The rates, i.e. the tax payable per g/km of CO</w:t>
      </w:r>
      <w:r w:rsidRPr="00BF3362">
        <w:rPr>
          <w:rFonts w:ascii="Arial" w:hAnsi="Arial"/>
          <w:sz w:val="20"/>
          <w:szCs w:val="20"/>
          <w:vertAlign w:val="subscript"/>
        </w:rPr>
        <w:t>2</w:t>
      </w:r>
      <w:r w:rsidRPr="00BF3362">
        <w:rPr>
          <w:rFonts w:ascii="Arial" w:hAnsi="Arial"/>
          <w:sz w:val="20"/>
          <w:szCs w:val="20"/>
        </w:rPr>
        <w:t xml:space="preserve"> emissions (excluding the flat-rate charge), will first be indexed and then increased by 4.38%. In 2021 a stricter CO</w:t>
      </w:r>
      <w:r w:rsidRPr="00BF3362">
        <w:rPr>
          <w:rFonts w:ascii="Arial" w:hAnsi="Arial"/>
          <w:sz w:val="20"/>
          <w:szCs w:val="20"/>
          <w:vertAlign w:val="subscript"/>
        </w:rPr>
        <w:t>2</w:t>
      </w:r>
      <w:r w:rsidRPr="00BF3362">
        <w:rPr>
          <w:rFonts w:ascii="Arial" w:hAnsi="Arial"/>
          <w:sz w:val="20"/>
          <w:szCs w:val="20"/>
        </w:rPr>
        <w:t xml:space="preserve"> threshold of 77 g/km (2020: 80 g/km) will be introduced for the diesel surcharge. Above this threshold of 77 g/km the rate of the diesel surcharge will rise from € 78.82 to € 83.59 per gram of CO</w:t>
      </w:r>
      <w:r w:rsidRPr="00BF3362">
        <w:rPr>
          <w:rFonts w:ascii="Arial" w:hAnsi="Arial"/>
          <w:sz w:val="20"/>
          <w:szCs w:val="20"/>
          <w:vertAlign w:val="subscript"/>
        </w:rPr>
        <w:t>2</w:t>
      </w:r>
      <w:r w:rsidRPr="00BF3362">
        <w:rPr>
          <w:rFonts w:ascii="Arial" w:hAnsi="Arial"/>
          <w:sz w:val="20"/>
          <w:szCs w:val="20"/>
        </w:rPr>
        <w:t xml:space="preserve"> emissions.</w:t>
      </w:r>
    </w:p>
    <w:p w14:paraId="3E400E69" w14:textId="77777777" w:rsidR="005C0CAF" w:rsidRPr="00BF3362" w:rsidRDefault="005C0CAF" w:rsidP="005C0CAF">
      <w:pPr>
        <w:rPr>
          <w:rFonts w:ascii="Arial" w:eastAsia="Arial" w:hAnsi="Arial" w:cs="Arial"/>
          <w:sz w:val="20"/>
          <w:szCs w:val="20"/>
        </w:rPr>
      </w:pPr>
    </w:p>
    <w:p w14:paraId="4BFDFAA1" w14:textId="19B901CC" w:rsidR="005C0CAF" w:rsidRPr="00BF3362" w:rsidRDefault="005C0CAF" w:rsidP="005C0CAF">
      <w:pPr>
        <w:rPr>
          <w:rFonts w:ascii="Arial" w:eastAsia="Arial" w:hAnsi="Arial" w:cs="Arial"/>
          <w:sz w:val="20"/>
          <w:szCs w:val="20"/>
        </w:rPr>
      </w:pPr>
      <w:r w:rsidRPr="00BF3362">
        <w:rPr>
          <w:rFonts w:ascii="Arial" w:hAnsi="Arial"/>
          <w:sz w:val="20"/>
          <w:szCs w:val="20"/>
        </w:rPr>
        <w:t>By taking these measures, the government is aiming to bring the tax base into line with the latest technological developments, which are resulting in ever more efficient and ‘greener’ vehicles.</w:t>
      </w:r>
    </w:p>
    <w:p w14:paraId="6986B64A" w14:textId="77777777" w:rsidR="005C0CAF" w:rsidRPr="00BF3362" w:rsidRDefault="005C0CAF" w:rsidP="005C0CAF">
      <w:pPr>
        <w:rPr>
          <w:rFonts w:ascii="Arial" w:eastAsia="Arial" w:hAnsi="Arial" w:cs="Arial"/>
          <w:sz w:val="20"/>
          <w:szCs w:val="20"/>
        </w:rPr>
      </w:pPr>
    </w:p>
    <w:p w14:paraId="6984C834" w14:textId="77777777" w:rsidR="005C0CAF" w:rsidRPr="00BF3362" w:rsidRDefault="005C0CAF" w:rsidP="005C0CAF">
      <w:pPr>
        <w:pStyle w:val="Kop2"/>
        <w:numPr>
          <w:ilvl w:val="0"/>
          <w:numId w:val="0"/>
        </w:numPr>
        <w:ind w:left="576" w:hanging="576"/>
        <w:rPr>
          <w:rFonts w:eastAsia="Arial"/>
          <w:sz w:val="20"/>
          <w:szCs w:val="18"/>
        </w:rPr>
      </w:pPr>
      <w:bookmarkStart w:id="33" w:name="_Toc51752520"/>
      <w:r w:rsidRPr="00BF3362">
        <w:rPr>
          <w:sz w:val="20"/>
          <w:szCs w:val="18"/>
        </w:rPr>
        <w:t>Reduced rate for public charging points extended</w:t>
      </w:r>
      <w:bookmarkEnd w:id="33"/>
    </w:p>
    <w:p w14:paraId="26016B4D" w14:textId="23961D31" w:rsidR="005C0CAF" w:rsidRPr="00BF3362" w:rsidRDefault="005C0CAF" w:rsidP="005C0CAF">
      <w:pPr>
        <w:rPr>
          <w:rFonts w:ascii="Arial" w:eastAsia="Arial" w:hAnsi="Arial" w:cs="Arial"/>
          <w:sz w:val="20"/>
          <w:szCs w:val="20"/>
        </w:rPr>
      </w:pPr>
      <w:r w:rsidRPr="00BF3362">
        <w:rPr>
          <w:rFonts w:ascii="Arial" w:hAnsi="Arial"/>
          <w:sz w:val="20"/>
          <w:szCs w:val="20"/>
        </w:rPr>
        <w:t>At present, in the area of energy tax a reduced rate applies to electricity supplied via public charging points. In the case of electricity supplied to a charging point for electric vehicles that have an independent connection, the renewable energy and climate transition surcharge (ODE) has been set at zero (Renewable Energy and Climate Transition Surcharge Act). These two tax facilities were due to be withdrawn at the end of 2020, but have been extended to the end of 2022. With this measure the government’s aim is to stimulate growth of the national charging point network.</w:t>
      </w:r>
    </w:p>
    <w:p w14:paraId="50EAAF53" w14:textId="77777777" w:rsidR="005C0CAF" w:rsidRPr="00BF3362" w:rsidRDefault="005C0CAF" w:rsidP="005C0CAF">
      <w:pPr>
        <w:rPr>
          <w:rFonts w:ascii="Arial" w:eastAsia="Arial" w:hAnsi="Arial" w:cs="Arial"/>
          <w:sz w:val="20"/>
          <w:szCs w:val="20"/>
        </w:rPr>
      </w:pPr>
    </w:p>
    <w:p w14:paraId="1F7E3ED8" w14:textId="77777777" w:rsidR="005C0CAF" w:rsidRPr="00BF3362" w:rsidRDefault="005C0CAF" w:rsidP="005C0CAF">
      <w:pPr>
        <w:pStyle w:val="Kop2"/>
        <w:numPr>
          <w:ilvl w:val="0"/>
          <w:numId w:val="0"/>
        </w:numPr>
        <w:ind w:left="576" w:hanging="576"/>
        <w:rPr>
          <w:rFonts w:eastAsia="Arial"/>
          <w:sz w:val="20"/>
          <w:szCs w:val="18"/>
        </w:rPr>
      </w:pPr>
      <w:bookmarkStart w:id="34" w:name="_Toc51752521"/>
      <w:r w:rsidRPr="00BF3362">
        <w:rPr>
          <w:sz w:val="20"/>
          <w:szCs w:val="18"/>
        </w:rPr>
        <w:t>Introduction of CO</w:t>
      </w:r>
      <w:r w:rsidRPr="00BF3362">
        <w:rPr>
          <w:sz w:val="20"/>
          <w:szCs w:val="18"/>
          <w:vertAlign w:val="subscript"/>
        </w:rPr>
        <w:t>2</w:t>
      </w:r>
      <w:r w:rsidRPr="00BF3362">
        <w:rPr>
          <w:sz w:val="20"/>
          <w:szCs w:val="18"/>
        </w:rPr>
        <w:t xml:space="preserve"> levy on industry</w:t>
      </w:r>
      <w:bookmarkEnd w:id="34"/>
    </w:p>
    <w:p w14:paraId="7C0A719D" w14:textId="37B5954A" w:rsidR="005C0CAF" w:rsidRPr="00BF3362" w:rsidRDefault="005C0CAF" w:rsidP="005C0CAF">
      <w:pPr>
        <w:rPr>
          <w:rFonts w:ascii="Arial" w:eastAsia="Arial" w:hAnsi="Arial" w:cs="Arial"/>
          <w:sz w:val="20"/>
          <w:szCs w:val="20"/>
        </w:rPr>
      </w:pPr>
      <w:r w:rsidRPr="00BF3362">
        <w:rPr>
          <w:rFonts w:ascii="Arial" w:hAnsi="Arial"/>
          <w:sz w:val="20"/>
          <w:szCs w:val="20"/>
        </w:rPr>
        <w:t>The government is proposing to introduce a CO</w:t>
      </w:r>
      <w:r w:rsidRPr="00BF3362">
        <w:rPr>
          <w:rFonts w:ascii="Arial" w:hAnsi="Arial"/>
          <w:sz w:val="20"/>
          <w:szCs w:val="20"/>
          <w:vertAlign w:val="subscript"/>
        </w:rPr>
        <w:t>2</w:t>
      </w:r>
      <w:r w:rsidRPr="00BF3362">
        <w:rPr>
          <w:rFonts w:ascii="Arial" w:hAnsi="Arial"/>
          <w:sz w:val="20"/>
          <w:szCs w:val="20"/>
        </w:rPr>
        <w:t xml:space="preserve"> levy with effect from 2021. This will apply to large industrial companies that fall under the European emissions trading system (EU ETS) and to waste incineration plants and companies that emit large quantities of nitrous oxide. If these companies’ CO</w:t>
      </w:r>
      <w:r w:rsidRPr="00BF3362">
        <w:rPr>
          <w:rFonts w:ascii="Arial" w:hAnsi="Arial"/>
          <w:sz w:val="20"/>
          <w:szCs w:val="20"/>
          <w:vertAlign w:val="subscript"/>
        </w:rPr>
        <w:t>2</w:t>
      </w:r>
      <w:r w:rsidRPr="00BF3362">
        <w:rPr>
          <w:rFonts w:ascii="Arial" w:hAnsi="Arial"/>
          <w:sz w:val="20"/>
          <w:szCs w:val="20"/>
        </w:rPr>
        <w:t xml:space="preserve"> emissions exceed the exempted amount set for purposes of the levy, they will pay tax on the portion above this threshold. The levy will be increased up to 2030 and the exempted amount will decrease at the same time. In this way the government hopes to encourage companies to make their production more CO</w:t>
      </w:r>
      <w:r w:rsidRPr="00BF3362">
        <w:rPr>
          <w:rFonts w:ascii="Arial" w:hAnsi="Arial"/>
          <w:sz w:val="20"/>
          <w:szCs w:val="20"/>
          <w:vertAlign w:val="subscript"/>
        </w:rPr>
        <w:t>2</w:t>
      </w:r>
      <w:r w:rsidRPr="00BF3362">
        <w:rPr>
          <w:rFonts w:ascii="Arial" w:hAnsi="Arial"/>
          <w:sz w:val="20"/>
          <w:szCs w:val="20"/>
        </w:rPr>
        <w:t>-efficient.</w:t>
      </w:r>
    </w:p>
    <w:p w14:paraId="3A7A6EEB" w14:textId="2BBBF693" w:rsidR="005C0CAF" w:rsidRPr="00BF3362" w:rsidRDefault="005C0CAF" w:rsidP="005C0CAF">
      <w:pPr>
        <w:rPr>
          <w:rFonts w:ascii="Arial" w:eastAsia="Arial" w:hAnsi="Arial" w:cs="Arial"/>
          <w:sz w:val="20"/>
          <w:szCs w:val="20"/>
        </w:rPr>
      </w:pPr>
      <w:r w:rsidRPr="00BF3362">
        <w:rPr>
          <w:rFonts w:ascii="Arial" w:hAnsi="Arial"/>
          <w:sz w:val="20"/>
          <w:szCs w:val="20"/>
        </w:rPr>
        <w:t>A number of specific sectors, including horticulture, will be exempt from the CO</w:t>
      </w:r>
      <w:r w:rsidRPr="00BF3362">
        <w:rPr>
          <w:rFonts w:ascii="Arial" w:hAnsi="Arial"/>
          <w:sz w:val="20"/>
          <w:szCs w:val="20"/>
          <w:vertAlign w:val="subscript"/>
        </w:rPr>
        <w:t>2</w:t>
      </w:r>
      <w:r w:rsidRPr="00BF3362">
        <w:rPr>
          <w:rFonts w:ascii="Arial" w:hAnsi="Arial"/>
          <w:sz w:val="20"/>
          <w:szCs w:val="20"/>
        </w:rPr>
        <w:t xml:space="preserve"> levy. Alternative agreements will be made with these sectors, the details of which are yet to be announced.</w:t>
      </w:r>
    </w:p>
    <w:p w14:paraId="64EF3BF1" w14:textId="77777777" w:rsidR="005C0CAF" w:rsidRPr="00BF3362" w:rsidRDefault="005C0CAF" w:rsidP="005C0CAF">
      <w:pPr>
        <w:rPr>
          <w:rFonts w:ascii="Arial" w:eastAsia="Arial" w:hAnsi="Arial" w:cs="Arial"/>
          <w:sz w:val="20"/>
          <w:szCs w:val="20"/>
        </w:rPr>
      </w:pPr>
    </w:p>
    <w:p w14:paraId="05FDF3F5" w14:textId="77777777" w:rsidR="005C0CAF" w:rsidRPr="00BF3362" w:rsidRDefault="005C0CAF" w:rsidP="005C0CAF">
      <w:pPr>
        <w:pStyle w:val="Kop2"/>
        <w:numPr>
          <w:ilvl w:val="0"/>
          <w:numId w:val="0"/>
        </w:numPr>
        <w:ind w:left="576" w:hanging="576"/>
        <w:rPr>
          <w:rFonts w:eastAsia="Arial"/>
          <w:sz w:val="20"/>
          <w:szCs w:val="18"/>
        </w:rPr>
      </w:pPr>
      <w:bookmarkStart w:id="35" w:name="_Toc51752522"/>
      <w:r w:rsidRPr="00BF3362">
        <w:rPr>
          <w:sz w:val="20"/>
          <w:szCs w:val="18"/>
        </w:rPr>
        <w:t>Increase in ODE rates</w:t>
      </w:r>
      <w:bookmarkEnd w:id="35"/>
    </w:p>
    <w:p w14:paraId="7A84B586" w14:textId="77777777" w:rsidR="005C0CAF" w:rsidRPr="00BF3362" w:rsidRDefault="005C0CAF" w:rsidP="005C0CAF">
      <w:pPr>
        <w:rPr>
          <w:rFonts w:ascii="Arial" w:eastAsia="Arial" w:hAnsi="Arial" w:cs="Arial"/>
          <w:sz w:val="20"/>
          <w:szCs w:val="20"/>
        </w:rPr>
      </w:pPr>
      <w:r w:rsidRPr="00BF3362">
        <w:rPr>
          <w:rFonts w:ascii="Arial" w:hAnsi="Arial"/>
          <w:sz w:val="20"/>
          <w:szCs w:val="20"/>
        </w:rPr>
        <w:t xml:space="preserve">Via the renewable energy and climate transition surcharge (ODE) both households and companies contribute to investments in renewable energy through their energy bill. The ODE serves as the source of funding for spending under the Renewable Energy Transition Incentive Scheme (SDE). In 2021 and 2022 the rates set for the ODE will increase. </w:t>
      </w:r>
    </w:p>
    <w:p w14:paraId="5034C65F" w14:textId="77777777" w:rsidR="005C0CAF" w:rsidRPr="00BF3362" w:rsidRDefault="005C0CAF" w:rsidP="005C0CAF">
      <w:pPr>
        <w:rPr>
          <w:rFonts w:ascii="Arial" w:eastAsia="Arial" w:hAnsi="Arial" w:cs="Arial"/>
          <w:sz w:val="20"/>
          <w:szCs w:val="20"/>
        </w:rPr>
      </w:pPr>
    </w:p>
    <w:p w14:paraId="13AB0B8C" w14:textId="77777777" w:rsidR="005C0CAF" w:rsidRPr="00BF3362" w:rsidRDefault="005C0CAF" w:rsidP="005C0CAF">
      <w:pPr>
        <w:rPr>
          <w:rFonts w:ascii="Arial" w:eastAsia="Arial" w:hAnsi="Arial" w:cs="Arial"/>
          <w:sz w:val="20"/>
          <w:szCs w:val="20"/>
        </w:rPr>
      </w:pPr>
      <w:r w:rsidRPr="00BF3362">
        <w:rPr>
          <w:rFonts w:ascii="Arial" w:hAnsi="Arial"/>
          <w:sz w:val="20"/>
          <w:szCs w:val="20"/>
        </w:rPr>
        <w:t xml:space="preserve">The new rates are presented in the infographic below. </w:t>
      </w:r>
    </w:p>
    <w:p w14:paraId="23E6B5F4" w14:textId="5DB55819" w:rsidR="005C0CAF" w:rsidRDefault="005C0CAF" w:rsidP="005C0CAF">
      <w:pPr>
        <w:rPr>
          <w:rFonts w:ascii="Arial" w:hAnsi="Arial" w:cs="Arial"/>
          <w:sz w:val="20"/>
          <w:szCs w:val="20"/>
        </w:rPr>
      </w:pPr>
    </w:p>
    <w:tbl>
      <w:tblPr>
        <w:tblStyle w:val="Tabelraster"/>
        <w:tblW w:w="0" w:type="auto"/>
        <w:tblLook w:val="04A0" w:firstRow="1" w:lastRow="0" w:firstColumn="1" w:lastColumn="0" w:noHBand="0" w:noVBand="1"/>
      </w:tblPr>
      <w:tblGrid>
        <w:gridCol w:w="2477"/>
        <w:gridCol w:w="2221"/>
        <w:gridCol w:w="2221"/>
        <w:gridCol w:w="2143"/>
      </w:tblGrid>
      <w:tr w:rsidR="007C7138" w:rsidRPr="007C7138" w14:paraId="15077BB6" w14:textId="77777777" w:rsidTr="007168C9">
        <w:tc>
          <w:tcPr>
            <w:tcW w:w="2518" w:type="dxa"/>
          </w:tcPr>
          <w:p w14:paraId="30B6323D" w14:textId="77777777" w:rsidR="007C7138" w:rsidRPr="007C7138" w:rsidRDefault="007C7138" w:rsidP="007168C9">
            <w:pPr>
              <w:rPr>
                <w:rFonts w:ascii="Arial" w:hAnsi="Arial" w:cs="Arial"/>
                <w:sz w:val="20"/>
                <w:szCs w:val="20"/>
              </w:rPr>
            </w:pPr>
            <w:r w:rsidRPr="007C7138">
              <w:rPr>
                <w:rFonts w:ascii="Arial" w:hAnsi="Arial" w:cs="Arial"/>
                <w:sz w:val="20"/>
                <w:szCs w:val="20"/>
              </w:rPr>
              <w:t>Natural gas in cents/m</w:t>
            </w:r>
            <w:r w:rsidRPr="007C7138">
              <w:rPr>
                <w:rFonts w:ascii="Arial" w:hAnsi="Arial" w:cs="Arial"/>
                <w:sz w:val="20"/>
                <w:szCs w:val="20"/>
                <w:vertAlign w:val="superscript"/>
              </w:rPr>
              <w:t>3</w:t>
            </w:r>
          </w:p>
        </w:tc>
        <w:tc>
          <w:tcPr>
            <w:tcW w:w="2268" w:type="dxa"/>
          </w:tcPr>
          <w:p w14:paraId="58B2193D" w14:textId="77777777" w:rsidR="007C7138" w:rsidRPr="007C7138" w:rsidRDefault="007C7138" w:rsidP="007168C9">
            <w:pPr>
              <w:rPr>
                <w:rFonts w:ascii="Arial" w:hAnsi="Arial" w:cs="Arial"/>
                <w:sz w:val="20"/>
                <w:szCs w:val="20"/>
              </w:rPr>
            </w:pPr>
            <w:r w:rsidRPr="007C7138">
              <w:rPr>
                <w:rFonts w:ascii="Arial" w:hAnsi="Arial" w:cs="Arial"/>
                <w:sz w:val="20"/>
                <w:szCs w:val="20"/>
              </w:rPr>
              <w:t>Rates</w:t>
            </w:r>
          </w:p>
          <w:p w14:paraId="437F1326" w14:textId="77777777" w:rsidR="007C7138" w:rsidRPr="007C7138" w:rsidRDefault="007C7138" w:rsidP="007168C9">
            <w:pPr>
              <w:rPr>
                <w:rFonts w:ascii="Arial" w:hAnsi="Arial" w:cs="Arial"/>
                <w:sz w:val="20"/>
                <w:szCs w:val="20"/>
              </w:rPr>
            </w:pPr>
            <w:r w:rsidRPr="007C7138">
              <w:rPr>
                <w:rFonts w:ascii="Arial" w:hAnsi="Arial" w:cs="Arial"/>
                <w:sz w:val="20"/>
                <w:szCs w:val="20"/>
              </w:rPr>
              <w:t>2020</w:t>
            </w:r>
          </w:p>
        </w:tc>
        <w:tc>
          <w:tcPr>
            <w:tcW w:w="2268" w:type="dxa"/>
          </w:tcPr>
          <w:p w14:paraId="7D0E7869" w14:textId="77777777" w:rsidR="007C7138" w:rsidRPr="007C7138" w:rsidRDefault="007C7138" w:rsidP="007168C9">
            <w:pPr>
              <w:rPr>
                <w:rFonts w:ascii="Arial" w:hAnsi="Arial" w:cs="Arial"/>
                <w:sz w:val="20"/>
                <w:szCs w:val="20"/>
              </w:rPr>
            </w:pPr>
            <w:r w:rsidRPr="007C7138">
              <w:rPr>
                <w:rFonts w:ascii="Arial" w:hAnsi="Arial" w:cs="Arial"/>
                <w:sz w:val="20"/>
                <w:szCs w:val="20"/>
              </w:rPr>
              <w:t>Rates</w:t>
            </w:r>
          </w:p>
          <w:p w14:paraId="2F2E4BA8" w14:textId="77777777" w:rsidR="007C7138" w:rsidRPr="007C7138" w:rsidRDefault="007C7138" w:rsidP="007168C9">
            <w:pPr>
              <w:rPr>
                <w:rFonts w:ascii="Arial" w:hAnsi="Arial" w:cs="Arial"/>
                <w:sz w:val="20"/>
                <w:szCs w:val="20"/>
              </w:rPr>
            </w:pPr>
            <w:r w:rsidRPr="007C7138">
              <w:rPr>
                <w:rFonts w:ascii="Arial" w:hAnsi="Arial" w:cs="Arial"/>
                <w:sz w:val="20"/>
                <w:szCs w:val="20"/>
              </w:rPr>
              <w:t>2021</w:t>
            </w:r>
          </w:p>
        </w:tc>
        <w:tc>
          <w:tcPr>
            <w:tcW w:w="2188" w:type="dxa"/>
          </w:tcPr>
          <w:p w14:paraId="1E193B15" w14:textId="77777777" w:rsidR="007C7138" w:rsidRPr="007C7138" w:rsidRDefault="007C7138" w:rsidP="007168C9">
            <w:pPr>
              <w:rPr>
                <w:rFonts w:ascii="Arial" w:hAnsi="Arial" w:cs="Arial"/>
                <w:sz w:val="20"/>
                <w:szCs w:val="20"/>
              </w:rPr>
            </w:pPr>
            <w:r w:rsidRPr="007C7138">
              <w:rPr>
                <w:rFonts w:ascii="Arial" w:hAnsi="Arial" w:cs="Arial"/>
                <w:sz w:val="20"/>
                <w:szCs w:val="20"/>
              </w:rPr>
              <w:t>Rates</w:t>
            </w:r>
          </w:p>
          <w:p w14:paraId="48FC604E" w14:textId="77777777" w:rsidR="007C7138" w:rsidRPr="007C7138" w:rsidRDefault="007C7138" w:rsidP="007168C9">
            <w:pPr>
              <w:rPr>
                <w:rFonts w:ascii="Arial" w:hAnsi="Arial" w:cs="Arial"/>
                <w:sz w:val="20"/>
                <w:szCs w:val="20"/>
              </w:rPr>
            </w:pPr>
            <w:r w:rsidRPr="007C7138">
              <w:rPr>
                <w:rFonts w:ascii="Arial" w:hAnsi="Arial" w:cs="Arial"/>
                <w:sz w:val="20"/>
                <w:szCs w:val="20"/>
              </w:rPr>
              <w:t>2022</w:t>
            </w:r>
          </w:p>
        </w:tc>
      </w:tr>
      <w:tr w:rsidR="007C7138" w:rsidRPr="007C7138" w14:paraId="0C4174C7" w14:textId="77777777" w:rsidTr="007168C9">
        <w:tc>
          <w:tcPr>
            <w:tcW w:w="2518" w:type="dxa"/>
          </w:tcPr>
          <w:p w14:paraId="5B21B3C2" w14:textId="77777777" w:rsidR="007C7138" w:rsidRPr="007C7138" w:rsidRDefault="007C7138" w:rsidP="007168C9">
            <w:pPr>
              <w:rPr>
                <w:rFonts w:ascii="Arial" w:hAnsi="Arial" w:cs="Arial"/>
                <w:sz w:val="20"/>
                <w:szCs w:val="20"/>
              </w:rPr>
            </w:pPr>
            <w:r w:rsidRPr="007C7138">
              <w:rPr>
                <w:rFonts w:ascii="Arial" w:hAnsi="Arial" w:cs="Arial"/>
                <w:sz w:val="20"/>
                <w:szCs w:val="20"/>
              </w:rPr>
              <w:t>0-170,000 m</w:t>
            </w:r>
            <w:r w:rsidRPr="007C7138">
              <w:rPr>
                <w:rFonts w:ascii="Arial" w:hAnsi="Arial" w:cs="Arial"/>
                <w:sz w:val="20"/>
                <w:szCs w:val="20"/>
                <w:vertAlign w:val="superscript"/>
              </w:rPr>
              <w:t>3</w:t>
            </w:r>
          </w:p>
        </w:tc>
        <w:tc>
          <w:tcPr>
            <w:tcW w:w="2268" w:type="dxa"/>
          </w:tcPr>
          <w:p w14:paraId="36F9ED9F" w14:textId="77777777" w:rsidR="007C7138" w:rsidRPr="007C7138" w:rsidRDefault="007C7138" w:rsidP="007168C9">
            <w:pPr>
              <w:rPr>
                <w:rFonts w:ascii="Arial" w:hAnsi="Arial" w:cs="Arial"/>
                <w:sz w:val="20"/>
                <w:szCs w:val="20"/>
              </w:rPr>
            </w:pPr>
            <w:r w:rsidRPr="007C7138">
              <w:rPr>
                <w:rFonts w:ascii="Arial" w:hAnsi="Arial" w:cs="Arial"/>
                <w:sz w:val="20"/>
                <w:szCs w:val="20"/>
              </w:rPr>
              <w:t>7.75</w:t>
            </w:r>
          </w:p>
        </w:tc>
        <w:tc>
          <w:tcPr>
            <w:tcW w:w="2268" w:type="dxa"/>
          </w:tcPr>
          <w:p w14:paraId="2D1DC5EE" w14:textId="77777777" w:rsidR="007C7138" w:rsidRPr="007C7138" w:rsidRDefault="007C7138" w:rsidP="007168C9">
            <w:pPr>
              <w:rPr>
                <w:rFonts w:ascii="Arial" w:hAnsi="Arial" w:cs="Arial"/>
                <w:sz w:val="20"/>
                <w:szCs w:val="20"/>
              </w:rPr>
            </w:pPr>
            <w:r w:rsidRPr="007C7138">
              <w:rPr>
                <w:rFonts w:ascii="Arial" w:hAnsi="Arial" w:cs="Arial"/>
                <w:sz w:val="20"/>
                <w:szCs w:val="20"/>
              </w:rPr>
              <w:t>8.51</w:t>
            </w:r>
          </w:p>
        </w:tc>
        <w:tc>
          <w:tcPr>
            <w:tcW w:w="2188" w:type="dxa"/>
          </w:tcPr>
          <w:p w14:paraId="6A3EF4C7" w14:textId="77777777" w:rsidR="007C7138" w:rsidRPr="007C7138" w:rsidRDefault="007C7138" w:rsidP="007168C9">
            <w:pPr>
              <w:rPr>
                <w:rFonts w:ascii="Arial" w:hAnsi="Arial" w:cs="Arial"/>
                <w:sz w:val="20"/>
                <w:szCs w:val="20"/>
              </w:rPr>
            </w:pPr>
            <w:r w:rsidRPr="007C7138">
              <w:rPr>
                <w:rFonts w:ascii="Arial" w:hAnsi="Arial" w:cs="Arial"/>
                <w:sz w:val="20"/>
                <w:szCs w:val="20"/>
              </w:rPr>
              <w:t>8.65</w:t>
            </w:r>
          </w:p>
        </w:tc>
      </w:tr>
      <w:tr w:rsidR="007C7138" w:rsidRPr="007C7138" w14:paraId="111DE9BC" w14:textId="77777777" w:rsidTr="007168C9">
        <w:tc>
          <w:tcPr>
            <w:tcW w:w="2518" w:type="dxa"/>
          </w:tcPr>
          <w:p w14:paraId="46299AC8" w14:textId="77777777" w:rsidR="007C7138" w:rsidRPr="007C7138" w:rsidRDefault="007C7138" w:rsidP="007168C9">
            <w:pPr>
              <w:rPr>
                <w:rFonts w:ascii="Arial" w:hAnsi="Arial" w:cs="Arial"/>
                <w:sz w:val="20"/>
                <w:szCs w:val="20"/>
              </w:rPr>
            </w:pPr>
            <w:r w:rsidRPr="007C7138">
              <w:rPr>
                <w:rFonts w:ascii="Arial" w:hAnsi="Arial" w:cs="Arial"/>
                <w:sz w:val="20"/>
                <w:szCs w:val="20"/>
              </w:rPr>
              <w:t>170,000-1,000,000 m</w:t>
            </w:r>
            <w:r w:rsidRPr="007C7138">
              <w:rPr>
                <w:rFonts w:ascii="Arial" w:hAnsi="Arial" w:cs="Arial"/>
                <w:sz w:val="20"/>
                <w:szCs w:val="20"/>
                <w:vertAlign w:val="superscript"/>
              </w:rPr>
              <w:t>3</w:t>
            </w:r>
          </w:p>
        </w:tc>
        <w:tc>
          <w:tcPr>
            <w:tcW w:w="2268" w:type="dxa"/>
          </w:tcPr>
          <w:p w14:paraId="4523D61A" w14:textId="77777777" w:rsidR="007C7138" w:rsidRPr="007C7138" w:rsidRDefault="007C7138" w:rsidP="007168C9">
            <w:pPr>
              <w:rPr>
                <w:rFonts w:ascii="Arial" w:hAnsi="Arial" w:cs="Arial"/>
                <w:sz w:val="20"/>
                <w:szCs w:val="20"/>
              </w:rPr>
            </w:pPr>
            <w:r w:rsidRPr="007C7138">
              <w:rPr>
                <w:rFonts w:ascii="Arial" w:hAnsi="Arial" w:cs="Arial"/>
                <w:sz w:val="20"/>
                <w:szCs w:val="20"/>
              </w:rPr>
              <w:t>2.14</w:t>
            </w:r>
          </w:p>
        </w:tc>
        <w:tc>
          <w:tcPr>
            <w:tcW w:w="2268" w:type="dxa"/>
          </w:tcPr>
          <w:p w14:paraId="0AD98F6C" w14:textId="77777777" w:rsidR="007C7138" w:rsidRPr="007C7138" w:rsidRDefault="007C7138" w:rsidP="007168C9">
            <w:pPr>
              <w:rPr>
                <w:rFonts w:ascii="Arial" w:hAnsi="Arial" w:cs="Arial"/>
                <w:sz w:val="20"/>
                <w:szCs w:val="20"/>
              </w:rPr>
            </w:pPr>
            <w:r w:rsidRPr="007C7138">
              <w:rPr>
                <w:rFonts w:ascii="Arial" w:hAnsi="Arial" w:cs="Arial"/>
                <w:sz w:val="20"/>
                <w:szCs w:val="20"/>
              </w:rPr>
              <w:t>2.35</w:t>
            </w:r>
          </w:p>
        </w:tc>
        <w:tc>
          <w:tcPr>
            <w:tcW w:w="2188" w:type="dxa"/>
          </w:tcPr>
          <w:p w14:paraId="575FCBE5" w14:textId="77777777" w:rsidR="007C7138" w:rsidRPr="007C7138" w:rsidRDefault="007C7138" w:rsidP="007168C9">
            <w:pPr>
              <w:rPr>
                <w:rFonts w:ascii="Arial" w:hAnsi="Arial" w:cs="Arial"/>
                <w:sz w:val="20"/>
                <w:szCs w:val="20"/>
              </w:rPr>
            </w:pPr>
            <w:r w:rsidRPr="007C7138">
              <w:rPr>
                <w:rFonts w:ascii="Arial" w:hAnsi="Arial" w:cs="Arial"/>
                <w:sz w:val="20"/>
                <w:szCs w:val="20"/>
              </w:rPr>
              <w:t>2.39</w:t>
            </w:r>
          </w:p>
        </w:tc>
      </w:tr>
      <w:tr w:rsidR="007C7138" w:rsidRPr="007C7138" w14:paraId="25C272C9" w14:textId="77777777" w:rsidTr="007168C9">
        <w:tc>
          <w:tcPr>
            <w:tcW w:w="2518" w:type="dxa"/>
          </w:tcPr>
          <w:p w14:paraId="439C8718" w14:textId="77777777" w:rsidR="007C7138" w:rsidRPr="007C7138" w:rsidRDefault="007C7138" w:rsidP="007168C9">
            <w:pPr>
              <w:rPr>
                <w:rFonts w:ascii="Arial" w:hAnsi="Arial" w:cs="Arial"/>
                <w:sz w:val="20"/>
                <w:szCs w:val="20"/>
              </w:rPr>
            </w:pPr>
            <w:r w:rsidRPr="007C7138">
              <w:rPr>
                <w:rFonts w:ascii="Arial" w:hAnsi="Arial" w:cs="Arial"/>
                <w:sz w:val="20"/>
                <w:szCs w:val="20"/>
              </w:rPr>
              <w:t>1,000,000-10,000,000 m</w:t>
            </w:r>
            <w:r w:rsidRPr="007C7138">
              <w:rPr>
                <w:rFonts w:ascii="Arial" w:hAnsi="Arial" w:cs="Arial"/>
                <w:sz w:val="20"/>
                <w:szCs w:val="20"/>
                <w:vertAlign w:val="superscript"/>
              </w:rPr>
              <w:t>3</w:t>
            </w:r>
          </w:p>
        </w:tc>
        <w:tc>
          <w:tcPr>
            <w:tcW w:w="2268" w:type="dxa"/>
          </w:tcPr>
          <w:p w14:paraId="66F78D97" w14:textId="77777777" w:rsidR="007C7138" w:rsidRPr="007C7138" w:rsidRDefault="007C7138" w:rsidP="007168C9">
            <w:pPr>
              <w:rPr>
                <w:rFonts w:ascii="Arial" w:hAnsi="Arial" w:cs="Arial"/>
                <w:sz w:val="20"/>
                <w:szCs w:val="20"/>
              </w:rPr>
            </w:pPr>
            <w:r w:rsidRPr="007C7138">
              <w:rPr>
                <w:rFonts w:ascii="Arial" w:hAnsi="Arial" w:cs="Arial"/>
                <w:sz w:val="20"/>
                <w:szCs w:val="20"/>
              </w:rPr>
              <w:t>2.12</w:t>
            </w:r>
          </w:p>
        </w:tc>
        <w:tc>
          <w:tcPr>
            <w:tcW w:w="2268" w:type="dxa"/>
          </w:tcPr>
          <w:p w14:paraId="41FFCCF2" w14:textId="77777777" w:rsidR="007C7138" w:rsidRPr="007C7138" w:rsidRDefault="007C7138" w:rsidP="007168C9">
            <w:pPr>
              <w:rPr>
                <w:rFonts w:ascii="Arial" w:hAnsi="Arial" w:cs="Arial"/>
                <w:sz w:val="20"/>
                <w:szCs w:val="20"/>
              </w:rPr>
            </w:pPr>
            <w:r w:rsidRPr="007C7138">
              <w:rPr>
                <w:rFonts w:ascii="Arial" w:hAnsi="Arial" w:cs="Arial"/>
                <w:sz w:val="20"/>
                <w:szCs w:val="20"/>
              </w:rPr>
              <w:t>2.32</w:t>
            </w:r>
          </w:p>
        </w:tc>
        <w:tc>
          <w:tcPr>
            <w:tcW w:w="2188" w:type="dxa"/>
          </w:tcPr>
          <w:p w14:paraId="0D6639C2" w14:textId="77777777" w:rsidR="007C7138" w:rsidRPr="007C7138" w:rsidRDefault="007C7138" w:rsidP="007168C9">
            <w:pPr>
              <w:rPr>
                <w:rFonts w:ascii="Arial" w:hAnsi="Arial" w:cs="Arial"/>
                <w:sz w:val="20"/>
                <w:szCs w:val="20"/>
              </w:rPr>
            </w:pPr>
            <w:r w:rsidRPr="007C7138">
              <w:rPr>
                <w:rFonts w:ascii="Arial" w:hAnsi="Arial" w:cs="Arial"/>
                <w:sz w:val="20"/>
                <w:szCs w:val="20"/>
              </w:rPr>
              <w:t>2.36</w:t>
            </w:r>
          </w:p>
        </w:tc>
      </w:tr>
      <w:tr w:rsidR="007C7138" w:rsidRPr="007C7138" w14:paraId="57007C18" w14:textId="77777777" w:rsidTr="007168C9">
        <w:tc>
          <w:tcPr>
            <w:tcW w:w="2518" w:type="dxa"/>
          </w:tcPr>
          <w:p w14:paraId="2FBA6269" w14:textId="77777777" w:rsidR="007C7138" w:rsidRPr="007C7138" w:rsidRDefault="007C7138" w:rsidP="007168C9">
            <w:pPr>
              <w:rPr>
                <w:rFonts w:ascii="Arial" w:hAnsi="Arial" w:cs="Arial"/>
                <w:sz w:val="20"/>
                <w:szCs w:val="20"/>
              </w:rPr>
            </w:pPr>
            <w:r w:rsidRPr="007C7138">
              <w:rPr>
                <w:rFonts w:ascii="Arial" w:hAnsi="Arial" w:cs="Arial"/>
                <w:sz w:val="20"/>
                <w:szCs w:val="20"/>
              </w:rPr>
              <w:t>&gt; 10,000,000 m</w:t>
            </w:r>
            <w:r w:rsidRPr="007C7138">
              <w:rPr>
                <w:rFonts w:ascii="Arial" w:hAnsi="Arial" w:cs="Arial"/>
                <w:sz w:val="20"/>
                <w:szCs w:val="20"/>
                <w:vertAlign w:val="superscript"/>
              </w:rPr>
              <w:t>3</w:t>
            </w:r>
          </w:p>
        </w:tc>
        <w:tc>
          <w:tcPr>
            <w:tcW w:w="2268" w:type="dxa"/>
          </w:tcPr>
          <w:p w14:paraId="1C5E245F" w14:textId="77777777" w:rsidR="007C7138" w:rsidRPr="007C7138" w:rsidRDefault="007C7138" w:rsidP="007168C9">
            <w:pPr>
              <w:rPr>
                <w:rFonts w:ascii="Arial" w:hAnsi="Arial" w:cs="Arial"/>
                <w:sz w:val="20"/>
                <w:szCs w:val="20"/>
              </w:rPr>
            </w:pPr>
            <w:r w:rsidRPr="007C7138">
              <w:rPr>
                <w:rFonts w:ascii="Arial" w:hAnsi="Arial" w:cs="Arial"/>
                <w:sz w:val="20"/>
                <w:szCs w:val="20"/>
              </w:rPr>
              <w:t>2.12</w:t>
            </w:r>
          </w:p>
        </w:tc>
        <w:tc>
          <w:tcPr>
            <w:tcW w:w="2268" w:type="dxa"/>
          </w:tcPr>
          <w:p w14:paraId="62A61C43" w14:textId="77777777" w:rsidR="007C7138" w:rsidRPr="007C7138" w:rsidRDefault="007C7138" w:rsidP="007168C9">
            <w:pPr>
              <w:rPr>
                <w:rFonts w:ascii="Arial" w:hAnsi="Arial" w:cs="Arial"/>
                <w:sz w:val="20"/>
                <w:szCs w:val="20"/>
              </w:rPr>
            </w:pPr>
            <w:r w:rsidRPr="007C7138">
              <w:rPr>
                <w:rFonts w:ascii="Arial" w:hAnsi="Arial" w:cs="Arial"/>
                <w:sz w:val="20"/>
                <w:szCs w:val="20"/>
              </w:rPr>
              <w:t>2.32</w:t>
            </w:r>
          </w:p>
        </w:tc>
        <w:tc>
          <w:tcPr>
            <w:tcW w:w="2188" w:type="dxa"/>
          </w:tcPr>
          <w:p w14:paraId="199728AF" w14:textId="77777777" w:rsidR="007C7138" w:rsidRPr="007C7138" w:rsidRDefault="007C7138" w:rsidP="007168C9">
            <w:pPr>
              <w:rPr>
                <w:rFonts w:ascii="Arial" w:hAnsi="Arial" w:cs="Arial"/>
                <w:sz w:val="20"/>
                <w:szCs w:val="20"/>
              </w:rPr>
            </w:pPr>
            <w:r w:rsidRPr="007C7138">
              <w:rPr>
                <w:rFonts w:ascii="Arial" w:hAnsi="Arial" w:cs="Arial"/>
                <w:sz w:val="20"/>
                <w:szCs w:val="20"/>
              </w:rPr>
              <w:t>2.36</w:t>
            </w:r>
          </w:p>
        </w:tc>
      </w:tr>
    </w:tbl>
    <w:p w14:paraId="1101A754" w14:textId="76710C07" w:rsidR="007C7138" w:rsidRDefault="007C7138" w:rsidP="005C0CAF">
      <w:pPr>
        <w:rPr>
          <w:rFonts w:ascii="Arial" w:hAnsi="Arial" w:cs="Arial"/>
          <w:sz w:val="20"/>
          <w:szCs w:val="20"/>
        </w:rPr>
      </w:pPr>
    </w:p>
    <w:tbl>
      <w:tblPr>
        <w:tblStyle w:val="Tabelraster"/>
        <w:tblW w:w="0" w:type="auto"/>
        <w:tblLook w:val="04A0" w:firstRow="1" w:lastRow="0" w:firstColumn="1" w:lastColumn="0" w:noHBand="0" w:noVBand="1"/>
      </w:tblPr>
      <w:tblGrid>
        <w:gridCol w:w="2480"/>
        <w:gridCol w:w="2220"/>
        <w:gridCol w:w="2220"/>
        <w:gridCol w:w="2142"/>
      </w:tblGrid>
      <w:tr w:rsidR="007C7138" w:rsidRPr="007C7138" w14:paraId="6CF33D2C" w14:textId="77777777" w:rsidTr="007168C9">
        <w:tc>
          <w:tcPr>
            <w:tcW w:w="9242" w:type="dxa"/>
            <w:gridSpan w:val="4"/>
          </w:tcPr>
          <w:p w14:paraId="03BFB79A" w14:textId="77777777" w:rsidR="007C7138" w:rsidRPr="007C7138" w:rsidRDefault="007C7138" w:rsidP="007168C9">
            <w:pPr>
              <w:rPr>
                <w:rFonts w:ascii="Arial" w:hAnsi="Arial" w:cs="Arial"/>
                <w:sz w:val="20"/>
                <w:szCs w:val="20"/>
              </w:rPr>
            </w:pPr>
            <w:r w:rsidRPr="007C7138">
              <w:rPr>
                <w:rFonts w:ascii="Arial" w:hAnsi="Arial" w:cs="Arial"/>
                <w:sz w:val="20"/>
                <w:szCs w:val="20"/>
              </w:rPr>
              <w:t>Natural gas for horticulture in cents/m</w:t>
            </w:r>
            <w:r w:rsidRPr="007C7138">
              <w:rPr>
                <w:rFonts w:ascii="Arial" w:hAnsi="Arial" w:cs="Arial"/>
                <w:sz w:val="20"/>
                <w:szCs w:val="20"/>
                <w:vertAlign w:val="superscript"/>
              </w:rPr>
              <w:t>3</w:t>
            </w:r>
          </w:p>
        </w:tc>
      </w:tr>
      <w:tr w:rsidR="007C7138" w:rsidRPr="007C7138" w14:paraId="24CF375B" w14:textId="77777777" w:rsidTr="007168C9">
        <w:tc>
          <w:tcPr>
            <w:tcW w:w="2518" w:type="dxa"/>
          </w:tcPr>
          <w:p w14:paraId="4A7EC3F5" w14:textId="77777777" w:rsidR="007C7138" w:rsidRPr="007C7138" w:rsidRDefault="007C7138" w:rsidP="007168C9">
            <w:pPr>
              <w:rPr>
                <w:rFonts w:ascii="Arial" w:hAnsi="Arial" w:cs="Arial"/>
                <w:sz w:val="20"/>
                <w:szCs w:val="20"/>
              </w:rPr>
            </w:pPr>
            <w:r w:rsidRPr="007C7138">
              <w:rPr>
                <w:rFonts w:ascii="Arial" w:hAnsi="Arial" w:cs="Arial"/>
                <w:sz w:val="20"/>
                <w:szCs w:val="20"/>
              </w:rPr>
              <w:t>0-170,000 m</w:t>
            </w:r>
            <w:r w:rsidRPr="007C7138">
              <w:rPr>
                <w:rFonts w:ascii="Arial" w:hAnsi="Arial" w:cs="Arial"/>
                <w:sz w:val="20"/>
                <w:szCs w:val="20"/>
                <w:vertAlign w:val="superscript"/>
              </w:rPr>
              <w:t>3</w:t>
            </w:r>
          </w:p>
        </w:tc>
        <w:tc>
          <w:tcPr>
            <w:tcW w:w="2268" w:type="dxa"/>
          </w:tcPr>
          <w:p w14:paraId="7C307B52" w14:textId="77777777" w:rsidR="007C7138" w:rsidRPr="007C7138" w:rsidRDefault="007C7138" w:rsidP="007168C9">
            <w:pPr>
              <w:rPr>
                <w:rFonts w:ascii="Arial" w:hAnsi="Arial" w:cs="Arial"/>
                <w:sz w:val="20"/>
                <w:szCs w:val="20"/>
              </w:rPr>
            </w:pPr>
            <w:r w:rsidRPr="007C7138">
              <w:rPr>
                <w:rFonts w:ascii="Arial" w:hAnsi="Arial" w:cs="Arial"/>
                <w:sz w:val="20"/>
                <w:szCs w:val="20"/>
              </w:rPr>
              <w:t>1.24</w:t>
            </w:r>
          </w:p>
        </w:tc>
        <w:tc>
          <w:tcPr>
            <w:tcW w:w="2268" w:type="dxa"/>
          </w:tcPr>
          <w:p w14:paraId="6AF7F983" w14:textId="77777777" w:rsidR="007C7138" w:rsidRPr="007C7138" w:rsidRDefault="007C7138" w:rsidP="007168C9">
            <w:pPr>
              <w:rPr>
                <w:rFonts w:ascii="Arial" w:hAnsi="Arial" w:cs="Arial"/>
                <w:sz w:val="20"/>
                <w:szCs w:val="20"/>
              </w:rPr>
            </w:pPr>
            <w:r w:rsidRPr="007C7138">
              <w:rPr>
                <w:rFonts w:ascii="Arial" w:hAnsi="Arial" w:cs="Arial"/>
                <w:sz w:val="20"/>
                <w:szCs w:val="20"/>
              </w:rPr>
              <w:t>1.37</w:t>
            </w:r>
          </w:p>
        </w:tc>
        <w:tc>
          <w:tcPr>
            <w:tcW w:w="2188" w:type="dxa"/>
          </w:tcPr>
          <w:p w14:paraId="462C1931" w14:textId="77777777" w:rsidR="007C7138" w:rsidRPr="007C7138" w:rsidRDefault="007C7138" w:rsidP="007168C9">
            <w:pPr>
              <w:rPr>
                <w:rFonts w:ascii="Arial" w:hAnsi="Arial" w:cs="Arial"/>
                <w:sz w:val="20"/>
                <w:szCs w:val="20"/>
              </w:rPr>
            </w:pPr>
            <w:r w:rsidRPr="007C7138">
              <w:rPr>
                <w:rFonts w:ascii="Arial" w:hAnsi="Arial" w:cs="Arial"/>
                <w:sz w:val="20"/>
                <w:szCs w:val="20"/>
              </w:rPr>
              <w:t>1.39</w:t>
            </w:r>
          </w:p>
        </w:tc>
      </w:tr>
      <w:tr w:rsidR="007C7138" w:rsidRPr="007C7138" w14:paraId="1F1B79EC" w14:textId="77777777" w:rsidTr="007168C9">
        <w:tc>
          <w:tcPr>
            <w:tcW w:w="2518" w:type="dxa"/>
          </w:tcPr>
          <w:p w14:paraId="3C8B6DA2" w14:textId="77777777" w:rsidR="007C7138" w:rsidRPr="007C7138" w:rsidRDefault="007C7138" w:rsidP="007168C9">
            <w:pPr>
              <w:rPr>
                <w:rFonts w:ascii="Arial" w:hAnsi="Arial" w:cs="Arial"/>
                <w:sz w:val="20"/>
                <w:szCs w:val="20"/>
              </w:rPr>
            </w:pPr>
            <w:r w:rsidRPr="007C7138">
              <w:rPr>
                <w:rFonts w:ascii="Arial" w:hAnsi="Arial" w:cs="Arial"/>
                <w:sz w:val="20"/>
                <w:szCs w:val="20"/>
              </w:rPr>
              <w:t>170,000-1,000,000 m</w:t>
            </w:r>
            <w:r w:rsidRPr="007C7138">
              <w:rPr>
                <w:rFonts w:ascii="Arial" w:hAnsi="Arial" w:cs="Arial"/>
                <w:sz w:val="20"/>
                <w:szCs w:val="20"/>
                <w:vertAlign w:val="superscript"/>
              </w:rPr>
              <w:t>3</w:t>
            </w:r>
          </w:p>
        </w:tc>
        <w:tc>
          <w:tcPr>
            <w:tcW w:w="2268" w:type="dxa"/>
          </w:tcPr>
          <w:p w14:paraId="4BF9B5F2" w14:textId="77777777" w:rsidR="007C7138" w:rsidRPr="007C7138" w:rsidRDefault="007C7138" w:rsidP="007168C9">
            <w:pPr>
              <w:rPr>
                <w:rFonts w:ascii="Arial" w:hAnsi="Arial" w:cs="Arial"/>
                <w:sz w:val="20"/>
                <w:szCs w:val="20"/>
              </w:rPr>
            </w:pPr>
            <w:r w:rsidRPr="007C7138">
              <w:rPr>
                <w:rFonts w:ascii="Arial" w:hAnsi="Arial" w:cs="Arial"/>
                <w:sz w:val="20"/>
                <w:szCs w:val="20"/>
              </w:rPr>
              <w:t>0.81</w:t>
            </w:r>
          </w:p>
        </w:tc>
        <w:tc>
          <w:tcPr>
            <w:tcW w:w="2268" w:type="dxa"/>
          </w:tcPr>
          <w:p w14:paraId="45C5D370" w14:textId="77777777" w:rsidR="007C7138" w:rsidRPr="007C7138" w:rsidRDefault="007C7138" w:rsidP="007168C9">
            <w:pPr>
              <w:rPr>
                <w:rFonts w:ascii="Arial" w:hAnsi="Arial" w:cs="Arial"/>
                <w:sz w:val="20"/>
                <w:szCs w:val="20"/>
              </w:rPr>
            </w:pPr>
            <w:r w:rsidRPr="007C7138">
              <w:rPr>
                <w:rFonts w:ascii="Arial" w:hAnsi="Arial" w:cs="Arial"/>
                <w:sz w:val="20"/>
                <w:szCs w:val="20"/>
              </w:rPr>
              <w:t>0.89</w:t>
            </w:r>
          </w:p>
        </w:tc>
        <w:tc>
          <w:tcPr>
            <w:tcW w:w="2188" w:type="dxa"/>
          </w:tcPr>
          <w:p w14:paraId="514D5750" w14:textId="77777777" w:rsidR="007C7138" w:rsidRPr="007C7138" w:rsidRDefault="007C7138" w:rsidP="007168C9">
            <w:pPr>
              <w:rPr>
                <w:rFonts w:ascii="Arial" w:hAnsi="Arial" w:cs="Arial"/>
                <w:sz w:val="20"/>
                <w:szCs w:val="20"/>
              </w:rPr>
            </w:pPr>
            <w:r w:rsidRPr="007C7138">
              <w:rPr>
                <w:rFonts w:ascii="Arial" w:hAnsi="Arial" w:cs="Arial"/>
                <w:sz w:val="20"/>
                <w:szCs w:val="20"/>
              </w:rPr>
              <w:t>0.90</w:t>
            </w:r>
          </w:p>
        </w:tc>
      </w:tr>
      <w:tr w:rsidR="007C7138" w:rsidRPr="007C7138" w14:paraId="262A0300" w14:textId="77777777" w:rsidTr="007168C9">
        <w:tc>
          <w:tcPr>
            <w:tcW w:w="2518" w:type="dxa"/>
          </w:tcPr>
          <w:p w14:paraId="7C210EC0" w14:textId="77777777" w:rsidR="007C7138" w:rsidRPr="007C7138" w:rsidRDefault="007C7138" w:rsidP="007168C9">
            <w:pPr>
              <w:rPr>
                <w:rFonts w:ascii="Arial" w:hAnsi="Arial" w:cs="Arial"/>
                <w:sz w:val="20"/>
                <w:szCs w:val="20"/>
              </w:rPr>
            </w:pPr>
            <w:r w:rsidRPr="007C7138">
              <w:rPr>
                <w:rFonts w:ascii="Arial" w:hAnsi="Arial" w:cs="Arial"/>
                <w:sz w:val="20"/>
                <w:szCs w:val="20"/>
              </w:rPr>
              <w:t>1,000,000-10,000,000 m</w:t>
            </w:r>
            <w:r w:rsidRPr="007C7138">
              <w:rPr>
                <w:rFonts w:ascii="Arial" w:hAnsi="Arial" w:cs="Arial"/>
                <w:sz w:val="20"/>
                <w:szCs w:val="20"/>
                <w:vertAlign w:val="superscript"/>
              </w:rPr>
              <w:t>3</w:t>
            </w:r>
          </w:p>
        </w:tc>
        <w:tc>
          <w:tcPr>
            <w:tcW w:w="2268" w:type="dxa"/>
          </w:tcPr>
          <w:p w14:paraId="1B3FC88C" w14:textId="77777777" w:rsidR="007C7138" w:rsidRPr="007C7138" w:rsidRDefault="007C7138" w:rsidP="007168C9">
            <w:pPr>
              <w:rPr>
                <w:rFonts w:ascii="Arial" w:hAnsi="Arial" w:cs="Arial"/>
                <w:sz w:val="20"/>
                <w:szCs w:val="20"/>
              </w:rPr>
            </w:pPr>
            <w:r w:rsidRPr="007C7138">
              <w:rPr>
                <w:rFonts w:ascii="Arial" w:hAnsi="Arial" w:cs="Arial"/>
                <w:sz w:val="20"/>
                <w:szCs w:val="20"/>
              </w:rPr>
              <w:t>2.12</w:t>
            </w:r>
          </w:p>
        </w:tc>
        <w:tc>
          <w:tcPr>
            <w:tcW w:w="2268" w:type="dxa"/>
          </w:tcPr>
          <w:p w14:paraId="78FD72CE" w14:textId="77777777" w:rsidR="007C7138" w:rsidRPr="007C7138" w:rsidRDefault="007C7138" w:rsidP="007168C9">
            <w:pPr>
              <w:rPr>
                <w:rFonts w:ascii="Arial" w:hAnsi="Arial" w:cs="Arial"/>
                <w:sz w:val="20"/>
                <w:szCs w:val="20"/>
              </w:rPr>
            </w:pPr>
            <w:r w:rsidRPr="007C7138">
              <w:rPr>
                <w:rFonts w:ascii="Arial" w:hAnsi="Arial" w:cs="Arial"/>
                <w:sz w:val="20"/>
                <w:szCs w:val="20"/>
              </w:rPr>
              <w:t>2.32</w:t>
            </w:r>
          </w:p>
        </w:tc>
        <w:tc>
          <w:tcPr>
            <w:tcW w:w="2188" w:type="dxa"/>
          </w:tcPr>
          <w:p w14:paraId="2E2A41C6" w14:textId="77777777" w:rsidR="007C7138" w:rsidRPr="007C7138" w:rsidRDefault="007C7138" w:rsidP="007168C9">
            <w:pPr>
              <w:rPr>
                <w:rFonts w:ascii="Arial" w:hAnsi="Arial" w:cs="Arial"/>
                <w:sz w:val="20"/>
                <w:szCs w:val="20"/>
              </w:rPr>
            </w:pPr>
            <w:r w:rsidRPr="007C7138">
              <w:rPr>
                <w:rFonts w:ascii="Arial" w:hAnsi="Arial" w:cs="Arial"/>
                <w:sz w:val="20"/>
                <w:szCs w:val="20"/>
              </w:rPr>
              <w:t>2.36</w:t>
            </w:r>
          </w:p>
        </w:tc>
      </w:tr>
      <w:tr w:rsidR="007C7138" w:rsidRPr="007C7138" w14:paraId="616E0120" w14:textId="77777777" w:rsidTr="007168C9">
        <w:tc>
          <w:tcPr>
            <w:tcW w:w="2518" w:type="dxa"/>
          </w:tcPr>
          <w:p w14:paraId="34C1E813" w14:textId="77777777" w:rsidR="007C7138" w:rsidRPr="007C7138" w:rsidRDefault="007C7138" w:rsidP="007168C9">
            <w:pPr>
              <w:rPr>
                <w:rFonts w:ascii="Arial" w:hAnsi="Arial" w:cs="Arial"/>
                <w:sz w:val="20"/>
                <w:szCs w:val="20"/>
              </w:rPr>
            </w:pPr>
            <w:r w:rsidRPr="007C7138">
              <w:rPr>
                <w:rFonts w:ascii="Arial" w:hAnsi="Arial" w:cs="Arial"/>
                <w:sz w:val="20"/>
                <w:szCs w:val="20"/>
              </w:rPr>
              <w:t>&gt; 10,000,000 m</w:t>
            </w:r>
            <w:r w:rsidRPr="007C7138">
              <w:rPr>
                <w:rFonts w:ascii="Arial" w:hAnsi="Arial" w:cs="Arial"/>
                <w:sz w:val="20"/>
                <w:szCs w:val="20"/>
                <w:vertAlign w:val="superscript"/>
              </w:rPr>
              <w:t>3</w:t>
            </w:r>
          </w:p>
        </w:tc>
        <w:tc>
          <w:tcPr>
            <w:tcW w:w="2268" w:type="dxa"/>
          </w:tcPr>
          <w:p w14:paraId="0DF0E8E9" w14:textId="77777777" w:rsidR="007C7138" w:rsidRPr="007C7138" w:rsidRDefault="007C7138" w:rsidP="007168C9">
            <w:pPr>
              <w:rPr>
                <w:rFonts w:ascii="Arial" w:hAnsi="Arial" w:cs="Arial"/>
                <w:sz w:val="20"/>
                <w:szCs w:val="20"/>
              </w:rPr>
            </w:pPr>
            <w:r w:rsidRPr="007C7138">
              <w:rPr>
                <w:rFonts w:ascii="Arial" w:hAnsi="Arial" w:cs="Arial"/>
                <w:sz w:val="20"/>
                <w:szCs w:val="20"/>
              </w:rPr>
              <w:t>2.12</w:t>
            </w:r>
          </w:p>
        </w:tc>
        <w:tc>
          <w:tcPr>
            <w:tcW w:w="2268" w:type="dxa"/>
          </w:tcPr>
          <w:p w14:paraId="6E23FB79" w14:textId="77777777" w:rsidR="007C7138" w:rsidRPr="007C7138" w:rsidRDefault="007C7138" w:rsidP="007168C9">
            <w:pPr>
              <w:rPr>
                <w:rFonts w:ascii="Arial" w:hAnsi="Arial" w:cs="Arial"/>
                <w:sz w:val="20"/>
                <w:szCs w:val="20"/>
              </w:rPr>
            </w:pPr>
            <w:r w:rsidRPr="007C7138">
              <w:rPr>
                <w:rFonts w:ascii="Arial" w:hAnsi="Arial" w:cs="Arial"/>
                <w:sz w:val="20"/>
                <w:szCs w:val="20"/>
              </w:rPr>
              <w:t>2.32</w:t>
            </w:r>
          </w:p>
        </w:tc>
        <w:tc>
          <w:tcPr>
            <w:tcW w:w="2188" w:type="dxa"/>
          </w:tcPr>
          <w:p w14:paraId="75734013" w14:textId="77777777" w:rsidR="007C7138" w:rsidRPr="007C7138" w:rsidRDefault="007C7138" w:rsidP="007168C9">
            <w:pPr>
              <w:rPr>
                <w:rFonts w:ascii="Arial" w:hAnsi="Arial" w:cs="Arial"/>
                <w:sz w:val="20"/>
                <w:szCs w:val="20"/>
              </w:rPr>
            </w:pPr>
            <w:r w:rsidRPr="007C7138">
              <w:rPr>
                <w:rFonts w:ascii="Arial" w:hAnsi="Arial" w:cs="Arial"/>
                <w:sz w:val="20"/>
                <w:szCs w:val="20"/>
              </w:rPr>
              <w:t>2.36</w:t>
            </w:r>
          </w:p>
        </w:tc>
      </w:tr>
    </w:tbl>
    <w:p w14:paraId="69E76CA4" w14:textId="5AEE35D3" w:rsidR="007C7138" w:rsidRDefault="007C7138" w:rsidP="005C0CAF">
      <w:pPr>
        <w:rPr>
          <w:rFonts w:ascii="Arial" w:hAnsi="Arial" w:cs="Arial"/>
          <w:sz w:val="20"/>
          <w:szCs w:val="20"/>
        </w:rPr>
      </w:pPr>
    </w:p>
    <w:tbl>
      <w:tblPr>
        <w:tblStyle w:val="Tabelraster"/>
        <w:tblW w:w="0" w:type="auto"/>
        <w:tblLook w:val="04A0" w:firstRow="1" w:lastRow="0" w:firstColumn="1" w:lastColumn="0" w:noHBand="0" w:noVBand="1"/>
      </w:tblPr>
      <w:tblGrid>
        <w:gridCol w:w="2480"/>
        <w:gridCol w:w="2220"/>
        <w:gridCol w:w="2220"/>
        <w:gridCol w:w="2142"/>
      </w:tblGrid>
      <w:tr w:rsidR="007C7138" w:rsidRPr="007C7138" w14:paraId="4BE198A6" w14:textId="77777777" w:rsidTr="007168C9">
        <w:tc>
          <w:tcPr>
            <w:tcW w:w="9242" w:type="dxa"/>
            <w:gridSpan w:val="4"/>
          </w:tcPr>
          <w:p w14:paraId="638A4E10" w14:textId="77777777" w:rsidR="007C7138" w:rsidRPr="007C7138" w:rsidRDefault="007C7138" w:rsidP="007168C9">
            <w:pPr>
              <w:rPr>
                <w:rFonts w:ascii="Arial" w:hAnsi="Arial" w:cs="Arial"/>
                <w:sz w:val="20"/>
                <w:szCs w:val="20"/>
              </w:rPr>
            </w:pPr>
            <w:r w:rsidRPr="007C7138">
              <w:rPr>
                <w:rFonts w:ascii="Arial" w:hAnsi="Arial" w:cs="Arial"/>
                <w:sz w:val="20"/>
                <w:szCs w:val="20"/>
              </w:rPr>
              <w:t>Electricity in cents/kWh</w:t>
            </w:r>
          </w:p>
        </w:tc>
      </w:tr>
      <w:tr w:rsidR="007C7138" w:rsidRPr="007C7138" w14:paraId="359698DE" w14:textId="77777777" w:rsidTr="007168C9">
        <w:tc>
          <w:tcPr>
            <w:tcW w:w="2518" w:type="dxa"/>
          </w:tcPr>
          <w:p w14:paraId="28A9F42B" w14:textId="77777777" w:rsidR="007C7138" w:rsidRPr="007C7138" w:rsidRDefault="007C7138" w:rsidP="007168C9">
            <w:pPr>
              <w:rPr>
                <w:rFonts w:ascii="Arial" w:hAnsi="Arial" w:cs="Arial"/>
                <w:sz w:val="20"/>
                <w:szCs w:val="20"/>
              </w:rPr>
            </w:pPr>
            <w:r w:rsidRPr="007C7138">
              <w:rPr>
                <w:rFonts w:ascii="Arial" w:hAnsi="Arial" w:cs="Arial"/>
                <w:sz w:val="20"/>
                <w:szCs w:val="20"/>
              </w:rPr>
              <w:t>0-10,000 kWh</w:t>
            </w:r>
          </w:p>
        </w:tc>
        <w:tc>
          <w:tcPr>
            <w:tcW w:w="2268" w:type="dxa"/>
          </w:tcPr>
          <w:p w14:paraId="1B08E3A0" w14:textId="77777777" w:rsidR="007C7138" w:rsidRPr="007C7138" w:rsidRDefault="007C7138" w:rsidP="007168C9">
            <w:pPr>
              <w:rPr>
                <w:rFonts w:ascii="Arial" w:hAnsi="Arial" w:cs="Arial"/>
                <w:sz w:val="20"/>
                <w:szCs w:val="20"/>
              </w:rPr>
            </w:pPr>
            <w:r w:rsidRPr="007C7138">
              <w:rPr>
                <w:rFonts w:ascii="Arial" w:hAnsi="Arial" w:cs="Arial"/>
                <w:sz w:val="20"/>
                <w:szCs w:val="20"/>
              </w:rPr>
              <w:t>2.73</w:t>
            </w:r>
          </w:p>
        </w:tc>
        <w:tc>
          <w:tcPr>
            <w:tcW w:w="2268" w:type="dxa"/>
          </w:tcPr>
          <w:p w14:paraId="3F1127F9" w14:textId="77777777" w:rsidR="007C7138" w:rsidRPr="007C7138" w:rsidRDefault="007C7138" w:rsidP="007168C9">
            <w:pPr>
              <w:rPr>
                <w:rFonts w:ascii="Arial" w:hAnsi="Arial" w:cs="Arial"/>
                <w:sz w:val="20"/>
                <w:szCs w:val="20"/>
              </w:rPr>
            </w:pPr>
            <w:r w:rsidRPr="007C7138">
              <w:rPr>
                <w:rFonts w:ascii="Arial" w:hAnsi="Arial" w:cs="Arial"/>
                <w:sz w:val="20"/>
                <w:szCs w:val="20"/>
              </w:rPr>
              <w:t>3.00</w:t>
            </w:r>
          </w:p>
        </w:tc>
        <w:tc>
          <w:tcPr>
            <w:tcW w:w="2188" w:type="dxa"/>
          </w:tcPr>
          <w:p w14:paraId="103753CD" w14:textId="77777777" w:rsidR="007C7138" w:rsidRPr="007C7138" w:rsidRDefault="007C7138" w:rsidP="007168C9">
            <w:pPr>
              <w:rPr>
                <w:rFonts w:ascii="Arial" w:hAnsi="Arial" w:cs="Arial"/>
                <w:sz w:val="20"/>
                <w:szCs w:val="20"/>
              </w:rPr>
            </w:pPr>
            <w:r w:rsidRPr="007C7138">
              <w:rPr>
                <w:rFonts w:ascii="Arial" w:hAnsi="Arial" w:cs="Arial"/>
                <w:sz w:val="20"/>
                <w:szCs w:val="20"/>
              </w:rPr>
              <w:t>3.05</w:t>
            </w:r>
          </w:p>
        </w:tc>
      </w:tr>
      <w:tr w:rsidR="007C7138" w:rsidRPr="007C7138" w14:paraId="7967F972" w14:textId="77777777" w:rsidTr="007168C9">
        <w:tc>
          <w:tcPr>
            <w:tcW w:w="2518" w:type="dxa"/>
          </w:tcPr>
          <w:p w14:paraId="6D735BBB" w14:textId="77777777" w:rsidR="007C7138" w:rsidRPr="007C7138" w:rsidRDefault="007C7138" w:rsidP="007168C9">
            <w:pPr>
              <w:rPr>
                <w:rFonts w:ascii="Arial" w:hAnsi="Arial" w:cs="Arial"/>
                <w:sz w:val="20"/>
                <w:szCs w:val="20"/>
              </w:rPr>
            </w:pPr>
            <w:r w:rsidRPr="007C7138">
              <w:rPr>
                <w:rFonts w:ascii="Arial" w:hAnsi="Arial" w:cs="Arial"/>
                <w:sz w:val="20"/>
                <w:szCs w:val="20"/>
              </w:rPr>
              <w:t>10,000-50,000 kWh</w:t>
            </w:r>
          </w:p>
        </w:tc>
        <w:tc>
          <w:tcPr>
            <w:tcW w:w="2268" w:type="dxa"/>
          </w:tcPr>
          <w:p w14:paraId="7D930207" w14:textId="77777777" w:rsidR="007C7138" w:rsidRPr="007C7138" w:rsidRDefault="007C7138" w:rsidP="007168C9">
            <w:pPr>
              <w:rPr>
                <w:rFonts w:ascii="Arial" w:hAnsi="Arial" w:cs="Arial"/>
                <w:sz w:val="20"/>
                <w:szCs w:val="20"/>
              </w:rPr>
            </w:pPr>
            <w:r w:rsidRPr="007C7138">
              <w:rPr>
                <w:rFonts w:ascii="Arial" w:hAnsi="Arial" w:cs="Arial"/>
                <w:sz w:val="20"/>
                <w:szCs w:val="20"/>
              </w:rPr>
              <w:t>3.75</w:t>
            </w:r>
          </w:p>
        </w:tc>
        <w:tc>
          <w:tcPr>
            <w:tcW w:w="2268" w:type="dxa"/>
          </w:tcPr>
          <w:p w14:paraId="0BC1B25E" w14:textId="77777777" w:rsidR="007C7138" w:rsidRPr="007C7138" w:rsidRDefault="007C7138" w:rsidP="007168C9">
            <w:pPr>
              <w:rPr>
                <w:rFonts w:ascii="Arial" w:hAnsi="Arial" w:cs="Arial"/>
                <w:sz w:val="20"/>
                <w:szCs w:val="20"/>
              </w:rPr>
            </w:pPr>
            <w:r w:rsidRPr="007C7138">
              <w:rPr>
                <w:rFonts w:ascii="Arial" w:hAnsi="Arial" w:cs="Arial"/>
                <w:sz w:val="20"/>
                <w:szCs w:val="20"/>
              </w:rPr>
              <w:t>4.11</w:t>
            </w:r>
          </w:p>
        </w:tc>
        <w:tc>
          <w:tcPr>
            <w:tcW w:w="2188" w:type="dxa"/>
          </w:tcPr>
          <w:p w14:paraId="20E48250" w14:textId="77777777" w:rsidR="007C7138" w:rsidRPr="007C7138" w:rsidRDefault="007C7138" w:rsidP="007168C9">
            <w:pPr>
              <w:rPr>
                <w:rFonts w:ascii="Arial" w:hAnsi="Arial" w:cs="Arial"/>
                <w:sz w:val="20"/>
                <w:szCs w:val="20"/>
              </w:rPr>
            </w:pPr>
            <w:r w:rsidRPr="007C7138">
              <w:rPr>
                <w:rFonts w:ascii="Arial" w:hAnsi="Arial" w:cs="Arial"/>
                <w:sz w:val="20"/>
                <w:szCs w:val="20"/>
              </w:rPr>
              <w:t>4.18</w:t>
            </w:r>
          </w:p>
        </w:tc>
      </w:tr>
      <w:tr w:rsidR="007C7138" w:rsidRPr="007C7138" w14:paraId="5163C159" w14:textId="77777777" w:rsidTr="007168C9">
        <w:tc>
          <w:tcPr>
            <w:tcW w:w="2518" w:type="dxa"/>
          </w:tcPr>
          <w:p w14:paraId="24D98812" w14:textId="77777777" w:rsidR="007C7138" w:rsidRPr="007C7138" w:rsidRDefault="007C7138" w:rsidP="007168C9">
            <w:pPr>
              <w:rPr>
                <w:rFonts w:ascii="Arial" w:hAnsi="Arial" w:cs="Arial"/>
                <w:sz w:val="20"/>
                <w:szCs w:val="20"/>
              </w:rPr>
            </w:pPr>
            <w:r w:rsidRPr="007C7138">
              <w:rPr>
                <w:rFonts w:ascii="Arial" w:hAnsi="Arial" w:cs="Arial"/>
                <w:sz w:val="20"/>
                <w:szCs w:val="20"/>
              </w:rPr>
              <w:t>50,000-10,000,000 kWh</w:t>
            </w:r>
          </w:p>
        </w:tc>
        <w:tc>
          <w:tcPr>
            <w:tcW w:w="2268" w:type="dxa"/>
          </w:tcPr>
          <w:p w14:paraId="4845E58B" w14:textId="77777777" w:rsidR="007C7138" w:rsidRPr="007C7138" w:rsidRDefault="007C7138" w:rsidP="007168C9">
            <w:pPr>
              <w:rPr>
                <w:rFonts w:ascii="Arial" w:hAnsi="Arial" w:cs="Arial"/>
                <w:sz w:val="20"/>
                <w:szCs w:val="20"/>
              </w:rPr>
            </w:pPr>
            <w:r w:rsidRPr="007C7138">
              <w:rPr>
                <w:rFonts w:ascii="Arial" w:hAnsi="Arial" w:cs="Arial"/>
                <w:sz w:val="20"/>
                <w:szCs w:val="20"/>
              </w:rPr>
              <w:t>2.05</w:t>
            </w:r>
          </w:p>
        </w:tc>
        <w:tc>
          <w:tcPr>
            <w:tcW w:w="2268" w:type="dxa"/>
          </w:tcPr>
          <w:p w14:paraId="3C83D884" w14:textId="77777777" w:rsidR="007C7138" w:rsidRPr="007C7138" w:rsidRDefault="007C7138" w:rsidP="007168C9">
            <w:pPr>
              <w:rPr>
                <w:rFonts w:ascii="Arial" w:hAnsi="Arial" w:cs="Arial"/>
                <w:sz w:val="20"/>
                <w:szCs w:val="20"/>
              </w:rPr>
            </w:pPr>
            <w:r w:rsidRPr="007C7138">
              <w:rPr>
                <w:rFonts w:ascii="Arial" w:hAnsi="Arial" w:cs="Arial"/>
                <w:sz w:val="20"/>
                <w:szCs w:val="20"/>
              </w:rPr>
              <w:t>2.25</w:t>
            </w:r>
          </w:p>
        </w:tc>
        <w:tc>
          <w:tcPr>
            <w:tcW w:w="2188" w:type="dxa"/>
          </w:tcPr>
          <w:p w14:paraId="291623AF" w14:textId="77777777" w:rsidR="007C7138" w:rsidRPr="007C7138" w:rsidRDefault="007C7138" w:rsidP="007168C9">
            <w:pPr>
              <w:rPr>
                <w:rFonts w:ascii="Arial" w:hAnsi="Arial" w:cs="Arial"/>
                <w:sz w:val="20"/>
                <w:szCs w:val="20"/>
              </w:rPr>
            </w:pPr>
            <w:r w:rsidRPr="007C7138">
              <w:rPr>
                <w:rFonts w:ascii="Arial" w:hAnsi="Arial" w:cs="Arial"/>
                <w:sz w:val="20"/>
                <w:szCs w:val="20"/>
              </w:rPr>
              <w:t>2.29</w:t>
            </w:r>
          </w:p>
        </w:tc>
      </w:tr>
      <w:tr w:rsidR="007C7138" w:rsidRPr="007C7138" w14:paraId="451A9175" w14:textId="77777777" w:rsidTr="007168C9">
        <w:tc>
          <w:tcPr>
            <w:tcW w:w="2518" w:type="dxa"/>
          </w:tcPr>
          <w:p w14:paraId="7AFD45D3" w14:textId="77777777" w:rsidR="007C7138" w:rsidRPr="007C7138" w:rsidRDefault="007C7138" w:rsidP="007168C9">
            <w:pPr>
              <w:rPr>
                <w:rFonts w:ascii="Arial" w:hAnsi="Arial" w:cs="Arial"/>
                <w:sz w:val="20"/>
                <w:szCs w:val="20"/>
              </w:rPr>
            </w:pPr>
            <w:r w:rsidRPr="007C7138">
              <w:rPr>
                <w:rFonts w:ascii="Arial" w:hAnsi="Arial" w:cs="Arial"/>
                <w:sz w:val="20"/>
                <w:szCs w:val="20"/>
              </w:rPr>
              <w:t>&gt;= 10,000,000 kWh</w:t>
            </w:r>
          </w:p>
        </w:tc>
        <w:tc>
          <w:tcPr>
            <w:tcW w:w="2268" w:type="dxa"/>
          </w:tcPr>
          <w:p w14:paraId="616CAF54" w14:textId="77777777" w:rsidR="007C7138" w:rsidRPr="007C7138" w:rsidRDefault="007C7138" w:rsidP="007168C9">
            <w:pPr>
              <w:rPr>
                <w:rFonts w:ascii="Arial" w:hAnsi="Arial" w:cs="Arial"/>
                <w:sz w:val="20"/>
                <w:szCs w:val="20"/>
              </w:rPr>
            </w:pPr>
            <w:r w:rsidRPr="007C7138">
              <w:rPr>
                <w:rFonts w:ascii="Arial" w:hAnsi="Arial" w:cs="Arial"/>
                <w:sz w:val="20"/>
                <w:szCs w:val="20"/>
              </w:rPr>
              <w:t>0.04</w:t>
            </w:r>
          </w:p>
        </w:tc>
        <w:tc>
          <w:tcPr>
            <w:tcW w:w="2268" w:type="dxa"/>
          </w:tcPr>
          <w:p w14:paraId="218F1723" w14:textId="77777777" w:rsidR="007C7138" w:rsidRPr="007C7138" w:rsidRDefault="007C7138" w:rsidP="007168C9">
            <w:pPr>
              <w:rPr>
                <w:rFonts w:ascii="Arial" w:hAnsi="Arial" w:cs="Arial"/>
                <w:sz w:val="20"/>
                <w:szCs w:val="20"/>
              </w:rPr>
            </w:pPr>
            <w:r w:rsidRPr="007C7138">
              <w:rPr>
                <w:rFonts w:ascii="Arial" w:hAnsi="Arial" w:cs="Arial"/>
                <w:sz w:val="20"/>
                <w:szCs w:val="20"/>
              </w:rPr>
              <w:t>0.04</w:t>
            </w:r>
          </w:p>
        </w:tc>
        <w:tc>
          <w:tcPr>
            <w:tcW w:w="2188" w:type="dxa"/>
          </w:tcPr>
          <w:p w14:paraId="09776998" w14:textId="77777777" w:rsidR="007C7138" w:rsidRPr="007C7138" w:rsidRDefault="007C7138" w:rsidP="007168C9">
            <w:pPr>
              <w:rPr>
                <w:rFonts w:ascii="Arial" w:hAnsi="Arial" w:cs="Arial"/>
                <w:sz w:val="20"/>
                <w:szCs w:val="20"/>
              </w:rPr>
            </w:pPr>
            <w:r w:rsidRPr="007C7138">
              <w:rPr>
                <w:rFonts w:ascii="Arial" w:hAnsi="Arial" w:cs="Arial"/>
                <w:sz w:val="20"/>
                <w:szCs w:val="20"/>
              </w:rPr>
              <w:t>0.05</w:t>
            </w:r>
          </w:p>
        </w:tc>
      </w:tr>
    </w:tbl>
    <w:p w14:paraId="524835E8" w14:textId="77777777" w:rsidR="005C0CAF" w:rsidRPr="00BF3362" w:rsidRDefault="005C0CAF" w:rsidP="005C0CAF">
      <w:pPr>
        <w:rPr>
          <w:rFonts w:ascii="Arial" w:eastAsia="Arial" w:hAnsi="Arial" w:cs="Arial"/>
          <w:sz w:val="20"/>
          <w:szCs w:val="20"/>
        </w:rPr>
      </w:pPr>
    </w:p>
    <w:p w14:paraId="64DF1F0A" w14:textId="3C34D7D1" w:rsidR="005C0CAF" w:rsidRPr="00BF3362" w:rsidRDefault="005C0CAF" w:rsidP="005C0CAF">
      <w:pPr>
        <w:rPr>
          <w:rFonts w:ascii="Arial" w:eastAsia="Arial" w:hAnsi="Arial" w:cs="Arial"/>
          <w:sz w:val="20"/>
          <w:szCs w:val="20"/>
        </w:rPr>
      </w:pPr>
      <w:r w:rsidRPr="00BF3362">
        <w:rPr>
          <w:rFonts w:ascii="Arial" w:hAnsi="Arial"/>
          <w:sz w:val="20"/>
          <w:szCs w:val="20"/>
        </w:rPr>
        <w:t>Taxes on energy consist of the ODE and energy tax. In 2021 the tax portion of an energy bill is not expected to increase for a household with average consumption.</w:t>
      </w:r>
    </w:p>
    <w:p w14:paraId="2E9770A8" w14:textId="45DA6770" w:rsidR="005C0CAF" w:rsidRPr="00BF3362" w:rsidRDefault="005C0CAF">
      <w:pPr>
        <w:rPr>
          <w:rFonts w:ascii="Arial" w:hAnsi="Arial" w:cs="Arial"/>
          <w:sz w:val="20"/>
          <w:szCs w:val="20"/>
        </w:rPr>
      </w:pPr>
      <w:r w:rsidRPr="00BF3362">
        <w:br w:type="page"/>
      </w:r>
    </w:p>
    <w:p w14:paraId="0CB07AC3" w14:textId="17794DC3" w:rsidR="00FD191B" w:rsidRPr="00BF3362" w:rsidRDefault="00FD191B" w:rsidP="002F0E85">
      <w:pPr>
        <w:pStyle w:val="Kop1"/>
      </w:pPr>
      <w:bookmarkStart w:id="36" w:name="_Toc51752523"/>
      <w:r w:rsidRPr="00BF3362">
        <w:lastRenderedPageBreak/>
        <w:t>Coronavirus support measures to be put into law</w:t>
      </w:r>
      <w:bookmarkEnd w:id="36"/>
    </w:p>
    <w:p w14:paraId="23A8EB76" w14:textId="77777777" w:rsidR="00CB2051" w:rsidRPr="00BF3362" w:rsidRDefault="00CB2051" w:rsidP="00CB2051">
      <w:pPr>
        <w:rPr>
          <w:rFonts w:ascii="Arial" w:hAnsi="Arial" w:cs="Arial"/>
          <w:sz w:val="20"/>
          <w:szCs w:val="20"/>
        </w:rPr>
      </w:pPr>
    </w:p>
    <w:p w14:paraId="42F18BB1" w14:textId="57C4C48E" w:rsidR="00980880" w:rsidRPr="00BF3362" w:rsidRDefault="00980880" w:rsidP="00980880">
      <w:pPr>
        <w:rPr>
          <w:rFonts w:ascii="Arial" w:hAnsi="Arial" w:cs="Arial"/>
          <w:sz w:val="20"/>
          <w:szCs w:val="20"/>
        </w:rPr>
      </w:pPr>
      <w:r w:rsidRPr="00BF3362">
        <w:rPr>
          <w:rFonts w:ascii="Arial" w:hAnsi="Arial"/>
          <w:sz w:val="20"/>
          <w:szCs w:val="20"/>
        </w:rPr>
        <w:t xml:space="preserve">Under the Tax Plan numerous coronavirus support measures that have already been announced will be put into law. </w:t>
      </w:r>
    </w:p>
    <w:p w14:paraId="32B57160" w14:textId="77777777" w:rsidR="00980880" w:rsidRPr="00BF3362" w:rsidRDefault="00980880" w:rsidP="00980880">
      <w:pPr>
        <w:rPr>
          <w:rFonts w:ascii="Arial" w:hAnsi="Arial" w:cs="Arial"/>
          <w:sz w:val="20"/>
          <w:szCs w:val="20"/>
        </w:rPr>
      </w:pPr>
    </w:p>
    <w:p w14:paraId="4788E7C2" w14:textId="77777777" w:rsidR="00980880" w:rsidRPr="00BF3362" w:rsidRDefault="00980880" w:rsidP="00980880">
      <w:pPr>
        <w:pStyle w:val="Kop2"/>
        <w:numPr>
          <w:ilvl w:val="0"/>
          <w:numId w:val="0"/>
        </w:numPr>
        <w:ind w:left="576" w:hanging="576"/>
        <w:rPr>
          <w:sz w:val="20"/>
          <w:szCs w:val="18"/>
        </w:rPr>
      </w:pPr>
      <w:bookmarkStart w:id="37" w:name="_Toc51752524"/>
      <w:r w:rsidRPr="00BF3362">
        <w:rPr>
          <w:sz w:val="20"/>
          <w:szCs w:val="18"/>
        </w:rPr>
        <w:t>Exemption from profit of compensation received under TOGS and TVL schemes</w:t>
      </w:r>
      <w:bookmarkEnd w:id="37"/>
    </w:p>
    <w:p w14:paraId="6A2FCAE0" w14:textId="78A5BDAE" w:rsidR="00980880" w:rsidRPr="00BF3362" w:rsidRDefault="00980880" w:rsidP="00980880">
      <w:pPr>
        <w:rPr>
          <w:rFonts w:ascii="Arial" w:hAnsi="Arial" w:cs="Arial"/>
          <w:sz w:val="20"/>
          <w:szCs w:val="20"/>
        </w:rPr>
      </w:pPr>
      <w:r w:rsidRPr="00BF3362">
        <w:rPr>
          <w:rFonts w:ascii="Arial" w:hAnsi="Arial"/>
          <w:sz w:val="20"/>
          <w:szCs w:val="20"/>
        </w:rPr>
        <w:t xml:space="preserve">Until 15 June 2020 entrepreneurs in certain sectors who suffered losses as a result of coronavirus measures were able to make a claim under the Contribution for Entrepreneurs in Sectors Affected by COVID-19 scheme (TOGS or € 4,000 scheme). This scheme was succeeded by the Reimbursement of Fixed Costs for SMEs Affected by COVID-19 scheme (TVL). </w:t>
      </w:r>
    </w:p>
    <w:p w14:paraId="096AB4B3" w14:textId="77777777" w:rsidR="00980880" w:rsidRPr="00BF3362" w:rsidRDefault="00980880" w:rsidP="00980880">
      <w:pPr>
        <w:rPr>
          <w:rFonts w:ascii="Arial" w:hAnsi="Arial" w:cs="Arial"/>
          <w:sz w:val="20"/>
          <w:szCs w:val="20"/>
        </w:rPr>
      </w:pPr>
    </w:p>
    <w:p w14:paraId="4021BE9F" w14:textId="67A4802A" w:rsidR="00980880" w:rsidRPr="00BF3362" w:rsidRDefault="00980880" w:rsidP="00980880">
      <w:pPr>
        <w:rPr>
          <w:rFonts w:ascii="Arial" w:hAnsi="Arial" w:cs="Arial"/>
          <w:sz w:val="20"/>
          <w:szCs w:val="20"/>
        </w:rPr>
      </w:pPr>
      <w:r w:rsidRPr="00BF3362">
        <w:rPr>
          <w:rFonts w:ascii="Arial" w:hAnsi="Arial"/>
          <w:sz w:val="20"/>
          <w:szCs w:val="20"/>
        </w:rPr>
        <w:t xml:space="preserve">In principle, the compensation received on the basis of these schemes is part of the company’s profit. This is not a desirable situation. For this reason an earlier decision stipulated that such compensation will not be regarded as profit and this is now being laid down in a legislative proposal. </w:t>
      </w:r>
    </w:p>
    <w:p w14:paraId="2CD5B535" w14:textId="77777777" w:rsidR="00980880" w:rsidRPr="00BF3362" w:rsidRDefault="00980880" w:rsidP="00980880">
      <w:pPr>
        <w:rPr>
          <w:rFonts w:ascii="Arial" w:hAnsi="Arial" w:cs="Arial"/>
          <w:sz w:val="20"/>
          <w:szCs w:val="20"/>
        </w:rPr>
      </w:pPr>
    </w:p>
    <w:p w14:paraId="699AB685" w14:textId="77777777" w:rsidR="00980880" w:rsidRPr="00BF3362" w:rsidRDefault="00980880" w:rsidP="00BF3362">
      <w:pPr>
        <w:pStyle w:val="Kop2"/>
        <w:numPr>
          <w:ilvl w:val="0"/>
          <w:numId w:val="0"/>
        </w:numPr>
        <w:tabs>
          <w:tab w:val="clear" w:pos="539"/>
          <w:tab w:val="left" w:pos="0"/>
        </w:tabs>
        <w:rPr>
          <w:sz w:val="20"/>
          <w:szCs w:val="18"/>
        </w:rPr>
      </w:pPr>
      <w:bookmarkStart w:id="38" w:name="_Toc51752525"/>
      <w:r w:rsidRPr="00BF3362">
        <w:rPr>
          <w:sz w:val="20"/>
          <w:szCs w:val="18"/>
        </w:rPr>
        <w:t>Tax treatment of bonuses paid under COVID-19 Bonus for Healthcare Professionals Subsidy Scheme</w:t>
      </w:r>
      <w:bookmarkEnd w:id="38"/>
      <w:r w:rsidRPr="00BF3362">
        <w:rPr>
          <w:sz w:val="20"/>
          <w:szCs w:val="18"/>
        </w:rPr>
        <w:t xml:space="preserve"> </w:t>
      </w:r>
    </w:p>
    <w:p w14:paraId="6F590792" w14:textId="77777777" w:rsidR="00980880" w:rsidRPr="00BF3362" w:rsidRDefault="00980880" w:rsidP="00980880">
      <w:pPr>
        <w:rPr>
          <w:rFonts w:ascii="Arial" w:hAnsi="Arial" w:cs="Arial"/>
          <w:sz w:val="20"/>
          <w:szCs w:val="20"/>
        </w:rPr>
      </w:pPr>
      <w:r w:rsidRPr="00BF3362">
        <w:rPr>
          <w:rFonts w:ascii="Arial" w:hAnsi="Arial"/>
          <w:sz w:val="20"/>
          <w:szCs w:val="20"/>
        </w:rPr>
        <w:t xml:space="preserve">Healthcare institutions can award employees and non-employees (e.g. self-employed persons and external cleaning staff who are hired in) a tax-free bonus of € 1,000. </w:t>
      </w:r>
    </w:p>
    <w:p w14:paraId="45846486" w14:textId="77777777" w:rsidR="00980880" w:rsidRPr="00BF3362" w:rsidRDefault="00980880" w:rsidP="00980880">
      <w:pPr>
        <w:rPr>
          <w:rFonts w:ascii="Arial" w:hAnsi="Arial" w:cs="Arial"/>
          <w:sz w:val="20"/>
          <w:szCs w:val="20"/>
        </w:rPr>
      </w:pPr>
    </w:p>
    <w:p w14:paraId="03114585" w14:textId="77777777" w:rsidR="00980880" w:rsidRPr="00BF3362" w:rsidRDefault="00980880" w:rsidP="00980880">
      <w:pPr>
        <w:rPr>
          <w:rFonts w:ascii="Arial" w:hAnsi="Arial" w:cs="Arial"/>
          <w:sz w:val="20"/>
          <w:szCs w:val="20"/>
        </w:rPr>
      </w:pPr>
      <w:r w:rsidRPr="00BF3362">
        <w:rPr>
          <w:rFonts w:ascii="Arial" w:hAnsi="Arial"/>
          <w:sz w:val="20"/>
          <w:szCs w:val="20"/>
        </w:rPr>
        <w:t>The healthcare institutions must include this bonus in the fixed budget under the work-related expenses scheme and it is regarded as a final-levy component. As a result, no tax is levied on the employee and the payment is made net. This also means that the bonus does not reduce the employee’s entitlement to allowances.</w:t>
      </w:r>
    </w:p>
    <w:p w14:paraId="48A4B4D1" w14:textId="77777777" w:rsidR="00980880" w:rsidRPr="00BF3362" w:rsidRDefault="00980880" w:rsidP="00980880">
      <w:pPr>
        <w:rPr>
          <w:rFonts w:ascii="Arial" w:hAnsi="Arial" w:cs="Arial"/>
          <w:sz w:val="20"/>
          <w:szCs w:val="20"/>
        </w:rPr>
      </w:pPr>
    </w:p>
    <w:p w14:paraId="71B983ED" w14:textId="77777777" w:rsidR="00980880" w:rsidRPr="00BF3362" w:rsidRDefault="00980880" w:rsidP="00980880">
      <w:pPr>
        <w:rPr>
          <w:rFonts w:ascii="Arial" w:hAnsi="Arial" w:cs="Arial"/>
          <w:sz w:val="20"/>
          <w:szCs w:val="20"/>
        </w:rPr>
      </w:pPr>
      <w:r w:rsidRPr="00BF3362">
        <w:rPr>
          <w:rFonts w:ascii="Arial" w:hAnsi="Arial"/>
          <w:sz w:val="20"/>
          <w:szCs w:val="20"/>
        </w:rPr>
        <w:t xml:space="preserve">In the case of non-employees, however, this approach was not possible. Consequently, under the Tax Plan this option has now been made available to non-employees too. The final-levy rate has been set at 75%. This is the same rate applicable to benefits in kind with a value of more than € 136 granted to non-employees.  </w:t>
      </w:r>
    </w:p>
    <w:p w14:paraId="75070F4F" w14:textId="77777777" w:rsidR="00980880" w:rsidRPr="00BF3362" w:rsidRDefault="00980880" w:rsidP="00980880">
      <w:pPr>
        <w:rPr>
          <w:rFonts w:ascii="Arial" w:hAnsi="Arial" w:cs="Arial"/>
          <w:sz w:val="20"/>
          <w:szCs w:val="20"/>
        </w:rPr>
      </w:pPr>
    </w:p>
    <w:p w14:paraId="6B0486C5" w14:textId="1430CBFF" w:rsidR="00980880" w:rsidRPr="00BF3362" w:rsidRDefault="00980880" w:rsidP="00980880">
      <w:pPr>
        <w:rPr>
          <w:rFonts w:ascii="Arial" w:hAnsi="Arial" w:cs="Arial"/>
          <w:sz w:val="20"/>
          <w:szCs w:val="20"/>
        </w:rPr>
      </w:pPr>
      <w:r w:rsidRPr="00BF3362">
        <w:rPr>
          <w:rFonts w:ascii="Arial" w:hAnsi="Arial"/>
          <w:sz w:val="20"/>
          <w:szCs w:val="20"/>
        </w:rPr>
        <w:t xml:space="preserve">The healthcare institution can submit an application for the bonus to the Minister of Health, Welfare and Sport. The bonus, including the final levy payable, will then be refunded to the healthcare institution. </w:t>
      </w:r>
    </w:p>
    <w:p w14:paraId="2F0EB8D9" w14:textId="77777777" w:rsidR="00980880" w:rsidRPr="00BF3362" w:rsidRDefault="00980880" w:rsidP="00980880">
      <w:pPr>
        <w:rPr>
          <w:rFonts w:ascii="Arial" w:hAnsi="Arial" w:cs="Arial"/>
          <w:sz w:val="20"/>
          <w:szCs w:val="20"/>
        </w:rPr>
      </w:pPr>
    </w:p>
    <w:p w14:paraId="27B3156D" w14:textId="77777777" w:rsidR="00980880" w:rsidRPr="00BF3362" w:rsidRDefault="00980880" w:rsidP="00980880">
      <w:pPr>
        <w:pStyle w:val="Kop2"/>
        <w:numPr>
          <w:ilvl w:val="0"/>
          <w:numId w:val="0"/>
        </w:numPr>
        <w:ind w:left="576" w:hanging="576"/>
        <w:rPr>
          <w:sz w:val="20"/>
          <w:szCs w:val="18"/>
        </w:rPr>
      </w:pPr>
      <w:bookmarkStart w:id="39" w:name="_Toc51752526"/>
      <w:r w:rsidRPr="00BF3362">
        <w:rPr>
          <w:sz w:val="20"/>
          <w:szCs w:val="18"/>
        </w:rPr>
        <w:t>Temporary bridging scheme for flexiworkers</w:t>
      </w:r>
      <w:bookmarkEnd w:id="39"/>
    </w:p>
    <w:p w14:paraId="525BDD92" w14:textId="0AA9B4A8" w:rsidR="00980880" w:rsidRPr="00BF3362" w:rsidRDefault="00980880" w:rsidP="00980880">
      <w:pPr>
        <w:rPr>
          <w:rFonts w:ascii="Arial" w:hAnsi="Arial" w:cs="Arial"/>
          <w:sz w:val="20"/>
          <w:szCs w:val="20"/>
        </w:rPr>
      </w:pPr>
      <w:r w:rsidRPr="00BF3362">
        <w:rPr>
          <w:rFonts w:ascii="Arial" w:hAnsi="Arial"/>
          <w:sz w:val="20"/>
          <w:szCs w:val="20"/>
        </w:rPr>
        <w:t xml:space="preserve">The temporary bridging scheme for flexiworkers is now being put into law. Under this scheme, subject to certain conditions, flexiworkers were able to apply for a contribution of € 550 per month for March, April and May 2020. The bridging scheme was intended for flexiworkers whose income fell in April, compared with their income in February, as a result of the coronavirus crisis. </w:t>
      </w:r>
    </w:p>
    <w:p w14:paraId="2B84566B" w14:textId="77777777" w:rsidR="00980880" w:rsidRPr="00BF3362" w:rsidRDefault="00980880" w:rsidP="00980880">
      <w:pPr>
        <w:rPr>
          <w:rFonts w:ascii="Arial" w:hAnsi="Arial" w:cs="Arial"/>
          <w:sz w:val="20"/>
          <w:szCs w:val="20"/>
        </w:rPr>
      </w:pPr>
    </w:p>
    <w:p w14:paraId="2950181C" w14:textId="77777777" w:rsidR="00980880" w:rsidRPr="00BF3362" w:rsidRDefault="00980880" w:rsidP="00980880">
      <w:pPr>
        <w:pStyle w:val="Kop2"/>
        <w:numPr>
          <w:ilvl w:val="0"/>
          <w:numId w:val="0"/>
        </w:numPr>
        <w:ind w:left="576" w:hanging="576"/>
        <w:rPr>
          <w:sz w:val="20"/>
          <w:szCs w:val="18"/>
        </w:rPr>
      </w:pPr>
      <w:bookmarkStart w:id="40" w:name="_Toc51752527"/>
      <w:r w:rsidRPr="00BF3362">
        <w:rPr>
          <w:sz w:val="20"/>
          <w:szCs w:val="18"/>
        </w:rPr>
        <w:t>Temporary increase in fixed budget under work-related expenses scheme in 2020</w:t>
      </w:r>
      <w:bookmarkEnd w:id="40"/>
    </w:p>
    <w:p w14:paraId="70A76403" w14:textId="26585C5C" w:rsidR="00980880" w:rsidRPr="00BF3362" w:rsidRDefault="00980880" w:rsidP="00980880">
      <w:pPr>
        <w:rPr>
          <w:rFonts w:ascii="Arial" w:hAnsi="Arial" w:cs="Arial"/>
          <w:sz w:val="20"/>
          <w:szCs w:val="20"/>
        </w:rPr>
      </w:pPr>
      <w:r w:rsidRPr="00BF3362">
        <w:rPr>
          <w:rFonts w:ascii="Arial" w:hAnsi="Arial"/>
          <w:sz w:val="20"/>
          <w:szCs w:val="20"/>
        </w:rPr>
        <w:t>As a result of the coronavirus crisis, the fixed budget under the work-related expenses scheme has been increased to 3% on the first € 400,000 of the taxable wage bill. This increase has now been included in a legislative proposal and will apply in 2020 only.</w:t>
      </w:r>
    </w:p>
    <w:p w14:paraId="26DBEBD2" w14:textId="77777777" w:rsidR="00980880" w:rsidRPr="00BF3362" w:rsidRDefault="00980880" w:rsidP="00980880">
      <w:pPr>
        <w:rPr>
          <w:rFonts w:ascii="Arial" w:hAnsi="Arial" w:cs="Arial"/>
          <w:sz w:val="20"/>
          <w:szCs w:val="20"/>
        </w:rPr>
      </w:pPr>
    </w:p>
    <w:p w14:paraId="60B4ADBE" w14:textId="77777777" w:rsidR="00980880" w:rsidRPr="00BF3362" w:rsidRDefault="00980880" w:rsidP="00980880">
      <w:pPr>
        <w:pStyle w:val="Kop2"/>
        <w:numPr>
          <w:ilvl w:val="0"/>
          <w:numId w:val="0"/>
        </w:numPr>
        <w:ind w:left="576" w:hanging="576"/>
        <w:rPr>
          <w:sz w:val="20"/>
          <w:szCs w:val="18"/>
        </w:rPr>
      </w:pPr>
      <w:bookmarkStart w:id="41" w:name="_Toc51752528"/>
      <w:r w:rsidRPr="00BF3362">
        <w:rPr>
          <w:sz w:val="20"/>
          <w:szCs w:val="18"/>
        </w:rPr>
        <w:t>Coronavirus reserve</w:t>
      </w:r>
      <w:bookmarkEnd w:id="41"/>
      <w:r w:rsidRPr="00BF3362">
        <w:rPr>
          <w:sz w:val="20"/>
          <w:szCs w:val="18"/>
        </w:rPr>
        <w:t xml:space="preserve"> </w:t>
      </w:r>
    </w:p>
    <w:p w14:paraId="0E7A318F" w14:textId="77777777" w:rsidR="00980880" w:rsidRPr="00BF3362" w:rsidRDefault="00980880" w:rsidP="00980880">
      <w:pPr>
        <w:rPr>
          <w:rFonts w:ascii="Arial" w:hAnsi="Arial" w:cs="Arial"/>
          <w:sz w:val="20"/>
          <w:szCs w:val="20"/>
        </w:rPr>
      </w:pPr>
      <w:r w:rsidRPr="00BF3362">
        <w:rPr>
          <w:rFonts w:ascii="Arial" w:hAnsi="Arial"/>
          <w:sz w:val="20"/>
          <w:szCs w:val="20"/>
        </w:rPr>
        <w:t xml:space="preserve">Do you expect your company to post a loss for 2020? And did you make a profit in 2019? If so, it is possible to include a tax reserve in your 2019 corporation tax return. You will then already be able to offset your expected loss for 2020 with your 2019 profit and will therefore pay less tax. However, this is subject to the condition that your loss for 2020 is linked to the consequences of the coronavirus crisis, for example because you had to close your business but still had fixed costs to pay. </w:t>
      </w:r>
    </w:p>
    <w:p w14:paraId="00CC0522" w14:textId="77777777" w:rsidR="00980880" w:rsidRPr="00BF3362" w:rsidRDefault="00980880" w:rsidP="00980880">
      <w:pPr>
        <w:rPr>
          <w:rFonts w:ascii="Arial" w:hAnsi="Arial" w:cs="Arial"/>
          <w:sz w:val="20"/>
          <w:szCs w:val="20"/>
        </w:rPr>
      </w:pPr>
    </w:p>
    <w:p w14:paraId="7EEF8DDC" w14:textId="51317EEC" w:rsidR="00980880" w:rsidRDefault="00980880" w:rsidP="00980880">
      <w:pPr>
        <w:rPr>
          <w:rFonts w:ascii="Arial" w:hAnsi="Arial" w:cs="Arial"/>
          <w:sz w:val="20"/>
          <w:szCs w:val="20"/>
        </w:rPr>
      </w:pPr>
      <w:r w:rsidRPr="00BF3362">
        <w:rPr>
          <w:rFonts w:ascii="Arial" w:hAnsi="Arial"/>
          <w:sz w:val="20"/>
          <w:szCs w:val="20"/>
        </w:rPr>
        <w:t>The coronavirus tax reserve has been capped at the level of your profit for 2019 without taking this reserve into account. It is compulsory to release the coronavirus reserve in 2020. This measure, which was previously part of a policy decision, is now being included in a legislative proposal.</w:t>
      </w:r>
    </w:p>
    <w:p w14:paraId="636CD5FC" w14:textId="77777777" w:rsidR="00BF3362" w:rsidRPr="00BF3362" w:rsidRDefault="00BF3362" w:rsidP="00980880">
      <w:pPr>
        <w:rPr>
          <w:rFonts w:ascii="Arial" w:hAnsi="Arial" w:cs="Arial"/>
          <w:sz w:val="20"/>
          <w:szCs w:val="20"/>
        </w:rPr>
      </w:pPr>
    </w:p>
    <w:p w14:paraId="472227FC" w14:textId="77777777" w:rsidR="00980880" w:rsidRPr="00BF3362" w:rsidRDefault="00980880" w:rsidP="00980880">
      <w:pPr>
        <w:shd w:val="clear" w:color="auto" w:fill="D9D9D9"/>
        <w:rPr>
          <w:rFonts w:ascii="Arial" w:hAnsi="Arial" w:cs="Arial"/>
          <w:b/>
          <w:bCs/>
          <w:sz w:val="20"/>
          <w:szCs w:val="20"/>
        </w:rPr>
      </w:pPr>
      <w:r w:rsidRPr="00BF3362">
        <w:rPr>
          <w:rFonts w:ascii="Arial" w:hAnsi="Arial"/>
          <w:b/>
          <w:bCs/>
          <w:sz w:val="20"/>
          <w:szCs w:val="20"/>
        </w:rPr>
        <w:t>Please note:</w:t>
      </w:r>
    </w:p>
    <w:p w14:paraId="615A1B02" w14:textId="7A0831A0" w:rsidR="00BF3362" w:rsidRDefault="00980880" w:rsidP="00980880">
      <w:pPr>
        <w:shd w:val="clear" w:color="auto" w:fill="D9D9D9"/>
        <w:rPr>
          <w:rFonts w:ascii="Arial" w:hAnsi="Arial"/>
          <w:sz w:val="20"/>
          <w:szCs w:val="20"/>
        </w:rPr>
      </w:pPr>
      <w:r w:rsidRPr="00BF3362">
        <w:rPr>
          <w:rFonts w:ascii="Arial" w:hAnsi="Arial"/>
          <w:sz w:val="20"/>
          <w:szCs w:val="20"/>
        </w:rPr>
        <w:lastRenderedPageBreak/>
        <w:t>The coronavirus tax reserve is only available to companies that are subject to corporation tax.</w:t>
      </w:r>
    </w:p>
    <w:p w14:paraId="0659BAF4" w14:textId="0311E583" w:rsidR="00B439FB" w:rsidRPr="00BF3362" w:rsidRDefault="00927364" w:rsidP="00B439FB">
      <w:pPr>
        <w:pStyle w:val="Kop1"/>
      </w:pPr>
      <w:bookmarkStart w:id="42" w:name="_Toc51752529"/>
      <w:r w:rsidRPr="00BF3362">
        <w:t>Other measures and measures previously announced</w:t>
      </w:r>
      <w:bookmarkEnd w:id="42"/>
    </w:p>
    <w:p w14:paraId="609E85D7" w14:textId="77777777" w:rsidR="00927364" w:rsidRPr="00BF3362" w:rsidRDefault="00927364" w:rsidP="00927364">
      <w:pPr>
        <w:rPr>
          <w:rFonts w:ascii="Arial" w:hAnsi="Arial" w:cs="Arial"/>
          <w:sz w:val="20"/>
          <w:szCs w:val="20"/>
        </w:rPr>
      </w:pPr>
    </w:p>
    <w:p w14:paraId="7FEF3CF7" w14:textId="59443AC5" w:rsidR="00927364" w:rsidRPr="00BF3362" w:rsidRDefault="00927364" w:rsidP="00927364">
      <w:pPr>
        <w:pStyle w:val="Kop2"/>
        <w:numPr>
          <w:ilvl w:val="0"/>
          <w:numId w:val="0"/>
        </w:numPr>
        <w:ind w:left="576" w:hanging="576"/>
        <w:rPr>
          <w:sz w:val="20"/>
          <w:szCs w:val="18"/>
        </w:rPr>
      </w:pPr>
      <w:bookmarkStart w:id="43" w:name="_Toc51752530"/>
      <w:r w:rsidRPr="00BF3362">
        <w:rPr>
          <w:sz w:val="20"/>
          <w:szCs w:val="18"/>
        </w:rPr>
        <w:t>More human system for allowances to be put in place at Tax and Customs Administration</w:t>
      </w:r>
      <w:bookmarkEnd w:id="43"/>
    </w:p>
    <w:p w14:paraId="1802DE06" w14:textId="77777777" w:rsidR="00927364" w:rsidRPr="00BF3362" w:rsidRDefault="00927364" w:rsidP="00927364">
      <w:pPr>
        <w:rPr>
          <w:rFonts w:ascii="Arial" w:hAnsi="Arial" w:cs="Arial"/>
          <w:sz w:val="20"/>
          <w:szCs w:val="20"/>
        </w:rPr>
      </w:pPr>
      <w:r w:rsidRPr="00BF3362">
        <w:rPr>
          <w:rFonts w:ascii="Arial" w:hAnsi="Arial"/>
          <w:sz w:val="20"/>
          <w:szCs w:val="20"/>
        </w:rPr>
        <w:t xml:space="preserve">Numerous changes have already been made in response to the ‘childcare allowance affair’, such as appointing two state secretaries to oversee the Tax and Customs Administration and adopting a hardship scheme. </w:t>
      </w:r>
    </w:p>
    <w:p w14:paraId="410C3D42" w14:textId="77777777" w:rsidR="00927364" w:rsidRPr="00BF3362" w:rsidRDefault="00927364" w:rsidP="00927364">
      <w:pPr>
        <w:rPr>
          <w:rFonts w:ascii="Arial" w:hAnsi="Arial" w:cs="Arial"/>
          <w:sz w:val="20"/>
          <w:szCs w:val="20"/>
        </w:rPr>
      </w:pPr>
    </w:p>
    <w:p w14:paraId="0D96E5D8" w14:textId="77777777" w:rsidR="00927364" w:rsidRPr="00BF3362" w:rsidRDefault="00927364" w:rsidP="00927364">
      <w:pPr>
        <w:rPr>
          <w:rFonts w:ascii="Arial" w:hAnsi="Arial" w:cs="Arial"/>
          <w:sz w:val="20"/>
          <w:szCs w:val="20"/>
        </w:rPr>
      </w:pPr>
      <w:r w:rsidRPr="00BF3362">
        <w:rPr>
          <w:rFonts w:ascii="Arial" w:hAnsi="Arial"/>
          <w:sz w:val="20"/>
          <w:szCs w:val="20"/>
        </w:rPr>
        <w:t>In the 2021 Tax Plan a proposal for an ‘Act to Improve the Administration of Allowances’ has been added to these. This Act should make it possible, in the short term, to implement a better, more human system and to increase citizens’ legal protection. The most notable measures set out in the legislative proposal are as follows:</w:t>
      </w:r>
    </w:p>
    <w:p w14:paraId="70FC5347" w14:textId="77777777" w:rsidR="00927364" w:rsidRPr="00BF3362" w:rsidRDefault="00927364" w:rsidP="00927364">
      <w:pPr>
        <w:pStyle w:val="Lijstalinea"/>
        <w:numPr>
          <w:ilvl w:val="0"/>
          <w:numId w:val="16"/>
        </w:numPr>
        <w:spacing w:after="0" w:line="240" w:lineRule="auto"/>
        <w:ind w:left="851" w:hanging="284"/>
        <w:rPr>
          <w:rFonts w:ascii="Arial" w:hAnsi="Arial" w:cs="Arial"/>
          <w:sz w:val="20"/>
          <w:szCs w:val="20"/>
        </w:rPr>
      </w:pPr>
      <w:r w:rsidRPr="00BF3362">
        <w:rPr>
          <w:rFonts w:ascii="Arial" w:hAnsi="Arial"/>
          <w:sz w:val="20"/>
          <w:szCs w:val="20"/>
        </w:rPr>
        <w:t xml:space="preserve">The all-or-nothing nature of childcare allowance has been abandoned. The Tax and Customs Administration will determine your entitlement to childcare allowance based on the proportion of the costs that you, as a parent, have paid to the childcare organisation </w:t>
      </w:r>
      <w:r w:rsidRPr="00BF3362">
        <w:rPr>
          <w:rFonts w:ascii="Arial" w:hAnsi="Arial"/>
          <w:b/>
          <w:bCs/>
          <w:sz w:val="20"/>
          <w:szCs w:val="20"/>
        </w:rPr>
        <w:t>on time</w:t>
      </w:r>
      <w:r w:rsidRPr="00BF3362">
        <w:rPr>
          <w:rFonts w:ascii="Arial" w:hAnsi="Arial"/>
          <w:sz w:val="20"/>
          <w:szCs w:val="20"/>
        </w:rPr>
        <w:t>. Previously, you had to pay back the entire allowance if you had not paid the full amount to the organisation on time.</w:t>
      </w:r>
    </w:p>
    <w:p w14:paraId="1B13B365" w14:textId="77777777" w:rsidR="00927364" w:rsidRPr="00BF3362" w:rsidRDefault="00927364" w:rsidP="00927364">
      <w:pPr>
        <w:pStyle w:val="Lijstalinea"/>
        <w:numPr>
          <w:ilvl w:val="0"/>
          <w:numId w:val="16"/>
        </w:numPr>
        <w:spacing w:after="0" w:line="240" w:lineRule="auto"/>
        <w:ind w:left="851" w:hanging="284"/>
        <w:rPr>
          <w:rFonts w:ascii="Arial" w:hAnsi="Arial" w:cs="Arial"/>
          <w:sz w:val="20"/>
          <w:szCs w:val="20"/>
        </w:rPr>
      </w:pPr>
      <w:r w:rsidRPr="00BF3362">
        <w:rPr>
          <w:rFonts w:ascii="Arial" w:hAnsi="Arial"/>
          <w:sz w:val="20"/>
          <w:szCs w:val="20"/>
        </w:rPr>
        <w:t>Under specific circumstances the Tax and Customs Administration will claim back a lower amount than that prescribed by law. This is only possible if reclaiming the full amount would be disproportionate.</w:t>
      </w:r>
    </w:p>
    <w:p w14:paraId="5DD5F30B" w14:textId="77777777" w:rsidR="00927364" w:rsidRPr="00BF3362" w:rsidRDefault="00927364" w:rsidP="00927364">
      <w:pPr>
        <w:pStyle w:val="Lijstalinea"/>
        <w:numPr>
          <w:ilvl w:val="0"/>
          <w:numId w:val="16"/>
        </w:numPr>
        <w:spacing w:after="0" w:line="240" w:lineRule="auto"/>
        <w:ind w:left="851" w:hanging="284"/>
        <w:rPr>
          <w:rFonts w:ascii="Arial" w:hAnsi="Arial" w:cs="Arial"/>
          <w:sz w:val="20"/>
          <w:szCs w:val="20"/>
        </w:rPr>
      </w:pPr>
      <w:r w:rsidRPr="00BF3362">
        <w:rPr>
          <w:rFonts w:ascii="Arial" w:hAnsi="Arial"/>
          <w:sz w:val="20"/>
          <w:szCs w:val="20"/>
        </w:rPr>
        <w:t>Partners are no longer partners for allowance purposes from the moment one of them is admitted to a nursing or care home.</w:t>
      </w:r>
    </w:p>
    <w:p w14:paraId="73D9E687" w14:textId="6DD57942" w:rsidR="00927364" w:rsidRPr="00BF3362" w:rsidRDefault="00927364" w:rsidP="00927364">
      <w:pPr>
        <w:pStyle w:val="Lijstalinea"/>
        <w:numPr>
          <w:ilvl w:val="0"/>
          <w:numId w:val="16"/>
        </w:numPr>
        <w:spacing w:after="0" w:line="240" w:lineRule="auto"/>
        <w:ind w:left="851" w:hanging="284"/>
        <w:rPr>
          <w:rFonts w:ascii="Arial" w:hAnsi="Arial" w:cs="Arial"/>
          <w:sz w:val="20"/>
          <w:szCs w:val="20"/>
        </w:rPr>
      </w:pPr>
      <w:r w:rsidRPr="00BF3362">
        <w:rPr>
          <w:rFonts w:ascii="Arial" w:hAnsi="Arial"/>
          <w:sz w:val="20"/>
          <w:szCs w:val="20"/>
        </w:rPr>
        <w:t>Interested parties can make their views known to the Tax and Customs Administration early in the process to avoid the need for subsequent objections and appeals.</w:t>
      </w:r>
    </w:p>
    <w:p w14:paraId="3199BC8F" w14:textId="77777777" w:rsidR="00927364" w:rsidRPr="00BF3362" w:rsidRDefault="00927364" w:rsidP="00927364">
      <w:pPr>
        <w:rPr>
          <w:rFonts w:ascii="Arial" w:hAnsi="Arial" w:cs="Arial"/>
          <w:sz w:val="20"/>
          <w:szCs w:val="20"/>
        </w:rPr>
      </w:pPr>
    </w:p>
    <w:p w14:paraId="096DBAB6" w14:textId="77777777" w:rsidR="00927364" w:rsidRPr="00BF3362" w:rsidRDefault="00927364" w:rsidP="00927364">
      <w:pPr>
        <w:pStyle w:val="Kop2"/>
        <w:numPr>
          <w:ilvl w:val="0"/>
          <w:numId w:val="0"/>
        </w:numPr>
        <w:ind w:left="576" w:hanging="576"/>
        <w:rPr>
          <w:sz w:val="20"/>
          <w:szCs w:val="18"/>
        </w:rPr>
      </w:pPr>
      <w:bookmarkStart w:id="44" w:name="_Toc51752531"/>
      <w:r w:rsidRPr="00BF3362">
        <w:rPr>
          <w:sz w:val="20"/>
          <w:szCs w:val="18"/>
        </w:rPr>
        <w:t>Life-course savings scheme</w:t>
      </w:r>
      <w:bookmarkEnd w:id="44"/>
    </w:p>
    <w:p w14:paraId="51A0A0B9" w14:textId="77777777" w:rsidR="00927364" w:rsidRPr="00BF3362" w:rsidRDefault="00927364" w:rsidP="00927364">
      <w:pPr>
        <w:rPr>
          <w:rFonts w:ascii="Arial" w:hAnsi="Arial" w:cs="Arial"/>
          <w:sz w:val="20"/>
          <w:szCs w:val="20"/>
        </w:rPr>
      </w:pPr>
      <w:r w:rsidRPr="00BF3362">
        <w:rPr>
          <w:rFonts w:ascii="Arial" w:hAnsi="Arial"/>
          <w:sz w:val="20"/>
          <w:szCs w:val="20"/>
        </w:rPr>
        <w:t xml:space="preserve">Until 2012 employees had the option of saving for a life-course savings benefit. When the life-course savings scheme was abolished it was specified that employees with an entitlement under such a scheme exceeding € 3,000 on 31 December 2011 could make use of transitional arrangements. These transitional arrangements will end on 31 December 2021. This means that if the life-course savings benefit has not been paid out in the form of a wage by 1 January 2022, the value of the credit will be taxed. </w:t>
      </w:r>
    </w:p>
    <w:p w14:paraId="1A42B36C" w14:textId="77777777" w:rsidR="00927364" w:rsidRPr="00BF3362" w:rsidRDefault="00927364" w:rsidP="00927364">
      <w:pPr>
        <w:rPr>
          <w:rFonts w:ascii="Arial" w:hAnsi="Arial" w:cs="Arial"/>
          <w:sz w:val="20"/>
          <w:szCs w:val="20"/>
        </w:rPr>
      </w:pPr>
    </w:p>
    <w:p w14:paraId="0BEA0463" w14:textId="77777777" w:rsidR="00927364" w:rsidRPr="00BF3362" w:rsidRDefault="00927364" w:rsidP="00927364">
      <w:pPr>
        <w:rPr>
          <w:rFonts w:ascii="Arial" w:hAnsi="Arial" w:cs="Arial"/>
          <w:sz w:val="20"/>
          <w:szCs w:val="20"/>
        </w:rPr>
      </w:pPr>
      <w:r w:rsidRPr="00BF3362">
        <w:rPr>
          <w:rFonts w:ascii="Arial" w:hAnsi="Arial"/>
          <w:sz w:val="20"/>
          <w:szCs w:val="20"/>
        </w:rPr>
        <w:t>The transitional arrangements have come up against practical problems and are therefore being amended as follows:</w:t>
      </w:r>
    </w:p>
    <w:p w14:paraId="2BB70EC0" w14:textId="77777777" w:rsidR="00927364" w:rsidRPr="00BF3362" w:rsidRDefault="00927364" w:rsidP="00927364">
      <w:pPr>
        <w:numPr>
          <w:ilvl w:val="0"/>
          <w:numId w:val="17"/>
        </w:numPr>
        <w:ind w:left="851" w:hanging="284"/>
        <w:rPr>
          <w:rFonts w:ascii="Arial" w:hAnsi="Arial" w:cs="Arial"/>
          <w:sz w:val="20"/>
          <w:szCs w:val="20"/>
        </w:rPr>
      </w:pPr>
      <w:r w:rsidRPr="00BF3362">
        <w:rPr>
          <w:rFonts w:ascii="Arial" w:hAnsi="Arial"/>
          <w:sz w:val="20"/>
          <w:szCs w:val="20"/>
        </w:rPr>
        <w:t>The institution administering the life-course savings scheme will become the withholding agent for payroll tax at the fictitious moment of payment (the moment when it is assumed that the remaining life-course savings benefit is paid out).</w:t>
      </w:r>
    </w:p>
    <w:p w14:paraId="28BDABDA" w14:textId="77777777" w:rsidR="00927364" w:rsidRPr="00BF3362" w:rsidRDefault="00927364" w:rsidP="00927364">
      <w:pPr>
        <w:numPr>
          <w:ilvl w:val="0"/>
          <w:numId w:val="17"/>
        </w:numPr>
        <w:ind w:left="851" w:hanging="284"/>
        <w:rPr>
          <w:rFonts w:ascii="Arial" w:hAnsi="Arial" w:cs="Arial"/>
          <w:sz w:val="20"/>
          <w:szCs w:val="20"/>
        </w:rPr>
      </w:pPr>
      <w:r w:rsidRPr="00BF3362">
        <w:rPr>
          <w:rFonts w:ascii="Arial" w:hAnsi="Arial"/>
          <w:sz w:val="20"/>
          <w:szCs w:val="20"/>
        </w:rPr>
        <w:t xml:space="preserve">This fictitious moment of payment is being brought forward. </w:t>
      </w:r>
      <w:r w:rsidRPr="0013359A">
        <w:rPr>
          <w:rFonts w:ascii="Arial" w:hAnsi="Arial"/>
          <w:sz w:val="20"/>
          <w:szCs w:val="20"/>
        </w:rPr>
        <w:t>If the benefit has not been paid out in the form of a wage by 1 November 2021</w:t>
      </w:r>
      <w:r w:rsidRPr="00BF3362">
        <w:rPr>
          <w:rFonts w:ascii="Arial" w:hAnsi="Arial"/>
          <w:sz w:val="20"/>
          <w:szCs w:val="20"/>
        </w:rPr>
        <w:t xml:space="preserve">, the fictitious moment of payment will be 1 November 2021. </w:t>
      </w:r>
    </w:p>
    <w:p w14:paraId="50BFD5A5" w14:textId="4E2A1E86" w:rsidR="00927364" w:rsidRPr="00BF3362" w:rsidRDefault="00927364" w:rsidP="00927364">
      <w:pPr>
        <w:numPr>
          <w:ilvl w:val="0"/>
          <w:numId w:val="17"/>
        </w:numPr>
        <w:ind w:left="851" w:hanging="284"/>
        <w:rPr>
          <w:rFonts w:ascii="Arial" w:hAnsi="Arial" w:cs="Arial"/>
          <w:sz w:val="20"/>
          <w:szCs w:val="20"/>
        </w:rPr>
      </w:pPr>
      <w:r w:rsidRPr="00BF3362">
        <w:rPr>
          <w:rFonts w:ascii="Arial" w:hAnsi="Arial"/>
          <w:sz w:val="20"/>
          <w:szCs w:val="20"/>
        </w:rPr>
        <w:t>The institution will not take tax credits into account. These can be claimed by the employee in his/her income tax return. The tax credit for leave under the life-course savings scheme is one of these.</w:t>
      </w:r>
    </w:p>
    <w:p w14:paraId="40E1DB43" w14:textId="77777777" w:rsidR="00927364" w:rsidRPr="00BF3362" w:rsidRDefault="00927364" w:rsidP="00927364">
      <w:pPr>
        <w:rPr>
          <w:rFonts w:ascii="Arial" w:hAnsi="Arial" w:cs="Arial"/>
          <w:sz w:val="20"/>
          <w:szCs w:val="20"/>
        </w:rPr>
      </w:pPr>
    </w:p>
    <w:p w14:paraId="6A740530" w14:textId="77777777" w:rsidR="00927364" w:rsidRPr="00BF3362" w:rsidRDefault="00927364" w:rsidP="00927364">
      <w:pPr>
        <w:pStyle w:val="Kop2"/>
        <w:numPr>
          <w:ilvl w:val="0"/>
          <w:numId w:val="0"/>
        </w:numPr>
        <w:ind w:left="576" w:hanging="576"/>
        <w:rPr>
          <w:sz w:val="20"/>
          <w:szCs w:val="18"/>
        </w:rPr>
      </w:pPr>
      <w:bookmarkStart w:id="45" w:name="_Toc51752532"/>
      <w:r w:rsidRPr="00BF3362">
        <w:rPr>
          <w:sz w:val="20"/>
          <w:szCs w:val="18"/>
        </w:rPr>
        <w:t>One-off rent reduction for tenants on low incomes</w:t>
      </w:r>
      <w:bookmarkEnd w:id="45"/>
    </w:p>
    <w:p w14:paraId="7FF7F201" w14:textId="77777777" w:rsidR="00927364" w:rsidRPr="00BF3362" w:rsidRDefault="00927364" w:rsidP="00927364">
      <w:pPr>
        <w:rPr>
          <w:rFonts w:ascii="Arial" w:hAnsi="Arial" w:cs="Arial"/>
          <w:sz w:val="20"/>
          <w:szCs w:val="20"/>
        </w:rPr>
      </w:pPr>
      <w:r w:rsidRPr="00BF3362">
        <w:rPr>
          <w:rFonts w:ascii="Arial" w:hAnsi="Arial"/>
          <w:sz w:val="20"/>
          <w:szCs w:val="20"/>
        </w:rPr>
        <w:t>In spite of the fact that housing associations take the level of a person’s income into account when allocating housing, there are people who are paying rent that is too high for their income. From 1 January 2021 eligible tenants will therefore be able to request a one-off rent reduction from their housing association. You qualify for a rent reduction if you rent social housing from a housing association (not private sector) and satisfy the following conditions:</w:t>
      </w:r>
    </w:p>
    <w:p w14:paraId="660BFBF5" w14:textId="77777777" w:rsidR="00927364" w:rsidRPr="00BF3362" w:rsidRDefault="00927364" w:rsidP="00927364">
      <w:pPr>
        <w:pStyle w:val="Lijstalinea"/>
        <w:numPr>
          <w:ilvl w:val="0"/>
          <w:numId w:val="18"/>
        </w:numPr>
        <w:spacing w:after="0" w:line="240" w:lineRule="auto"/>
        <w:ind w:left="993" w:hanging="426"/>
        <w:rPr>
          <w:rFonts w:ascii="Arial" w:hAnsi="Arial" w:cs="Arial"/>
          <w:sz w:val="20"/>
          <w:szCs w:val="20"/>
        </w:rPr>
      </w:pPr>
      <w:r w:rsidRPr="00BF3362">
        <w:rPr>
          <w:rFonts w:ascii="Arial" w:hAnsi="Arial"/>
          <w:sz w:val="20"/>
          <w:szCs w:val="20"/>
        </w:rPr>
        <w:t xml:space="preserve">Your monthly rent exceeds: </w:t>
      </w:r>
    </w:p>
    <w:p w14:paraId="74CDDFE9" w14:textId="77777777" w:rsidR="00927364" w:rsidRPr="00BF3362" w:rsidRDefault="00927364" w:rsidP="00927364">
      <w:pPr>
        <w:pStyle w:val="Lijstalinea"/>
        <w:numPr>
          <w:ilvl w:val="2"/>
          <w:numId w:val="15"/>
        </w:numPr>
        <w:spacing w:after="0" w:line="240" w:lineRule="auto"/>
        <w:rPr>
          <w:rFonts w:ascii="Arial" w:hAnsi="Arial" w:cs="Arial"/>
          <w:sz w:val="20"/>
          <w:szCs w:val="20"/>
        </w:rPr>
      </w:pPr>
      <w:r w:rsidRPr="00BF3362">
        <w:rPr>
          <w:rFonts w:ascii="Arial" w:hAnsi="Arial"/>
          <w:sz w:val="20"/>
          <w:szCs w:val="20"/>
        </w:rPr>
        <w:t>€ 619.01 for a single- or two-person household.</w:t>
      </w:r>
    </w:p>
    <w:p w14:paraId="1913DBCB" w14:textId="77777777" w:rsidR="00927364" w:rsidRPr="00BF3362" w:rsidRDefault="00927364" w:rsidP="00927364">
      <w:pPr>
        <w:pStyle w:val="Lijstalinea"/>
        <w:numPr>
          <w:ilvl w:val="2"/>
          <w:numId w:val="15"/>
        </w:numPr>
        <w:spacing w:after="0" w:line="240" w:lineRule="auto"/>
        <w:rPr>
          <w:rFonts w:ascii="Arial" w:hAnsi="Arial" w:cs="Arial"/>
          <w:sz w:val="20"/>
          <w:szCs w:val="20"/>
        </w:rPr>
      </w:pPr>
      <w:r w:rsidRPr="00BF3362">
        <w:rPr>
          <w:rFonts w:ascii="Arial" w:hAnsi="Arial"/>
          <w:sz w:val="20"/>
          <w:szCs w:val="20"/>
        </w:rPr>
        <w:t>€ 663.40 for a household of three persons or more.</w:t>
      </w:r>
    </w:p>
    <w:p w14:paraId="29E3AED3" w14:textId="77777777" w:rsidR="00927364" w:rsidRPr="00BF3362" w:rsidRDefault="00927364" w:rsidP="00927364">
      <w:pPr>
        <w:pStyle w:val="Lijstalinea"/>
        <w:numPr>
          <w:ilvl w:val="0"/>
          <w:numId w:val="15"/>
        </w:numPr>
        <w:spacing w:after="0" w:line="240" w:lineRule="auto"/>
        <w:ind w:left="993" w:hanging="426"/>
        <w:rPr>
          <w:rFonts w:ascii="Arial" w:hAnsi="Arial" w:cs="Arial"/>
          <w:sz w:val="20"/>
          <w:szCs w:val="20"/>
        </w:rPr>
      </w:pPr>
      <w:r w:rsidRPr="00BF3362">
        <w:rPr>
          <w:rFonts w:ascii="Arial" w:hAnsi="Arial"/>
          <w:sz w:val="20"/>
          <w:szCs w:val="20"/>
        </w:rPr>
        <w:t>Your annual income is no more than:</w:t>
      </w:r>
    </w:p>
    <w:p w14:paraId="1EB69159" w14:textId="77777777" w:rsidR="00927364" w:rsidRPr="00BF3362" w:rsidRDefault="00927364" w:rsidP="00927364">
      <w:pPr>
        <w:pStyle w:val="Lijstalinea"/>
        <w:numPr>
          <w:ilvl w:val="2"/>
          <w:numId w:val="15"/>
        </w:numPr>
        <w:spacing w:after="0" w:line="240" w:lineRule="auto"/>
        <w:rPr>
          <w:rFonts w:ascii="Arial" w:hAnsi="Arial" w:cs="Arial"/>
          <w:sz w:val="20"/>
          <w:szCs w:val="20"/>
        </w:rPr>
      </w:pPr>
      <w:r w:rsidRPr="00BF3362">
        <w:rPr>
          <w:rFonts w:ascii="Arial" w:hAnsi="Arial"/>
          <w:sz w:val="20"/>
          <w:szCs w:val="20"/>
        </w:rPr>
        <w:t>€ 23,225 gross per year for a single-person household.</w:t>
      </w:r>
    </w:p>
    <w:p w14:paraId="5CF2BBC0" w14:textId="77777777" w:rsidR="00927364" w:rsidRPr="00BF3362" w:rsidRDefault="00927364" w:rsidP="00927364">
      <w:pPr>
        <w:pStyle w:val="Lijstalinea"/>
        <w:numPr>
          <w:ilvl w:val="2"/>
          <w:numId w:val="15"/>
        </w:numPr>
        <w:spacing w:after="0" w:line="240" w:lineRule="auto"/>
        <w:rPr>
          <w:rFonts w:ascii="Arial" w:hAnsi="Arial" w:cs="Arial"/>
          <w:sz w:val="20"/>
          <w:szCs w:val="20"/>
        </w:rPr>
      </w:pPr>
      <w:r w:rsidRPr="00BF3362">
        <w:rPr>
          <w:rFonts w:ascii="Arial" w:hAnsi="Arial"/>
          <w:sz w:val="20"/>
          <w:szCs w:val="20"/>
        </w:rPr>
        <w:t>€ 31,550 gross per year collectively for a multiple-person household.</w:t>
      </w:r>
    </w:p>
    <w:p w14:paraId="6719AC55" w14:textId="2F3A4A96" w:rsidR="00927364" w:rsidRPr="00BF3362" w:rsidRDefault="00927364" w:rsidP="00927364">
      <w:pPr>
        <w:rPr>
          <w:rFonts w:ascii="Arial" w:hAnsi="Arial" w:cs="Arial"/>
          <w:sz w:val="20"/>
          <w:szCs w:val="20"/>
        </w:rPr>
      </w:pPr>
    </w:p>
    <w:p w14:paraId="6A4C3009" w14:textId="07DBB76B" w:rsidR="00927364" w:rsidRPr="00BF3362" w:rsidRDefault="00927364" w:rsidP="00927364">
      <w:pPr>
        <w:rPr>
          <w:rFonts w:ascii="Arial" w:hAnsi="Arial" w:cs="Arial"/>
          <w:sz w:val="20"/>
          <w:szCs w:val="20"/>
        </w:rPr>
      </w:pPr>
    </w:p>
    <w:p w14:paraId="5EF5352F" w14:textId="77777777" w:rsidR="00927364" w:rsidRPr="00BF3362" w:rsidRDefault="00927364" w:rsidP="00927364">
      <w:pPr>
        <w:shd w:val="clear" w:color="auto" w:fill="D9D9D9"/>
        <w:rPr>
          <w:rFonts w:ascii="Arial" w:hAnsi="Arial" w:cs="Arial"/>
          <w:sz w:val="20"/>
          <w:szCs w:val="20"/>
        </w:rPr>
      </w:pPr>
      <w:r w:rsidRPr="00BF3362">
        <w:rPr>
          <w:rFonts w:ascii="Arial" w:hAnsi="Arial"/>
          <w:b/>
          <w:bCs/>
          <w:sz w:val="20"/>
          <w:szCs w:val="20"/>
        </w:rPr>
        <w:t>Please note:</w:t>
      </w:r>
      <w:r w:rsidRPr="00BF3362">
        <w:rPr>
          <w:rFonts w:ascii="Arial" w:hAnsi="Arial"/>
          <w:sz w:val="20"/>
          <w:szCs w:val="20"/>
        </w:rPr>
        <w:t xml:space="preserve"> </w:t>
      </w:r>
    </w:p>
    <w:p w14:paraId="08E05D0D" w14:textId="7D2CD285" w:rsidR="00927364" w:rsidRPr="00BF3362" w:rsidRDefault="00927364" w:rsidP="00927364">
      <w:pPr>
        <w:shd w:val="clear" w:color="auto" w:fill="D9D9D9"/>
        <w:rPr>
          <w:rFonts w:ascii="Arial" w:hAnsi="Arial" w:cs="Arial"/>
          <w:sz w:val="20"/>
          <w:szCs w:val="20"/>
        </w:rPr>
      </w:pPr>
      <w:r w:rsidRPr="00BF3362">
        <w:rPr>
          <w:rFonts w:ascii="Arial" w:hAnsi="Arial"/>
          <w:sz w:val="20"/>
          <w:szCs w:val="20"/>
        </w:rPr>
        <w:t>Your income for 2019 is taken as a basis to assess whether you are eligible for the rent reduction.</w:t>
      </w:r>
    </w:p>
    <w:p w14:paraId="3B9536DF" w14:textId="77777777" w:rsidR="00927364" w:rsidRPr="00BF3362" w:rsidRDefault="00927364" w:rsidP="00927364">
      <w:pPr>
        <w:rPr>
          <w:rFonts w:ascii="Arial" w:eastAsia="Calibri" w:hAnsi="Arial" w:cs="Arial"/>
          <w:b/>
          <w:bCs/>
          <w:sz w:val="20"/>
          <w:szCs w:val="20"/>
        </w:rPr>
      </w:pPr>
    </w:p>
    <w:p w14:paraId="225E7678" w14:textId="77777777" w:rsidR="00927364" w:rsidRPr="00BF3362" w:rsidRDefault="00927364" w:rsidP="00927364">
      <w:pPr>
        <w:pStyle w:val="Kop2"/>
        <w:numPr>
          <w:ilvl w:val="0"/>
          <w:numId w:val="0"/>
        </w:numPr>
        <w:ind w:left="576" w:hanging="576"/>
        <w:rPr>
          <w:sz w:val="20"/>
          <w:szCs w:val="18"/>
        </w:rPr>
      </w:pPr>
      <w:bookmarkStart w:id="46" w:name="_Toc51752533"/>
      <w:r w:rsidRPr="00BF3362">
        <w:rPr>
          <w:sz w:val="20"/>
          <w:szCs w:val="18"/>
        </w:rPr>
        <w:t>Cash gifts no longer deductible</w:t>
      </w:r>
      <w:bookmarkEnd w:id="46"/>
    </w:p>
    <w:p w14:paraId="4AD982B9" w14:textId="57A05F65" w:rsidR="00927364" w:rsidRPr="00BF3362" w:rsidRDefault="00927364" w:rsidP="00927364">
      <w:pPr>
        <w:rPr>
          <w:rFonts w:ascii="Arial" w:hAnsi="Arial" w:cs="Arial"/>
          <w:sz w:val="20"/>
          <w:szCs w:val="20"/>
        </w:rPr>
      </w:pPr>
      <w:r w:rsidRPr="00BF3362">
        <w:rPr>
          <w:rFonts w:ascii="Arial" w:hAnsi="Arial"/>
          <w:sz w:val="20"/>
          <w:szCs w:val="20"/>
        </w:rPr>
        <w:t xml:space="preserve">From 2021 it will no longer be possible to deduct gifts that are given in cash. In addition, written documents will be required as evidence of gifts. </w:t>
      </w:r>
    </w:p>
    <w:p w14:paraId="3E787CD5" w14:textId="77777777" w:rsidR="00927364" w:rsidRPr="00BF3362" w:rsidRDefault="00927364" w:rsidP="00927364">
      <w:pPr>
        <w:rPr>
          <w:rFonts w:ascii="Arial" w:hAnsi="Arial" w:cs="Arial"/>
          <w:sz w:val="20"/>
          <w:szCs w:val="20"/>
        </w:rPr>
      </w:pPr>
    </w:p>
    <w:p w14:paraId="1578CDE0" w14:textId="77777777" w:rsidR="00927364" w:rsidRPr="00BF3362" w:rsidRDefault="00927364" w:rsidP="00927364">
      <w:pPr>
        <w:pStyle w:val="Kop2"/>
        <w:numPr>
          <w:ilvl w:val="0"/>
          <w:numId w:val="0"/>
        </w:numPr>
        <w:ind w:left="576" w:hanging="576"/>
        <w:rPr>
          <w:rFonts w:eastAsia="Segoe UI"/>
          <w:sz w:val="20"/>
          <w:szCs w:val="18"/>
        </w:rPr>
      </w:pPr>
      <w:bookmarkStart w:id="47" w:name="_Toc51752534"/>
      <w:r w:rsidRPr="00BF3362">
        <w:rPr>
          <w:sz w:val="20"/>
          <w:szCs w:val="18"/>
        </w:rPr>
        <w:t>Excessive loans (€ 500,000 scheme)</w:t>
      </w:r>
      <w:bookmarkEnd w:id="47"/>
    </w:p>
    <w:p w14:paraId="567EB59C" w14:textId="77777777" w:rsidR="00927364" w:rsidRPr="00BF3362" w:rsidRDefault="00927364" w:rsidP="00927364">
      <w:pPr>
        <w:rPr>
          <w:rFonts w:ascii="Arial" w:eastAsia="Segoe UI" w:hAnsi="Arial" w:cs="Arial"/>
          <w:sz w:val="20"/>
          <w:szCs w:val="20"/>
        </w:rPr>
      </w:pPr>
      <w:r w:rsidRPr="00BF3362">
        <w:rPr>
          <w:rFonts w:ascii="Arial" w:hAnsi="Arial"/>
          <w:sz w:val="20"/>
          <w:szCs w:val="20"/>
        </w:rPr>
        <w:t xml:space="preserve">In June the legislative proposal on ‘Excessive Loans’ was submitted. Under this proposal debts of a director/major shareholder (DGA) that exceed € 500,000 will be taxed from 31 December 2023. </w:t>
      </w:r>
    </w:p>
    <w:p w14:paraId="5609F418" w14:textId="77777777" w:rsidR="00927364" w:rsidRPr="00BF3362" w:rsidRDefault="00927364" w:rsidP="00927364">
      <w:pPr>
        <w:rPr>
          <w:rFonts w:ascii="Arial" w:eastAsia="Segoe UI" w:hAnsi="Arial" w:cs="Arial"/>
          <w:sz w:val="20"/>
          <w:szCs w:val="20"/>
        </w:rPr>
      </w:pPr>
    </w:p>
    <w:p w14:paraId="56E60F10" w14:textId="77777777" w:rsidR="00927364" w:rsidRPr="00BF3362" w:rsidRDefault="00927364" w:rsidP="00927364">
      <w:pPr>
        <w:rPr>
          <w:rFonts w:ascii="Arial" w:eastAsia="Segoe UI" w:hAnsi="Arial" w:cs="Arial"/>
          <w:sz w:val="20"/>
          <w:szCs w:val="20"/>
        </w:rPr>
      </w:pPr>
      <w:r w:rsidRPr="00BF3362">
        <w:rPr>
          <w:rFonts w:ascii="Arial" w:hAnsi="Arial"/>
          <w:sz w:val="20"/>
          <w:szCs w:val="20"/>
        </w:rPr>
        <w:t>If on 31 December 2023 a DGA, together with his/her partner, has a debt to a company in which the DGA (indirectly) holds at least 5% of the shares, the excess amount above € 500,000 will be taxed as fictitious regular income in box 2. It will be taxed at a rate of 26.9%. Debts of children, grandchildren, parents and grandparents will also be taxed if they have a debt exceeding € 500,000. This will apply per family member.</w:t>
      </w:r>
    </w:p>
    <w:p w14:paraId="52DCCA8E" w14:textId="77777777" w:rsidR="00927364" w:rsidRPr="00BF3362" w:rsidRDefault="00927364" w:rsidP="00927364">
      <w:pPr>
        <w:rPr>
          <w:rFonts w:ascii="Arial" w:eastAsia="Segoe UI" w:hAnsi="Arial" w:cs="Arial"/>
          <w:sz w:val="20"/>
          <w:szCs w:val="20"/>
        </w:rPr>
      </w:pPr>
    </w:p>
    <w:p w14:paraId="7B537915" w14:textId="77777777" w:rsidR="00927364" w:rsidRPr="00BF3362" w:rsidRDefault="00927364" w:rsidP="00927364">
      <w:pPr>
        <w:rPr>
          <w:rFonts w:ascii="Arial" w:eastAsia="Segoe UI" w:hAnsi="Arial" w:cs="Arial"/>
          <w:sz w:val="20"/>
          <w:szCs w:val="20"/>
        </w:rPr>
      </w:pPr>
      <w:r w:rsidRPr="00BF3362">
        <w:rPr>
          <w:rFonts w:ascii="Arial" w:hAnsi="Arial"/>
          <w:sz w:val="20"/>
          <w:szCs w:val="20"/>
        </w:rPr>
        <w:t xml:space="preserve">Home acquisition debts for which a mortgage right has been granted to the company or that were entered into before 1 January 2023 will not be taken into account. </w:t>
      </w:r>
    </w:p>
    <w:p w14:paraId="4C59101E" w14:textId="77777777" w:rsidR="00927364" w:rsidRPr="00BF3362" w:rsidRDefault="00927364" w:rsidP="00927364">
      <w:pPr>
        <w:rPr>
          <w:rFonts w:ascii="Arial" w:eastAsia="Segoe UI" w:hAnsi="Arial" w:cs="Arial"/>
          <w:sz w:val="20"/>
          <w:szCs w:val="20"/>
        </w:rPr>
      </w:pPr>
    </w:p>
    <w:p w14:paraId="0FCC218C" w14:textId="77777777" w:rsidR="00927364" w:rsidRPr="00BF3362" w:rsidRDefault="00927364" w:rsidP="00927364">
      <w:pPr>
        <w:rPr>
          <w:rFonts w:ascii="Arial" w:eastAsia="Segoe UI" w:hAnsi="Arial" w:cs="Arial"/>
          <w:b/>
          <w:bCs/>
          <w:i/>
          <w:iCs/>
          <w:sz w:val="20"/>
          <w:szCs w:val="20"/>
        </w:rPr>
      </w:pPr>
      <w:r w:rsidRPr="00BF3362">
        <w:rPr>
          <w:rFonts w:ascii="Arial" w:hAnsi="Arial"/>
          <w:b/>
          <w:bCs/>
          <w:i/>
          <w:iCs/>
          <w:sz w:val="20"/>
          <w:szCs w:val="20"/>
        </w:rPr>
        <w:t>Example</w:t>
      </w:r>
    </w:p>
    <w:p w14:paraId="252FB8C0" w14:textId="77777777" w:rsidR="00927364" w:rsidRPr="00BF3362" w:rsidRDefault="00927364" w:rsidP="00927364">
      <w:pPr>
        <w:rPr>
          <w:rFonts w:ascii="Arial" w:eastAsia="Segoe UI" w:hAnsi="Arial" w:cs="Arial"/>
          <w:i/>
          <w:iCs/>
          <w:sz w:val="20"/>
          <w:szCs w:val="20"/>
        </w:rPr>
      </w:pPr>
      <w:r w:rsidRPr="00BF3362">
        <w:rPr>
          <w:rFonts w:ascii="Arial" w:hAnsi="Arial"/>
          <w:i/>
          <w:iCs/>
          <w:sz w:val="20"/>
          <w:szCs w:val="20"/>
        </w:rPr>
        <w:t>On 31 December a DGA has a debt of € 1,000,000 to his company. € 250,000 of this concerns a debt for the purchase of his own home and was entered into before 1 January 2023. The amount of loans to be taken into account for purposes of the excessive loans calculation is therefore € 750,000. The DGA therefore has to pay 26.9% tax on € 250,000 (€ 750,000 -/- € 500,000): € 67,250.</w:t>
      </w:r>
    </w:p>
    <w:p w14:paraId="32CF5CC4" w14:textId="77777777" w:rsidR="00927364" w:rsidRPr="00BF3362" w:rsidRDefault="00927364" w:rsidP="00927364">
      <w:pPr>
        <w:rPr>
          <w:rFonts w:ascii="Arial" w:eastAsia="Segoe UI" w:hAnsi="Arial" w:cs="Arial"/>
          <w:sz w:val="20"/>
          <w:szCs w:val="20"/>
        </w:rPr>
      </w:pPr>
    </w:p>
    <w:p w14:paraId="58269BD3" w14:textId="3D6F5E93" w:rsidR="00927364" w:rsidRPr="00BF3362" w:rsidRDefault="00927364" w:rsidP="00927364">
      <w:pPr>
        <w:rPr>
          <w:rFonts w:ascii="Arial" w:eastAsia="Segoe UI" w:hAnsi="Arial" w:cs="Arial"/>
          <w:sz w:val="20"/>
          <w:szCs w:val="20"/>
        </w:rPr>
      </w:pPr>
      <w:r w:rsidRPr="00BF3362">
        <w:rPr>
          <w:rFonts w:ascii="Arial" w:hAnsi="Arial"/>
          <w:sz w:val="20"/>
          <w:szCs w:val="20"/>
        </w:rPr>
        <w:t xml:space="preserve">If a dividend is distributed at a later date, this is first offset against the fictitious regular income. This therefore ensures that double taxation is avoided. </w:t>
      </w:r>
    </w:p>
    <w:p w14:paraId="748BF614" w14:textId="77777777" w:rsidR="00927364" w:rsidRPr="00BF3362" w:rsidRDefault="00927364" w:rsidP="00927364">
      <w:pPr>
        <w:rPr>
          <w:rFonts w:ascii="Arial" w:eastAsia="Segoe UI" w:hAnsi="Arial" w:cs="Arial"/>
          <w:sz w:val="20"/>
          <w:szCs w:val="20"/>
        </w:rPr>
      </w:pPr>
    </w:p>
    <w:p w14:paraId="72BB4C7E" w14:textId="6BABF13E" w:rsidR="00927364" w:rsidRPr="00BF3362" w:rsidRDefault="00927364" w:rsidP="00927364">
      <w:pPr>
        <w:shd w:val="clear" w:color="auto" w:fill="D9D9D9"/>
        <w:rPr>
          <w:rFonts w:ascii="Arial" w:hAnsi="Arial" w:cs="Arial"/>
          <w:sz w:val="20"/>
          <w:szCs w:val="20"/>
        </w:rPr>
      </w:pPr>
      <w:r w:rsidRPr="00BF3362">
        <w:rPr>
          <w:rFonts w:ascii="Arial" w:hAnsi="Arial"/>
          <w:b/>
          <w:bCs/>
          <w:sz w:val="20"/>
          <w:szCs w:val="20"/>
        </w:rPr>
        <w:t>Tip:</w:t>
      </w:r>
      <w:r w:rsidRPr="00BF3362">
        <w:rPr>
          <w:rFonts w:ascii="Arial" w:hAnsi="Arial"/>
          <w:sz w:val="20"/>
          <w:szCs w:val="20"/>
        </w:rPr>
        <w:t xml:space="preserve"> </w:t>
      </w:r>
    </w:p>
    <w:p w14:paraId="167263E7" w14:textId="047AD6D4" w:rsidR="00927364" w:rsidRPr="00BF3362" w:rsidRDefault="00927364" w:rsidP="00927364">
      <w:pPr>
        <w:shd w:val="clear" w:color="auto" w:fill="D9D9D9"/>
        <w:rPr>
          <w:rFonts w:ascii="Arial" w:eastAsia="Calibri" w:hAnsi="Arial" w:cs="Arial"/>
          <w:b/>
          <w:bCs/>
          <w:sz w:val="20"/>
          <w:szCs w:val="20"/>
        </w:rPr>
      </w:pPr>
      <w:r w:rsidRPr="00BF3362">
        <w:rPr>
          <w:rFonts w:ascii="Arial" w:hAnsi="Arial"/>
          <w:sz w:val="20"/>
          <w:szCs w:val="20"/>
        </w:rPr>
        <w:t>In 2020 the rate in box 2 is still 26.25%. It may be advantageous to reduce your debts in 2020 by means of a dividend payment.</w:t>
      </w:r>
    </w:p>
    <w:p w14:paraId="6C6ED3AC" w14:textId="77777777" w:rsidR="00927364" w:rsidRPr="00BF3362" w:rsidRDefault="00927364" w:rsidP="00927364">
      <w:pPr>
        <w:rPr>
          <w:rFonts w:ascii="Arial" w:eastAsia="Segoe UI" w:hAnsi="Arial" w:cs="Arial"/>
          <w:sz w:val="20"/>
          <w:szCs w:val="20"/>
        </w:rPr>
      </w:pPr>
    </w:p>
    <w:p w14:paraId="386C64D0" w14:textId="02866001" w:rsidR="00927364" w:rsidRPr="00BF3362" w:rsidRDefault="00927364" w:rsidP="00927364">
      <w:pPr>
        <w:shd w:val="clear" w:color="auto" w:fill="D9D9D9"/>
        <w:rPr>
          <w:rFonts w:ascii="Arial" w:hAnsi="Arial" w:cs="Arial"/>
          <w:sz w:val="20"/>
          <w:szCs w:val="20"/>
        </w:rPr>
      </w:pPr>
      <w:r w:rsidRPr="00BF3362">
        <w:rPr>
          <w:rFonts w:ascii="Arial" w:hAnsi="Arial"/>
          <w:b/>
          <w:bCs/>
          <w:sz w:val="20"/>
          <w:szCs w:val="20"/>
        </w:rPr>
        <w:t>Tip:</w:t>
      </w:r>
      <w:r w:rsidRPr="00BF3362">
        <w:rPr>
          <w:rFonts w:ascii="Arial" w:hAnsi="Arial"/>
          <w:sz w:val="20"/>
          <w:szCs w:val="20"/>
        </w:rPr>
        <w:t xml:space="preserve"> </w:t>
      </w:r>
    </w:p>
    <w:p w14:paraId="016B46BB" w14:textId="3C17142A" w:rsidR="00927364" w:rsidRPr="00BF3362" w:rsidRDefault="00927364" w:rsidP="00927364">
      <w:pPr>
        <w:shd w:val="clear" w:color="auto" w:fill="D9D9D9"/>
        <w:rPr>
          <w:rFonts w:ascii="Arial" w:eastAsia="Calibri" w:hAnsi="Arial" w:cs="Arial"/>
          <w:b/>
          <w:bCs/>
          <w:sz w:val="20"/>
          <w:szCs w:val="20"/>
        </w:rPr>
      </w:pPr>
      <w:r w:rsidRPr="00BF3362">
        <w:rPr>
          <w:rFonts w:ascii="Arial" w:hAnsi="Arial"/>
          <w:sz w:val="20"/>
          <w:szCs w:val="20"/>
        </w:rPr>
        <w:t>Have you entered into a large amount of debt for property that forms part of your private assets? If so, it may be advantageous to transfer this to a company or your children in 2020 at a transfer tax rate of 2% or 6%.</w:t>
      </w:r>
    </w:p>
    <w:p w14:paraId="0B853739" w14:textId="77777777" w:rsidR="00927364" w:rsidRPr="00BF3362" w:rsidRDefault="00927364" w:rsidP="00927364">
      <w:pPr>
        <w:rPr>
          <w:rFonts w:ascii="Arial" w:eastAsia="Calibri" w:hAnsi="Arial" w:cs="Arial"/>
          <w:b/>
          <w:sz w:val="20"/>
          <w:szCs w:val="20"/>
        </w:rPr>
      </w:pPr>
      <w:bookmarkStart w:id="48" w:name="_Hlk19623166"/>
    </w:p>
    <w:p w14:paraId="10A43D88" w14:textId="77777777" w:rsidR="00927364" w:rsidRPr="00BF3362" w:rsidRDefault="00927364" w:rsidP="00927364">
      <w:pPr>
        <w:pStyle w:val="Kop2"/>
        <w:numPr>
          <w:ilvl w:val="0"/>
          <w:numId w:val="0"/>
        </w:numPr>
        <w:ind w:left="576" w:hanging="576"/>
        <w:rPr>
          <w:rFonts w:eastAsia="Arial"/>
          <w:sz w:val="20"/>
          <w:szCs w:val="18"/>
        </w:rPr>
      </w:pPr>
      <w:bookmarkStart w:id="49" w:name="_Toc51752535"/>
      <w:r w:rsidRPr="00BF3362">
        <w:rPr>
          <w:sz w:val="20"/>
          <w:szCs w:val="18"/>
        </w:rPr>
        <w:t>What was missing from the tax plans?</w:t>
      </w:r>
      <w:bookmarkEnd w:id="49"/>
    </w:p>
    <w:p w14:paraId="07D955C0" w14:textId="77777777" w:rsidR="00927364" w:rsidRPr="00BF3362" w:rsidRDefault="00927364" w:rsidP="00927364">
      <w:pPr>
        <w:rPr>
          <w:rFonts w:ascii="Arial" w:eastAsia="Arial" w:hAnsi="Arial" w:cs="Arial"/>
          <w:sz w:val="20"/>
          <w:szCs w:val="20"/>
        </w:rPr>
      </w:pPr>
      <w:r w:rsidRPr="00BF3362">
        <w:rPr>
          <w:rFonts w:ascii="Arial" w:hAnsi="Arial"/>
          <w:sz w:val="20"/>
          <w:szCs w:val="20"/>
        </w:rPr>
        <w:t xml:space="preserve">Various legislative proposals were also missing in relation to a number of issues. These include, for example, a proposal to replace the current Assessment of Employment Relationships (Deregulation) Act to future-proof the labour market. A number of further legislative proposals are expected in the spring! </w:t>
      </w:r>
    </w:p>
    <w:p w14:paraId="37BB5F95" w14:textId="77777777" w:rsidR="00927364" w:rsidRPr="00BF3362" w:rsidRDefault="00927364" w:rsidP="00927364">
      <w:pPr>
        <w:rPr>
          <w:rFonts w:ascii="Arial" w:eastAsia="Calibri" w:hAnsi="Arial" w:cs="Arial"/>
          <w:b/>
          <w:sz w:val="20"/>
          <w:szCs w:val="20"/>
          <w:lang w:eastAsia="en-US"/>
        </w:rPr>
      </w:pPr>
    </w:p>
    <w:p w14:paraId="2A4EBB7F" w14:textId="77777777" w:rsidR="00927364" w:rsidRPr="00BF3362" w:rsidRDefault="00927364" w:rsidP="00927364">
      <w:pPr>
        <w:rPr>
          <w:rFonts w:ascii="Arial" w:eastAsia="Calibri" w:hAnsi="Arial" w:cs="Arial"/>
          <w:b/>
          <w:sz w:val="20"/>
          <w:szCs w:val="20"/>
          <w:lang w:eastAsia="en-US"/>
        </w:rPr>
      </w:pPr>
    </w:p>
    <w:bookmarkEnd w:id="48"/>
    <w:p w14:paraId="297BC98F" w14:textId="77777777" w:rsidR="00927364" w:rsidRPr="00BF3362" w:rsidRDefault="00927364" w:rsidP="00927364">
      <w:pPr>
        <w:rPr>
          <w:rFonts w:ascii="Arial" w:eastAsia="Calibri" w:hAnsi="Arial" w:cs="Arial"/>
          <w:sz w:val="20"/>
          <w:szCs w:val="20"/>
          <w:lang w:eastAsia="en-US"/>
        </w:rPr>
      </w:pPr>
    </w:p>
    <w:p w14:paraId="0CF0454D" w14:textId="77777777" w:rsidR="00927364" w:rsidRPr="00BF3362" w:rsidRDefault="00927364" w:rsidP="00927364">
      <w:pPr>
        <w:rPr>
          <w:rFonts w:ascii="Arial" w:hAnsi="Arial" w:cs="Arial"/>
          <w:bCs/>
          <w:sz w:val="20"/>
          <w:szCs w:val="20"/>
        </w:rPr>
      </w:pPr>
    </w:p>
    <w:p w14:paraId="789F3FFC" w14:textId="77777777" w:rsidR="00927364" w:rsidRPr="00BF3362" w:rsidRDefault="00927364" w:rsidP="00927364">
      <w:pPr>
        <w:rPr>
          <w:rFonts w:ascii="Arial" w:hAnsi="Arial" w:cs="Arial"/>
          <w:bCs/>
          <w:sz w:val="20"/>
          <w:szCs w:val="20"/>
        </w:rPr>
      </w:pPr>
    </w:p>
    <w:p w14:paraId="501F7B83" w14:textId="77777777" w:rsidR="00927364" w:rsidRPr="00BF3362" w:rsidRDefault="00927364" w:rsidP="00927364">
      <w:pPr>
        <w:rPr>
          <w:rFonts w:ascii="Arial" w:hAnsi="Arial" w:cs="Arial"/>
          <w:bCs/>
          <w:i/>
          <w:sz w:val="20"/>
          <w:szCs w:val="20"/>
        </w:rPr>
      </w:pPr>
    </w:p>
    <w:p w14:paraId="32036308" w14:textId="77777777" w:rsidR="00927364" w:rsidRPr="00BF3362" w:rsidRDefault="00927364" w:rsidP="00927364">
      <w:pPr>
        <w:rPr>
          <w:rFonts w:ascii="Arial" w:hAnsi="Arial" w:cs="Arial"/>
          <w:bCs/>
          <w:i/>
          <w:sz w:val="20"/>
          <w:szCs w:val="20"/>
        </w:rPr>
      </w:pPr>
    </w:p>
    <w:p w14:paraId="10669C6A" w14:textId="62D21F30" w:rsidR="00927364" w:rsidRPr="00BF3362" w:rsidRDefault="00927364" w:rsidP="00927364">
      <w:pPr>
        <w:rPr>
          <w:rFonts w:ascii="Arial" w:hAnsi="Arial" w:cs="Arial"/>
          <w:i/>
          <w:sz w:val="20"/>
          <w:szCs w:val="20"/>
        </w:rPr>
      </w:pPr>
      <w:r w:rsidRPr="00BF3362">
        <w:rPr>
          <w:rFonts w:ascii="Arial" w:hAnsi="Arial"/>
          <w:bCs/>
          <w:i/>
          <w:sz w:val="20"/>
          <w:szCs w:val="20"/>
        </w:rPr>
        <w:t>We have endeavoured to compile these texts as reliably and as carefully as possible. Our organisation cannot be held liable for any inaccuracies they may contain or the consequences thereof.</w:t>
      </w:r>
    </w:p>
    <w:p w14:paraId="50DF83D3" w14:textId="77BBEFE6" w:rsidR="00EE2FC7" w:rsidRPr="00BF3362" w:rsidRDefault="00EE2FC7" w:rsidP="00927364">
      <w:pPr>
        <w:rPr>
          <w:rFonts w:ascii="Arial" w:hAnsi="Arial" w:cs="Arial"/>
          <w:bCs/>
          <w:i/>
          <w:sz w:val="20"/>
          <w:szCs w:val="20"/>
        </w:rPr>
      </w:pPr>
    </w:p>
    <w:sectPr w:rsidR="00EE2FC7" w:rsidRPr="00BF3362" w:rsidSect="007C7138">
      <w:headerReference w:type="even" r:id="rId12"/>
      <w:headerReference w:type="default" r:id="rId13"/>
      <w:footerReference w:type="even" r:id="rId14"/>
      <w:footerReference w:type="default" r:id="rId15"/>
      <w:headerReference w:type="first" r:id="rId16"/>
      <w:pgSz w:w="11906" w:h="16838"/>
      <w:pgMar w:top="1843" w:right="1417" w:bottom="1134"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229C" w14:textId="77777777" w:rsidR="00A22560" w:rsidRDefault="00A22560">
      <w:r>
        <w:separator/>
      </w:r>
    </w:p>
  </w:endnote>
  <w:endnote w:type="continuationSeparator" w:id="0">
    <w:p w14:paraId="35BF587C" w14:textId="77777777" w:rsidR="00A22560" w:rsidRDefault="00A2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entury Gothic"/>
    <w:charset w:val="00"/>
    <w:family w:val="swiss"/>
    <w:pitch w:val="variable"/>
    <w:sig w:usb0="00000003" w:usb1="00000000" w:usb2="00000000" w:usb3="00000000" w:csb0="00000001" w:csb1="00000000"/>
  </w:font>
  <w:font w:name="Linotype EuroFont G to P">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6E8A" w14:textId="77777777" w:rsidR="005C0CAF" w:rsidRDefault="005C0CAF" w:rsidP="00FD1F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11955A" w14:textId="77777777" w:rsidR="005C0CAF" w:rsidRDefault="005C0CAF" w:rsidP="00FD1F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5844" w14:textId="77777777" w:rsidR="005C0CAF" w:rsidRPr="00212BFB" w:rsidRDefault="005C0CAF" w:rsidP="00FD1F9E">
    <w:pPr>
      <w:pStyle w:val="Voettekst"/>
      <w:framePr w:wrap="around" w:vAnchor="text" w:hAnchor="margin" w:xAlign="right" w:y="1"/>
      <w:rPr>
        <w:rStyle w:val="Paginanummer"/>
        <w:rFonts w:ascii="Arial" w:hAnsi="Arial" w:cs="Arial"/>
        <w:sz w:val="16"/>
        <w:szCs w:val="16"/>
      </w:rPr>
    </w:pPr>
  </w:p>
  <w:tbl>
    <w:tblPr>
      <w:tblW w:w="0" w:type="auto"/>
      <w:tblLook w:val="00A0" w:firstRow="1" w:lastRow="0" w:firstColumn="1" w:lastColumn="0" w:noHBand="0" w:noVBand="0"/>
    </w:tblPr>
    <w:tblGrid>
      <w:gridCol w:w="7032"/>
      <w:gridCol w:w="817"/>
      <w:gridCol w:w="1223"/>
    </w:tblGrid>
    <w:tr w:rsidR="005C0CAF" w:rsidRPr="004A3A57" w14:paraId="4BBC601F" w14:textId="77777777" w:rsidTr="006162AF">
      <w:tc>
        <w:tcPr>
          <w:tcW w:w="7211" w:type="dxa"/>
          <w:shd w:val="clear" w:color="auto" w:fill="auto"/>
        </w:tcPr>
        <w:p w14:paraId="152C0FBC" w14:textId="726C9792" w:rsidR="005C0CAF" w:rsidRDefault="005C0CAF" w:rsidP="00B3300D">
          <w:pPr>
            <w:pStyle w:val="Plattetekst"/>
            <w:spacing w:line="360" w:lineRule="auto"/>
            <w:ind w:right="-42"/>
            <w:jc w:val="right"/>
            <w:rPr>
              <w:rFonts w:ascii="Arial" w:hAnsi="Arial" w:cs="Arial"/>
              <w:spacing w:val="-4"/>
              <w:sz w:val="16"/>
            </w:rPr>
          </w:pPr>
          <w:r>
            <w:rPr>
              <w:rFonts w:ascii="Arial" w:hAnsi="Arial"/>
              <w:sz w:val="16"/>
            </w:rPr>
            <w:t>2021 Budget Memorandum Special</w:t>
          </w:r>
        </w:p>
        <w:p w14:paraId="56644968" w14:textId="77777777" w:rsidR="005C0CAF" w:rsidRPr="004A3A57" w:rsidRDefault="005C0CAF" w:rsidP="00B3300D">
          <w:pPr>
            <w:pStyle w:val="Plattetekst"/>
            <w:spacing w:line="360" w:lineRule="auto"/>
            <w:ind w:right="-42"/>
            <w:jc w:val="right"/>
            <w:rPr>
              <w:rFonts w:ascii="Arial" w:hAnsi="Arial" w:cs="Arial"/>
              <w:spacing w:val="-4"/>
              <w:sz w:val="16"/>
            </w:rPr>
          </w:pPr>
        </w:p>
      </w:tc>
      <w:tc>
        <w:tcPr>
          <w:tcW w:w="835" w:type="dxa"/>
        </w:tcPr>
        <w:p w14:paraId="6060F7C4" w14:textId="77777777" w:rsidR="005C0CAF" w:rsidRPr="004A3A57" w:rsidRDefault="005C0CAF" w:rsidP="00741324">
          <w:pPr>
            <w:pStyle w:val="Plattetekst"/>
            <w:spacing w:line="360" w:lineRule="auto"/>
            <w:ind w:right="-42"/>
            <w:jc w:val="right"/>
            <w:rPr>
              <w:rFonts w:ascii="Arial" w:hAnsi="Arial" w:cs="Arial"/>
              <w:spacing w:val="-4"/>
              <w:sz w:val="16"/>
            </w:rPr>
          </w:pPr>
        </w:p>
      </w:tc>
      <w:tc>
        <w:tcPr>
          <w:tcW w:w="1242" w:type="dxa"/>
          <w:shd w:val="clear" w:color="auto" w:fill="auto"/>
        </w:tcPr>
        <w:p w14:paraId="030E0402" w14:textId="77777777" w:rsidR="005C0CAF" w:rsidRPr="004A3A57" w:rsidRDefault="005C0CAF" w:rsidP="00741324">
          <w:pPr>
            <w:pStyle w:val="Plattetekst"/>
            <w:spacing w:line="360" w:lineRule="auto"/>
            <w:ind w:right="-42"/>
            <w:jc w:val="right"/>
            <w:rPr>
              <w:rFonts w:ascii="Arial" w:hAnsi="Arial" w:cs="Arial"/>
              <w:spacing w:val="-4"/>
              <w:sz w:val="16"/>
            </w:rPr>
          </w:pPr>
          <w:r>
            <w:rPr>
              <w:rFonts w:ascii="Arial" w:hAnsi="Arial"/>
              <w:sz w:val="16"/>
            </w:rPr>
            <w:t xml:space="preserve">Page </w:t>
          </w:r>
          <w:r w:rsidRPr="004A3A57">
            <w:rPr>
              <w:rFonts w:ascii="Arial" w:hAnsi="Arial" w:cs="Arial"/>
              <w:sz w:val="16"/>
            </w:rPr>
            <w:fldChar w:fldCharType="begin"/>
          </w:r>
          <w:r w:rsidRPr="004A3A57">
            <w:rPr>
              <w:rFonts w:ascii="Arial" w:hAnsi="Arial" w:cs="Arial"/>
              <w:sz w:val="16"/>
            </w:rPr>
            <w:instrText xml:space="preserve"> PAGE </w:instrText>
          </w:r>
          <w:r w:rsidRPr="004A3A57">
            <w:rPr>
              <w:rFonts w:ascii="Arial" w:hAnsi="Arial" w:cs="Arial"/>
              <w:sz w:val="16"/>
            </w:rPr>
            <w:fldChar w:fldCharType="separate"/>
          </w:r>
          <w:r w:rsidR="003A3BCA">
            <w:rPr>
              <w:rFonts w:ascii="Arial" w:hAnsi="Arial" w:cs="Arial"/>
              <w:noProof/>
              <w:sz w:val="16"/>
            </w:rPr>
            <w:t>1</w:t>
          </w:r>
          <w:r w:rsidRPr="004A3A57">
            <w:rPr>
              <w:rFonts w:ascii="Arial" w:hAnsi="Arial" w:cs="Arial"/>
              <w:sz w:val="16"/>
            </w:rPr>
            <w:fldChar w:fldCharType="end"/>
          </w:r>
          <w:r>
            <w:rPr>
              <w:rFonts w:ascii="Arial" w:hAnsi="Arial"/>
              <w:sz w:val="16"/>
            </w:rPr>
            <w:t xml:space="preserve"> of </w:t>
          </w:r>
          <w:r w:rsidRPr="004A3A57">
            <w:rPr>
              <w:rFonts w:ascii="Arial" w:hAnsi="Arial" w:cs="Arial"/>
              <w:sz w:val="16"/>
            </w:rPr>
            <w:fldChar w:fldCharType="begin"/>
          </w:r>
          <w:r w:rsidRPr="004A3A57">
            <w:rPr>
              <w:rFonts w:ascii="Arial" w:hAnsi="Arial" w:cs="Arial"/>
              <w:sz w:val="16"/>
            </w:rPr>
            <w:instrText xml:space="preserve"> NUMPAGES </w:instrText>
          </w:r>
          <w:r w:rsidRPr="004A3A57">
            <w:rPr>
              <w:rFonts w:ascii="Arial" w:hAnsi="Arial" w:cs="Arial"/>
              <w:sz w:val="16"/>
            </w:rPr>
            <w:fldChar w:fldCharType="separate"/>
          </w:r>
          <w:r w:rsidR="003A3BCA">
            <w:rPr>
              <w:rFonts w:ascii="Arial" w:hAnsi="Arial" w:cs="Arial"/>
              <w:noProof/>
              <w:sz w:val="16"/>
            </w:rPr>
            <w:t>18</w:t>
          </w:r>
          <w:r w:rsidRPr="004A3A57">
            <w:rPr>
              <w:rFonts w:ascii="Arial" w:hAnsi="Arial" w:cs="Arial"/>
              <w:sz w:val="16"/>
            </w:rPr>
            <w:fldChar w:fldCharType="end"/>
          </w:r>
        </w:p>
      </w:tc>
    </w:tr>
  </w:tbl>
  <w:p w14:paraId="14C0633A" w14:textId="77777777" w:rsidR="005C0CAF" w:rsidRDefault="005C0CAF" w:rsidP="008658F9">
    <w:pPr>
      <w:pStyle w:val="Voettekst"/>
      <w:tabs>
        <w:tab w:val="clear" w:pos="4536"/>
        <w:tab w:val="clear" w:pos="9072"/>
        <w:tab w:val="left" w:pos="18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862E" w14:textId="77777777" w:rsidR="00A22560" w:rsidRDefault="00A22560">
      <w:r>
        <w:separator/>
      </w:r>
    </w:p>
  </w:footnote>
  <w:footnote w:type="continuationSeparator" w:id="0">
    <w:p w14:paraId="5238405E" w14:textId="77777777" w:rsidR="00A22560" w:rsidRDefault="00A2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E8EE" w14:textId="77777777" w:rsidR="005C0CAF" w:rsidRDefault="00942711">
    <w:pPr>
      <w:pStyle w:val="Koptekst"/>
    </w:pPr>
    <w:r>
      <w:pict w14:anchorId="17D1B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C460" w14:textId="77777777" w:rsidR="005C0CAF" w:rsidRDefault="005C0CAF" w:rsidP="004168F6">
    <w:pPr>
      <w:pStyle w:val="Koptekst"/>
      <w:tabs>
        <w:tab w:val="clear" w:pos="4536"/>
        <w:tab w:val="clear" w:pos="9072"/>
      </w:tabs>
      <w:jc w:val="right"/>
      <w:rPr>
        <w:rFonts w:cs="Arial"/>
        <w:sz w:val="16"/>
        <w:szCs w:val="16"/>
      </w:rPr>
    </w:pPr>
    <w:r>
      <w:rPr>
        <w:noProof/>
        <w:lang w:eastAsia="en-GB"/>
      </w:rPr>
      <w:drawing>
        <wp:anchor distT="0" distB="0" distL="114300" distR="114300" simplePos="0" relativeHeight="251658240" behindDoc="0" locked="0" layoutInCell="1" allowOverlap="1" wp14:anchorId="647AF68E" wp14:editId="5C5196BA">
          <wp:simplePos x="0" y="0"/>
          <wp:positionH relativeFrom="column">
            <wp:align>left</wp:align>
          </wp:positionH>
          <wp:positionV relativeFrom="page">
            <wp:posOffset>482600</wp:posOffset>
          </wp:positionV>
          <wp:extent cx="718820" cy="599440"/>
          <wp:effectExtent l="0" t="0" r="5080" b="0"/>
          <wp:wrapNone/>
          <wp:docPr id="7" name="Afbeelding 7"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9700A" w14:textId="77777777" w:rsidR="005C0CAF" w:rsidRPr="00E07F75" w:rsidRDefault="005C0CAF" w:rsidP="00E07F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A292" w14:textId="77777777" w:rsidR="005C0CAF" w:rsidRDefault="00942711">
    <w:pPr>
      <w:pStyle w:val="Koptekst"/>
    </w:pPr>
    <w:r>
      <w:pict w14:anchorId="41104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BC59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D0E73A8"/>
    <w:multiLevelType w:val="hybridMultilevel"/>
    <w:tmpl w:val="4E84A5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3536E6"/>
    <w:multiLevelType w:val="hybridMultilevel"/>
    <w:tmpl w:val="B77EE176"/>
    <w:lvl w:ilvl="0" w:tplc="AC304FE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9D6E2B"/>
    <w:multiLevelType w:val="hybridMultilevel"/>
    <w:tmpl w:val="63F073EE"/>
    <w:lvl w:ilvl="0" w:tplc="82706664">
      <w:start w:val="1"/>
      <w:numFmt w:val="bullet"/>
      <w:lvlText w:val=""/>
      <w:lvlJc w:val="left"/>
      <w:pPr>
        <w:ind w:left="1571" w:hanging="360"/>
      </w:pPr>
      <w:rPr>
        <w:rFonts w:ascii="Wingdings" w:hAnsi="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15:restartNumberingAfterBreak="0">
    <w:nsid w:val="2D4A27E1"/>
    <w:multiLevelType w:val="hybridMultilevel"/>
    <w:tmpl w:val="1D06F6A4"/>
    <w:lvl w:ilvl="0" w:tplc="AC304FE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8B248D"/>
    <w:multiLevelType w:val="hybridMultilevel"/>
    <w:tmpl w:val="FFFFFFFF"/>
    <w:lvl w:ilvl="0" w:tplc="F86624E0">
      <w:start w:val="1"/>
      <w:numFmt w:val="decimal"/>
      <w:lvlText w:val="%1."/>
      <w:lvlJc w:val="left"/>
      <w:pPr>
        <w:ind w:left="720" w:hanging="360"/>
      </w:pPr>
    </w:lvl>
    <w:lvl w:ilvl="1" w:tplc="ED4E6B60">
      <w:start w:val="1"/>
      <w:numFmt w:val="lowerLetter"/>
      <w:lvlText w:val="%2."/>
      <w:lvlJc w:val="left"/>
      <w:pPr>
        <w:ind w:left="1440" w:hanging="360"/>
      </w:pPr>
    </w:lvl>
    <w:lvl w:ilvl="2" w:tplc="AEB4AAF2">
      <w:start w:val="1"/>
      <w:numFmt w:val="lowerRoman"/>
      <w:lvlText w:val="%3."/>
      <w:lvlJc w:val="right"/>
      <w:pPr>
        <w:ind w:left="2160" w:hanging="180"/>
      </w:pPr>
    </w:lvl>
    <w:lvl w:ilvl="3" w:tplc="AB7EB40C">
      <w:start w:val="1"/>
      <w:numFmt w:val="decimal"/>
      <w:lvlText w:val="%4."/>
      <w:lvlJc w:val="left"/>
      <w:pPr>
        <w:ind w:left="2880" w:hanging="360"/>
      </w:pPr>
    </w:lvl>
    <w:lvl w:ilvl="4" w:tplc="CBB6799A">
      <w:start w:val="1"/>
      <w:numFmt w:val="lowerLetter"/>
      <w:lvlText w:val="%5."/>
      <w:lvlJc w:val="left"/>
      <w:pPr>
        <w:ind w:left="3600" w:hanging="360"/>
      </w:pPr>
    </w:lvl>
    <w:lvl w:ilvl="5" w:tplc="7D327E78">
      <w:start w:val="1"/>
      <w:numFmt w:val="lowerRoman"/>
      <w:lvlText w:val="%6."/>
      <w:lvlJc w:val="right"/>
      <w:pPr>
        <w:ind w:left="4320" w:hanging="180"/>
      </w:pPr>
    </w:lvl>
    <w:lvl w:ilvl="6" w:tplc="61D24C92">
      <w:start w:val="1"/>
      <w:numFmt w:val="decimal"/>
      <w:lvlText w:val="%7."/>
      <w:lvlJc w:val="left"/>
      <w:pPr>
        <w:ind w:left="5040" w:hanging="360"/>
      </w:pPr>
    </w:lvl>
    <w:lvl w:ilvl="7" w:tplc="D9FA04FC">
      <w:start w:val="1"/>
      <w:numFmt w:val="lowerLetter"/>
      <w:lvlText w:val="%8."/>
      <w:lvlJc w:val="left"/>
      <w:pPr>
        <w:ind w:left="5760" w:hanging="360"/>
      </w:pPr>
    </w:lvl>
    <w:lvl w:ilvl="8" w:tplc="9360408C">
      <w:start w:val="1"/>
      <w:numFmt w:val="lowerRoman"/>
      <w:lvlText w:val="%9."/>
      <w:lvlJc w:val="right"/>
      <w:pPr>
        <w:ind w:left="6480" w:hanging="180"/>
      </w:pPr>
    </w:lvl>
  </w:abstractNum>
  <w:abstractNum w:abstractNumId="6" w15:restartNumberingAfterBreak="0">
    <w:nsid w:val="2FD37D6A"/>
    <w:multiLevelType w:val="hybridMultilevel"/>
    <w:tmpl w:val="92182C40"/>
    <w:lvl w:ilvl="0" w:tplc="04130005">
      <w:start w:val="1"/>
      <w:numFmt w:val="bullet"/>
      <w:lvlText w:val=""/>
      <w:lvlJc w:val="left"/>
      <w:pPr>
        <w:ind w:left="720" w:hanging="360"/>
      </w:pPr>
      <w:rPr>
        <w:rFonts w:ascii="Wingdings" w:hAnsi="Wingdings" w:hint="default"/>
      </w:rPr>
    </w:lvl>
    <w:lvl w:ilvl="1" w:tplc="77D80B34">
      <w:start w:val="1"/>
      <w:numFmt w:val="bullet"/>
      <w:lvlText w:val="o"/>
      <w:lvlJc w:val="left"/>
      <w:pPr>
        <w:ind w:left="1440" w:hanging="360"/>
      </w:pPr>
      <w:rPr>
        <w:rFonts w:ascii="Courier New" w:hAnsi="Courier New" w:hint="default"/>
      </w:rPr>
    </w:lvl>
    <w:lvl w:ilvl="2" w:tplc="1A663D9A">
      <w:start w:val="1"/>
      <w:numFmt w:val="bullet"/>
      <w:lvlText w:val=""/>
      <w:lvlJc w:val="left"/>
      <w:pPr>
        <w:ind w:left="2160" w:hanging="360"/>
      </w:pPr>
      <w:rPr>
        <w:rFonts w:ascii="Wingdings" w:hAnsi="Wingdings" w:hint="default"/>
      </w:rPr>
    </w:lvl>
    <w:lvl w:ilvl="3" w:tplc="CB92236A">
      <w:start w:val="1"/>
      <w:numFmt w:val="bullet"/>
      <w:lvlText w:val=""/>
      <w:lvlJc w:val="left"/>
      <w:pPr>
        <w:ind w:left="2880" w:hanging="360"/>
      </w:pPr>
      <w:rPr>
        <w:rFonts w:ascii="Symbol" w:hAnsi="Symbol" w:hint="default"/>
      </w:rPr>
    </w:lvl>
    <w:lvl w:ilvl="4" w:tplc="F5B27850">
      <w:start w:val="1"/>
      <w:numFmt w:val="bullet"/>
      <w:lvlText w:val="o"/>
      <w:lvlJc w:val="left"/>
      <w:pPr>
        <w:ind w:left="3600" w:hanging="360"/>
      </w:pPr>
      <w:rPr>
        <w:rFonts w:ascii="Courier New" w:hAnsi="Courier New" w:hint="default"/>
      </w:rPr>
    </w:lvl>
    <w:lvl w:ilvl="5" w:tplc="FE7C681E">
      <w:start w:val="1"/>
      <w:numFmt w:val="bullet"/>
      <w:lvlText w:val=""/>
      <w:lvlJc w:val="left"/>
      <w:pPr>
        <w:ind w:left="4320" w:hanging="360"/>
      </w:pPr>
      <w:rPr>
        <w:rFonts w:ascii="Wingdings" w:hAnsi="Wingdings" w:hint="default"/>
      </w:rPr>
    </w:lvl>
    <w:lvl w:ilvl="6" w:tplc="BDAE526E">
      <w:start w:val="1"/>
      <w:numFmt w:val="bullet"/>
      <w:lvlText w:val=""/>
      <w:lvlJc w:val="left"/>
      <w:pPr>
        <w:ind w:left="5040" w:hanging="360"/>
      </w:pPr>
      <w:rPr>
        <w:rFonts w:ascii="Symbol" w:hAnsi="Symbol" w:hint="default"/>
      </w:rPr>
    </w:lvl>
    <w:lvl w:ilvl="7" w:tplc="C3D0BB56">
      <w:start w:val="1"/>
      <w:numFmt w:val="bullet"/>
      <w:lvlText w:val="o"/>
      <w:lvlJc w:val="left"/>
      <w:pPr>
        <w:ind w:left="5760" w:hanging="360"/>
      </w:pPr>
      <w:rPr>
        <w:rFonts w:ascii="Courier New" w:hAnsi="Courier New" w:hint="default"/>
      </w:rPr>
    </w:lvl>
    <w:lvl w:ilvl="8" w:tplc="4C0828E0">
      <w:start w:val="1"/>
      <w:numFmt w:val="bullet"/>
      <w:lvlText w:val=""/>
      <w:lvlJc w:val="left"/>
      <w:pPr>
        <w:ind w:left="6480" w:hanging="360"/>
      </w:pPr>
      <w:rPr>
        <w:rFonts w:ascii="Wingdings" w:hAnsi="Wingdings" w:hint="default"/>
      </w:rPr>
    </w:lvl>
  </w:abstractNum>
  <w:abstractNum w:abstractNumId="7" w15:restartNumberingAfterBreak="0">
    <w:nsid w:val="57871B4F"/>
    <w:multiLevelType w:val="multilevel"/>
    <w:tmpl w:val="08F28CE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5E34A8"/>
    <w:multiLevelType w:val="hybridMultilevel"/>
    <w:tmpl w:val="0EE4B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B2662B"/>
    <w:multiLevelType w:val="hybridMultilevel"/>
    <w:tmpl w:val="133E7E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4B6DE8"/>
    <w:multiLevelType w:val="hybridMultilevel"/>
    <w:tmpl w:val="677EA8CA"/>
    <w:lvl w:ilvl="0" w:tplc="04130005">
      <w:start w:val="1"/>
      <w:numFmt w:val="bullet"/>
      <w:lvlText w:val=""/>
      <w:lvlJc w:val="left"/>
      <w:pPr>
        <w:tabs>
          <w:tab w:val="num" w:pos="720"/>
        </w:tabs>
        <w:ind w:left="720" w:hanging="360"/>
      </w:pPr>
      <w:rPr>
        <w:rFonts w:ascii="Wingdings" w:hAnsi="Wingdings" w:hint="default"/>
        <w:sz w:val="20"/>
      </w:rPr>
    </w:lvl>
    <w:lvl w:ilvl="1" w:tplc="182806CC" w:tentative="1">
      <w:start w:val="1"/>
      <w:numFmt w:val="bullet"/>
      <w:lvlText w:val="o"/>
      <w:lvlJc w:val="left"/>
      <w:pPr>
        <w:tabs>
          <w:tab w:val="num" w:pos="1440"/>
        </w:tabs>
        <w:ind w:left="1440" w:hanging="360"/>
      </w:pPr>
      <w:rPr>
        <w:rFonts w:ascii="Courier New" w:hAnsi="Courier New" w:hint="default"/>
        <w:sz w:val="20"/>
      </w:rPr>
    </w:lvl>
    <w:lvl w:ilvl="2" w:tplc="43300D02" w:tentative="1">
      <w:start w:val="1"/>
      <w:numFmt w:val="bullet"/>
      <w:lvlText w:val=""/>
      <w:lvlJc w:val="left"/>
      <w:pPr>
        <w:tabs>
          <w:tab w:val="num" w:pos="2160"/>
        </w:tabs>
        <w:ind w:left="2160" w:hanging="360"/>
      </w:pPr>
      <w:rPr>
        <w:rFonts w:ascii="Wingdings" w:hAnsi="Wingdings" w:hint="default"/>
        <w:sz w:val="20"/>
      </w:rPr>
    </w:lvl>
    <w:lvl w:ilvl="3" w:tplc="74A8BBDE" w:tentative="1">
      <w:start w:val="1"/>
      <w:numFmt w:val="bullet"/>
      <w:lvlText w:val=""/>
      <w:lvlJc w:val="left"/>
      <w:pPr>
        <w:tabs>
          <w:tab w:val="num" w:pos="2880"/>
        </w:tabs>
        <w:ind w:left="2880" w:hanging="360"/>
      </w:pPr>
      <w:rPr>
        <w:rFonts w:ascii="Wingdings" w:hAnsi="Wingdings" w:hint="default"/>
        <w:sz w:val="20"/>
      </w:rPr>
    </w:lvl>
    <w:lvl w:ilvl="4" w:tplc="D608AA14" w:tentative="1">
      <w:start w:val="1"/>
      <w:numFmt w:val="bullet"/>
      <w:lvlText w:val=""/>
      <w:lvlJc w:val="left"/>
      <w:pPr>
        <w:tabs>
          <w:tab w:val="num" w:pos="3600"/>
        </w:tabs>
        <w:ind w:left="3600" w:hanging="360"/>
      </w:pPr>
      <w:rPr>
        <w:rFonts w:ascii="Wingdings" w:hAnsi="Wingdings" w:hint="default"/>
        <w:sz w:val="20"/>
      </w:rPr>
    </w:lvl>
    <w:lvl w:ilvl="5" w:tplc="43A4508A" w:tentative="1">
      <w:start w:val="1"/>
      <w:numFmt w:val="bullet"/>
      <w:lvlText w:val=""/>
      <w:lvlJc w:val="left"/>
      <w:pPr>
        <w:tabs>
          <w:tab w:val="num" w:pos="4320"/>
        </w:tabs>
        <w:ind w:left="4320" w:hanging="360"/>
      </w:pPr>
      <w:rPr>
        <w:rFonts w:ascii="Wingdings" w:hAnsi="Wingdings" w:hint="default"/>
        <w:sz w:val="20"/>
      </w:rPr>
    </w:lvl>
    <w:lvl w:ilvl="6" w:tplc="38D0DFDA" w:tentative="1">
      <w:start w:val="1"/>
      <w:numFmt w:val="bullet"/>
      <w:lvlText w:val=""/>
      <w:lvlJc w:val="left"/>
      <w:pPr>
        <w:tabs>
          <w:tab w:val="num" w:pos="5040"/>
        </w:tabs>
        <w:ind w:left="5040" w:hanging="360"/>
      </w:pPr>
      <w:rPr>
        <w:rFonts w:ascii="Wingdings" w:hAnsi="Wingdings" w:hint="default"/>
        <w:sz w:val="20"/>
      </w:rPr>
    </w:lvl>
    <w:lvl w:ilvl="7" w:tplc="2E782D10" w:tentative="1">
      <w:start w:val="1"/>
      <w:numFmt w:val="bullet"/>
      <w:lvlText w:val=""/>
      <w:lvlJc w:val="left"/>
      <w:pPr>
        <w:tabs>
          <w:tab w:val="num" w:pos="5760"/>
        </w:tabs>
        <w:ind w:left="5760" w:hanging="360"/>
      </w:pPr>
      <w:rPr>
        <w:rFonts w:ascii="Wingdings" w:hAnsi="Wingdings" w:hint="default"/>
        <w:sz w:val="20"/>
      </w:rPr>
    </w:lvl>
    <w:lvl w:ilvl="8" w:tplc="0480F7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F3A15"/>
    <w:multiLevelType w:val="hybridMultilevel"/>
    <w:tmpl w:val="AD3A1A16"/>
    <w:lvl w:ilvl="0" w:tplc="611A9912">
      <w:start w:val="1"/>
      <w:numFmt w:val="decimal"/>
      <w:lvlText w:val="%1."/>
      <w:lvlJc w:val="left"/>
      <w:pPr>
        <w:ind w:left="720" w:hanging="360"/>
      </w:pPr>
      <w:rPr>
        <w:rFonts w:ascii="Arial" w:eastAsia="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F561C2"/>
    <w:multiLevelType w:val="hybridMultilevel"/>
    <w:tmpl w:val="173CC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407CAF"/>
    <w:multiLevelType w:val="hybridMultilevel"/>
    <w:tmpl w:val="3B689198"/>
    <w:lvl w:ilvl="0" w:tplc="82706664">
      <w:start w:val="1"/>
      <w:numFmt w:val="bullet"/>
      <w:lvlText w:val=""/>
      <w:lvlJc w:val="left"/>
      <w:pPr>
        <w:ind w:left="720" w:hanging="360"/>
      </w:pPr>
      <w:rPr>
        <w:rFonts w:ascii="Wingdings" w:hAnsi="Wingdings" w:hint="default"/>
        <w:color w:val="auto"/>
      </w:rPr>
    </w:lvl>
    <w:lvl w:ilvl="1" w:tplc="9ACC19CA">
      <w:start w:val="1"/>
      <w:numFmt w:val="bullet"/>
      <w:lvlText w:val="o"/>
      <w:lvlJc w:val="left"/>
      <w:pPr>
        <w:ind w:left="1440" w:hanging="360"/>
      </w:pPr>
      <w:rPr>
        <w:rFonts w:ascii="Courier New" w:hAnsi="Courier New" w:hint="default"/>
      </w:rPr>
    </w:lvl>
    <w:lvl w:ilvl="2" w:tplc="B9F459F8">
      <w:start w:val="1"/>
      <w:numFmt w:val="bullet"/>
      <w:lvlText w:val=""/>
      <w:lvlJc w:val="left"/>
      <w:pPr>
        <w:ind w:left="2160" w:hanging="360"/>
      </w:pPr>
      <w:rPr>
        <w:rFonts w:ascii="Wingdings" w:hAnsi="Wingdings" w:hint="default"/>
      </w:rPr>
    </w:lvl>
    <w:lvl w:ilvl="3" w:tplc="D4A457D6">
      <w:start w:val="1"/>
      <w:numFmt w:val="bullet"/>
      <w:lvlText w:val=""/>
      <w:lvlJc w:val="left"/>
      <w:pPr>
        <w:ind w:left="2880" w:hanging="360"/>
      </w:pPr>
      <w:rPr>
        <w:rFonts w:ascii="Symbol" w:hAnsi="Symbol" w:hint="default"/>
      </w:rPr>
    </w:lvl>
    <w:lvl w:ilvl="4" w:tplc="12B2B296">
      <w:start w:val="1"/>
      <w:numFmt w:val="bullet"/>
      <w:lvlText w:val="o"/>
      <w:lvlJc w:val="left"/>
      <w:pPr>
        <w:ind w:left="3600" w:hanging="360"/>
      </w:pPr>
      <w:rPr>
        <w:rFonts w:ascii="Courier New" w:hAnsi="Courier New" w:hint="default"/>
      </w:rPr>
    </w:lvl>
    <w:lvl w:ilvl="5" w:tplc="BFEA2F78">
      <w:start w:val="1"/>
      <w:numFmt w:val="bullet"/>
      <w:lvlText w:val=""/>
      <w:lvlJc w:val="left"/>
      <w:pPr>
        <w:ind w:left="4320" w:hanging="360"/>
      </w:pPr>
      <w:rPr>
        <w:rFonts w:ascii="Wingdings" w:hAnsi="Wingdings" w:hint="default"/>
      </w:rPr>
    </w:lvl>
    <w:lvl w:ilvl="6" w:tplc="8C029032">
      <w:start w:val="1"/>
      <w:numFmt w:val="bullet"/>
      <w:lvlText w:val=""/>
      <w:lvlJc w:val="left"/>
      <w:pPr>
        <w:ind w:left="5040" w:hanging="360"/>
      </w:pPr>
      <w:rPr>
        <w:rFonts w:ascii="Symbol" w:hAnsi="Symbol" w:hint="default"/>
      </w:rPr>
    </w:lvl>
    <w:lvl w:ilvl="7" w:tplc="59F47B50">
      <w:start w:val="1"/>
      <w:numFmt w:val="bullet"/>
      <w:lvlText w:val="o"/>
      <w:lvlJc w:val="left"/>
      <w:pPr>
        <w:ind w:left="5760" w:hanging="360"/>
      </w:pPr>
      <w:rPr>
        <w:rFonts w:ascii="Courier New" w:hAnsi="Courier New" w:hint="default"/>
      </w:rPr>
    </w:lvl>
    <w:lvl w:ilvl="8" w:tplc="2E98E68C">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1"/>
  </w:num>
  <w:num w:numId="5">
    <w:abstractNumId w:val="13"/>
  </w:num>
  <w:num w:numId="6">
    <w:abstractNumId w:val="3"/>
  </w:num>
  <w:num w:numId="7">
    <w:abstractNumId w:val="10"/>
  </w:num>
  <w:num w:numId="8">
    <w:abstractNumId w:val="7"/>
  </w:num>
  <w:num w:numId="9">
    <w:abstractNumId w:val="7"/>
  </w:num>
  <w:num w:numId="10">
    <w:abstractNumId w:val="7"/>
  </w:num>
  <w:num w:numId="11">
    <w:abstractNumId w:val="6"/>
  </w:num>
  <w:num w:numId="12">
    <w:abstractNumId w:val="7"/>
  </w:num>
  <w:num w:numId="13">
    <w:abstractNumId w:val="12"/>
  </w:num>
  <w:num w:numId="14">
    <w:abstractNumId w:val="9"/>
  </w:num>
  <w:num w:numId="15">
    <w:abstractNumId w:val="4"/>
  </w:num>
  <w:num w:numId="16">
    <w:abstractNumId w:val="1"/>
  </w:num>
  <w:num w:numId="17">
    <w:abstractNumId w:val="8"/>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A2"/>
    <w:rsid w:val="00001320"/>
    <w:rsid w:val="00005374"/>
    <w:rsid w:val="0001320B"/>
    <w:rsid w:val="000166BD"/>
    <w:rsid w:val="0002219E"/>
    <w:rsid w:val="0002305B"/>
    <w:rsid w:val="00025C0B"/>
    <w:rsid w:val="00025E4E"/>
    <w:rsid w:val="00030607"/>
    <w:rsid w:val="0003214F"/>
    <w:rsid w:val="00032BE8"/>
    <w:rsid w:val="00035775"/>
    <w:rsid w:val="00036204"/>
    <w:rsid w:val="000372AB"/>
    <w:rsid w:val="00041996"/>
    <w:rsid w:val="000437C9"/>
    <w:rsid w:val="00045D4B"/>
    <w:rsid w:val="000478DD"/>
    <w:rsid w:val="00050EDD"/>
    <w:rsid w:val="00051275"/>
    <w:rsid w:val="00054146"/>
    <w:rsid w:val="00066557"/>
    <w:rsid w:val="00081C25"/>
    <w:rsid w:val="00086DCD"/>
    <w:rsid w:val="000916EA"/>
    <w:rsid w:val="00092218"/>
    <w:rsid w:val="000935D5"/>
    <w:rsid w:val="0009745F"/>
    <w:rsid w:val="000A6A8B"/>
    <w:rsid w:val="000B25E6"/>
    <w:rsid w:val="000B3001"/>
    <w:rsid w:val="000C24B0"/>
    <w:rsid w:val="000C2831"/>
    <w:rsid w:val="000C58B1"/>
    <w:rsid w:val="000C5B57"/>
    <w:rsid w:val="000D27AE"/>
    <w:rsid w:val="000D33D5"/>
    <w:rsid w:val="000E68A6"/>
    <w:rsid w:val="000E6DF4"/>
    <w:rsid w:val="000F1720"/>
    <w:rsid w:val="000F4DB1"/>
    <w:rsid w:val="000F6247"/>
    <w:rsid w:val="000F6975"/>
    <w:rsid w:val="001072F6"/>
    <w:rsid w:val="001145B5"/>
    <w:rsid w:val="0011637A"/>
    <w:rsid w:val="0011675F"/>
    <w:rsid w:val="001173A5"/>
    <w:rsid w:val="00120FC9"/>
    <w:rsid w:val="00122F79"/>
    <w:rsid w:val="00127D02"/>
    <w:rsid w:val="00130EFE"/>
    <w:rsid w:val="00131C79"/>
    <w:rsid w:val="0013359A"/>
    <w:rsid w:val="001341FF"/>
    <w:rsid w:val="001359F7"/>
    <w:rsid w:val="00135F02"/>
    <w:rsid w:val="00137615"/>
    <w:rsid w:val="00140279"/>
    <w:rsid w:val="00157433"/>
    <w:rsid w:val="001757AA"/>
    <w:rsid w:val="001801A4"/>
    <w:rsid w:val="00180B75"/>
    <w:rsid w:val="00181F1D"/>
    <w:rsid w:val="00184D48"/>
    <w:rsid w:val="00185A3D"/>
    <w:rsid w:val="001913A2"/>
    <w:rsid w:val="00195217"/>
    <w:rsid w:val="0019676D"/>
    <w:rsid w:val="001A2ACF"/>
    <w:rsid w:val="001A474A"/>
    <w:rsid w:val="001A680D"/>
    <w:rsid w:val="001A7FAB"/>
    <w:rsid w:val="001B1BE2"/>
    <w:rsid w:val="001C1F37"/>
    <w:rsid w:val="001C561D"/>
    <w:rsid w:val="001C5EA6"/>
    <w:rsid w:val="001C6E11"/>
    <w:rsid w:val="001D728F"/>
    <w:rsid w:val="001E00BA"/>
    <w:rsid w:val="001E1510"/>
    <w:rsid w:val="001E4837"/>
    <w:rsid w:val="001F06DA"/>
    <w:rsid w:val="00206B7A"/>
    <w:rsid w:val="002125EE"/>
    <w:rsid w:val="00216017"/>
    <w:rsid w:val="00221644"/>
    <w:rsid w:val="00222773"/>
    <w:rsid w:val="00222E02"/>
    <w:rsid w:val="00224234"/>
    <w:rsid w:val="0022510C"/>
    <w:rsid w:val="002321C7"/>
    <w:rsid w:val="002340E0"/>
    <w:rsid w:val="0024139C"/>
    <w:rsid w:val="0024621A"/>
    <w:rsid w:val="002471EC"/>
    <w:rsid w:val="00250C9E"/>
    <w:rsid w:val="00255304"/>
    <w:rsid w:val="00257D9F"/>
    <w:rsid w:val="0026200F"/>
    <w:rsid w:val="00262252"/>
    <w:rsid w:val="0026648B"/>
    <w:rsid w:val="00266E9E"/>
    <w:rsid w:val="00275ECC"/>
    <w:rsid w:val="002763EE"/>
    <w:rsid w:val="00277CB4"/>
    <w:rsid w:val="00281245"/>
    <w:rsid w:val="00295101"/>
    <w:rsid w:val="00296979"/>
    <w:rsid w:val="002A494A"/>
    <w:rsid w:val="002B590E"/>
    <w:rsid w:val="002C1599"/>
    <w:rsid w:val="002C4974"/>
    <w:rsid w:val="002C677A"/>
    <w:rsid w:val="002D6B06"/>
    <w:rsid w:val="002E1A55"/>
    <w:rsid w:val="002E37BE"/>
    <w:rsid w:val="002E5424"/>
    <w:rsid w:val="002F1662"/>
    <w:rsid w:val="002F2215"/>
    <w:rsid w:val="002F7843"/>
    <w:rsid w:val="002F78F3"/>
    <w:rsid w:val="003019E9"/>
    <w:rsid w:val="00304525"/>
    <w:rsid w:val="00304B2B"/>
    <w:rsid w:val="00307BB7"/>
    <w:rsid w:val="00320DB6"/>
    <w:rsid w:val="00322211"/>
    <w:rsid w:val="00325966"/>
    <w:rsid w:val="00331248"/>
    <w:rsid w:val="00344C71"/>
    <w:rsid w:val="00346645"/>
    <w:rsid w:val="0035526C"/>
    <w:rsid w:val="00366A42"/>
    <w:rsid w:val="00370020"/>
    <w:rsid w:val="003715D3"/>
    <w:rsid w:val="0037491C"/>
    <w:rsid w:val="00374D6C"/>
    <w:rsid w:val="003752FC"/>
    <w:rsid w:val="00382FB8"/>
    <w:rsid w:val="0039089F"/>
    <w:rsid w:val="00391434"/>
    <w:rsid w:val="00391757"/>
    <w:rsid w:val="0039387A"/>
    <w:rsid w:val="00396602"/>
    <w:rsid w:val="003A3BCA"/>
    <w:rsid w:val="003A52AD"/>
    <w:rsid w:val="003A5E08"/>
    <w:rsid w:val="003A74D3"/>
    <w:rsid w:val="003A78BB"/>
    <w:rsid w:val="003B631F"/>
    <w:rsid w:val="003C28EC"/>
    <w:rsid w:val="003C32C0"/>
    <w:rsid w:val="003C3B2E"/>
    <w:rsid w:val="003C418E"/>
    <w:rsid w:val="003C5CC4"/>
    <w:rsid w:val="003C63AE"/>
    <w:rsid w:val="003C6A41"/>
    <w:rsid w:val="003C76EC"/>
    <w:rsid w:val="003D1A5B"/>
    <w:rsid w:val="003E0A9C"/>
    <w:rsid w:val="003F490D"/>
    <w:rsid w:val="004022A1"/>
    <w:rsid w:val="00403E0F"/>
    <w:rsid w:val="004044F2"/>
    <w:rsid w:val="0041168F"/>
    <w:rsid w:val="0041686E"/>
    <w:rsid w:val="004168F6"/>
    <w:rsid w:val="00420C05"/>
    <w:rsid w:val="00420CF0"/>
    <w:rsid w:val="00420E2B"/>
    <w:rsid w:val="0042414E"/>
    <w:rsid w:val="0042759A"/>
    <w:rsid w:val="004324E4"/>
    <w:rsid w:val="00444AC8"/>
    <w:rsid w:val="004506E2"/>
    <w:rsid w:val="00456F40"/>
    <w:rsid w:val="00470BA8"/>
    <w:rsid w:val="004776FF"/>
    <w:rsid w:val="004779AB"/>
    <w:rsid w:val="00481AF8"/>
    <w:rsid w:val="0049124B"/>
    <w:rsid w:val="00492553"/>
    <w:rsid w:val="00492933"/>
    <w:rsid w:val="004954C8"/>
    <w:rsid w:val="00496BC3"/>
    <w:rsid w:val="004A3A57"/>
    <w:rsid w:val="004C7AA5"/>
    <w:rsid w:val="004D4DAF"/>
    <w:rsid w:val="004D6B3E"/>
    <w:rsid w:val="004D7AD6"/>
    <w:rsid w:val="004E1173"/>
    <w:rsid w:val="004E2851"/>
    <w:rsid w:val="004F5F1F"/>
    <w:rsid w:val="0050208B"/>
    <w:rsid w:val="00502CB8"/>
    <w:rsid w:val="00502D23"/>
    <w:rsid w:val="005114D3"/>
    <w:rsid w:val="00512A43"/>
    <w:rsid w:val="0052190F"/>
    <w:rsid w:val="00525B1E"/>
    <w:rsid w:val="0053500D"/>
    <w:rsid w:val="00535171"/>
    <w:rsid w:val="00535802"/>
    <w:rsid w:val="00535AE5"/>
    <w:rsid w:val="005370F0"/>
    <w:rsid w:val="00540A04"/>
    <w:rsid w:val="0054438A"/>
    <w:rsid w:val="00550281"/>
    <w:rsid w:val="0055141B"/>
    <w:rsid w:val="00552FD1"/>
    <w:rsid w:val="0056135C"/>
    <w:rsid w:val="00564C28"/>
    <w:rsid w:val="00565E00"/>
    <w:rsid w:val="00567A65"/>
    <w:rsid w:val="00567DA1"/>
    <w:rsid w:val="00571AD3"/>
    <w:rsid w:val="00573341"/>
    <w:rsid w:val="00575956"/>
    <w:rsid w:val="00582842"/>
    <w:rsid w:val="005859D6"/>
    <w:rsid w:val="00594546"/>
    <w:rsid w:val="005A246B"/>
    <w:rsid w:val="005A4C0B"/>
    <w:rsid w:val="005A6596"/>
    <w:rsid w:val="005B2B7D"/>
    <w:rsid w:val="005B733C"/>
    <w:rsid w:val="005C0CAF"/>
    <w:rsid w:val="005C6241"/>
    <w:rsid w:val="005C76A5"/>
    <w:rsid w:val="005C7F78"/>
    <w:rsid w:val="005D2C5C"/>
    <w:rsid w:val="005D2F8A"/>
    <w:rsid w:val="005D368C"/>
    <w:rsid w:val="005D4FD3"/>
    <w:rsid w:val="005E6D7B"/>
    <w:rsid w:val="005E777D"/>
    <w:rsid w:val="005F290F"/>
    <w:rsid w:val="005F2A7B"/>
    <w:rsid w:val="005F7653"/>
    <w:rsid w:val="0060255D"/>
    <w:rsid w:val="00610E7A"/>
    <w:rsid w:val="00614506"/>
    <w:rsid w:val="006162AF"/>
    <w:rsid w:val="006246A8"/>
    <w:rsid w:val="00630A4E"/>
    <w:rsid w:val="006355A1"/>
    <w:rsid w:val="006362A4"/>
    <w:rsid w:val="00637301"/>
    <w:rsid w:val="006417A8"/>
    <w:rsid w:val="00642DF7"/>
    <w:rsid w:val="00644DAC"/>
    <w:rsid w:val="006472FC"/>
    <w:rsid w:val="00654689"/>
    <w:rsid w:val="0065545A"/>
    <w:rsid w:val="00656990"/>
    <w:rsid w:val="00663DE7"/>
    <w:rsid w:val="006663D1"/>
    <w:rsid w:val="006671DD"/>
    <w:rsid w:val="00671B68"/>
    <w:rsid w:val="006811AC"/>
    <w:rsid w:val="00692DF4"/>
    <w:rsid w:val="00694CCE"/>
    <w:rsid w:val="006A537C"/>
    <w:rsid w:val="006A6A56"/>
    <w:rsid w:val="006C11E3"/>
    <w:rsid w:val="006D2C89"/>
    <w:rsid w:val="006D391B"/>
    <w:rsid w:val="006D3C54"/>
    <w:rsid w:val="006E4CAA"/>
    <w:rsid w:val="006F3651"/>
    <w:rsid w:val="006F7EC3"/>
    <w:rsid w:val="00700217"/>
    <w:rsid w:val="007010B1"/>
    <w:rsid w:val="007021B8"/>
    <w:rsid w:val="00715F1F"/>
    <w:rsid w:val="00717D85"/>
    <w:rsid w:val="00740AA2"/>
    <w:rsid w:val="0074129E"/>
    <w:rsid w:val="00741324"/>
    <w:rsid w:val="00741E6D"/>
    <w:rsid w:val="00741FFB"/>
    <w:rsid w:val="00743B8E"/>
    <w:rsid w:val="00750F45"/>
    <w:rsid w:val="007517CF"/>
    <w:rsid w:val="00753666"/>
    <w:rsid w:val="007625C4"/>
    <w:rsid w:val="00762B35"/>
    <w:rsid w:val="00766639"/>
    <w:rsid w:val="0077029A"/>
    <w:rsid w:val="00781CD6"/>
    <w:rsid w:val="007837DD"/>
    <w:rsid w:val="00783891"/>
    <w:rsid w:val="00792702"/>
    <w:rsid w:val="0079460C"/>
    <w:rsid w:val="0079468C"/>
    <w:rsid w:val="007A425B"/>
    <w:rsid w:val="007A791A"/>
    <w:rsid w:val="007B1D91"/>
    <w:rsid w:val="007B392C"/>
    <w:rsid w:val="007B7480"/>
    <w:rsid w:val="007C1B23"/>
    <w:rsid w:val="007C1D67"/>
    <w:rsid w:val="007C1DF4"/>
    <w:rsid w:val="007C7138"/>
    <w:rsid w:val="007D137D"/>
    <w:rsid w:val="007D1DA9"/>
    <w:rsid w:val="007D5261"/>
    <w:rsid w:val="007D7BE7"/>
    <w:rsid w:val="007E3813"/>
    <w:rsid w:val="007E5714"/>
    <w:rsid w:val="007E5EBC"/>
    <w:rsid w:val="007F7131"/>
    <w:rsid w:val="007F7D05"/>
    <w:rsid w:val="00814EEB"/>
    <w:rsid w:val="008243F1"/>
    <w:rsid w:val="00827046"/>
    <w:rsid w:val="008304D5"/>
    <w:rsid w:val="008367D9"/>
    <w:rsid w:val="008400AA"/>
    <w:rsid w:val="00846EB6"/>
    <w:rsid w:val="00846ECB"/>
    <w:rsid w:val="00847CF1"/>
    <w:rsid w:val="008507C5"/>
    <w:rsid w:val="008609DC"/>
    <w:rsid w:val="00862DB1"/>
    <w:rsid w:val="00864A42"/>
    <w:rsid w:val="008658F9"/>
    <w:rsid w:val="00865BD9"/>
    <w:rsid w:val="0086664D"/>
    <w:rsid w:val="00866D6F"/>
    <w:rsid w:val="00867393"/>
    <w:rsid w:val="008713F9"/>
    <w:rsid w:val="00871943"/>
    <w:rsid w:val="00872A79"/>
    <w:rsid w:val="008750F7"/>
    <w:rsid w:val="008877C6"/>
    <w:rsid w:val="00892ED8"/>
    <w:rsid w:val="00896370"/>
    <w:rsid w:val="008A0F59"/>
    <w:rsid w:val="008A2986"/>
    <w:rsid w:val="008A560C"/>
    <w:rsid w:val="008B236F"/>
    <w:rsid w:val="008B6F39"/>
    <w:rsid w:val="008B7B79"/>
    <w:rsid w:val="008B7E70"/>
    <w:rsid w:val="008C0A62"/>
    <w:rsid w:val="008E0105"/>
    <w:rsid w:val="008E130C"/>
    <w:rsid w:val="008E1999"/>
    <w:rsid w:val="008E427E"/>
    <w:rsid w:val="008E5D78"/>
    <w:rsid w:val="008F7E0C"/>
    <w:rsid w:val="00900FE1"/>
    <w:rsid w:val="00902AD7"/>
    <w:rsid w:val="00902B65"/>
    <w:rsid w:val="009035E8"/>
    <w:rsid w:val="00907D37"/>
    <w:rsid w:val="00921ED1"/>
    <w:rsid w:val="00925F68"/>
    <w:rsid w:val="00927364"/>
    <w:rsid w:val="009309A2"/>
    <w:rsid w:val="00933191"/>
    <w:rsid w:val="0093682B"/>
    <w:rsid w:val="00942711"/>
    <w:rsid w:val="00943425"/>
    <w:rsid w:val="00943F9E"/>
    <w:rsid w:val="0095193E"/>
    <w:rsid w:val="00963A6D"/>
    <w:rsid w:val="00967342"/>
    <w:rsid w:val="00970482"/>
    <w:rsid w:val="00970DA2"/>
    <w:rsid w:val="00970F86"/>
    <w:rsid w:val="00973BC9"/>
    <w:rsid w:val="009745CD"/>
    <w:rsid w:val="00977812"/>
    <w:rsid w:val="00977D97"/>
    <w:rsid w:val="00980880"/>
    <w:rsid w:val="009856E8"/>
    <w:rsid w:val="00986E65"/>
    <w:rsid w:val="00986FD2"/>
    <w:rsid w:val="00992510"/>
    <w:rsid w:val="00994FF3"/>
    <w:rsid w:val="009A6874"/>
    <w:rsid w:val="009B030A"/>
    <w:rsid w:val="009B3014"/>
    <w:rsid w:val="009B62EC"/>
    <w:rsid w:val="009C25D7"/>
    <w:rsid w:val="009C521C"/>
    <w:rsid w:val="009C5B58"/>
    <w:rsid w:val="009C63C5"/>
    <w:rsid w:val="009D6366"/>
    <w:rsid w:val="009D66CC"/>
    <w:rsid w:val="009D7A5E"/>
    <w:rsid w:val="009E6D32"/>
    <w:rsid w:val="009E6E21"/>
    <w:rsid w:val="009F2727"/>
    <w:rsid w:val="009F619C"/>
    <w:rsid w:val="00A0622E"/>
    <w:rsid w:val="00A115B0"/>
    <w:rsid w:val="00A11799"/>
    <w:rsid w:val="00A14CC5"/>
    <w:rsid w:val="00A15EED"/>
    <w:rsid w:val="00A1603F"/>
    <w:rsid w:val="00A1786E"/>
    <w:rsid w:val="00A22560"/>
    <w:rsid w:val="00A25B19"/>
    <w:rsid w:val="00A27A0A"/>
    <w:rsid w:val="00A3592D"/>
    <w:rsid w:val="00A35BF6"/>
    <w:rsid w:val="00A35E78"/>
    <w:rsid w:val="00A374BF"/>
    <w:rsid w:val="00A40943"/>
    <w:rsid w:val="00A46317"/>
    <w:rsid w:val="00A501DD"/>
    <w:rsid w:val="00A573EF"/>
    <w:rsid w:val="00A6254E"/>
    <w:rsid w:val="00A6367E"/>
    <w:rsid w:val="00A66859"/>
    <w:rsid w:val="00A672BB"/>
    <w:rsid w:val="00A7715C"/>
    <w:rsid w:val="00A90A5F"/>
    <w:rsid w:val="00A92130"/>
    <w:rsid w:val="00A94DFC"/>
    <w:rsid w:val="00AA0B60"/>
    <w:rsid w:val="00AA168F"/>
    <w:rsid w:val="00AA24EC"/>
    <w:rsid w:val="00AA6644"/>
    <w:rsid w:val="00AA69AB"/>
    <w:rsid w:val="00AA7A3C"/>
    <w:rsid w:val="00AA7A95"/>
    <w:rsid w:val="00AB57F1"/>
    <w:rsid w:val="00AB7224"/>
    <w:rsid w:val="00AC2EA6"/>
    <w:rsid w:val="00AD150B"/>
    <w:rsid w:val="00AF1AE7"/>
    <w:rsid w:val="00AF46FA"/>
    <w:rsid w:val="00B00037"/>
    <w:rsid w:val="00B01F10"/>
    <w:rsid w:val="00B1035C"/>
    <w:rsid w:val="00B17058"/>
    <w:rsid w:val="00B211A8"/>
    <w:rsid w:val="00B246BE"/>
    <w:rsid w:val="00B24F28"/>
    <w:rsid w:val="00B3300D"/>
    <w:rsid w:val="00B354D4"/>
    <w:rsid w:val="00B360C3"/>
    <w:rsid w:val="00B405AF"/>
    <w:rsid w:val="00B439FB"/>
    <w:rsid w:val="00B46DE4"/>
    <w:rsid w:val="00B62EE0"/>
    <w:rsid w:val="00B63AF8"/>
    <w:rsid w:val="00B63D99"/>
    <w:rsid w:val="00B655E2"/>
    <w:rsid w:val="00B66DD5"/>
    <w:rsid w:val="00B70D50"/>
    <w:rsid w:val="00B720F0"/>
    <w:rsid w:val="00B73DD0"/>
    <w:rsid w:val="00B77DF6"/>
    <w:rsid w:val="00B845B5"/>
    <w:rsid w:val="00B84884"/>
    <w:rsid w:val="00B974DF"/>
    <w:rsid w:val="00BA1079"/>
    <w:rsid w:val="00BA4346"/>
    <w:rsid w:val="00BA4BC4"/>
    <w:rsid w:val="00BB3024"/>
    <w:rsid w:val="00BB3B91"/>
    <w:rsid w:val="00BB5846"/>
    <w:rsid w:val="00BB6B2D"/>
    <w:rsid w:val="00BC3128"/>
    <w:rsid w:val="00BC3C9F"/>
    <w:rsid w:val="00BC674A"/>
    <w:rsid w:val="00BC7347"/>
    <w:rsid w:val="00BD4543"/>
    <w:rsid w:val="00BD6C25"/>
    <w:rsid w:val="00BE42F7"/>
    <w:rsid w:val="00BE58D9"/>
    <w:rsid w:val="00BF1B98"/>
    <w:rsid w:val="00BF32E5"/>
    <w:rsid w:val="00BF3362"/>
    <w:rsid w:val="00C019DB"/>
    <w:rsid w:val="00C04371"/>
    <w:rsid w:val="00C06BBA"/>
    <w:rsid w:val="00C07A60"/>
    <w:rsid w:val="00C11EC9"/>
    <w:rsid w:val="00C12066"/>
    <w:rsid w:val="00C13EED"/>
    <w:rsid w:val="00C14B2D"/>
    <w:rsid w:val="00C17BAD"/>
    <w:rsid w:val="00C231C1"/>
    <w:rsid w:val="00C2386B"/>
    <w:rsid w:val="00C2423B"/>
    <w:rsid w:val="00C25677"/>
    <w:rsid w:val="00C276C8"/>
    <w:rsid w:val="00C27E31"/>
    <w:rsid w:val="00C36298"/>
    <w:rsid w:val="00C41AEE"/>
    <w:rsid w:val="00C41E92"/>
    <w:rsid w:val="00C42E53"/>
    <w:rsid w:val="00C54BAA"/>
    <w:rsid w:val="00C57533"/>
    <w:rsid w:val="00C60D84"/>
    <w:rsid w:val="00C61B5D"/>
    <w:rsid w:val="00C6541E"/>
    <w:rsid w:val="00C75BAD"/>
    <w:rsid w:val="00C9076A"/>
    <w:rsid w:val="00C93B62"/>
    <w:rsid w:val="00C95D3C"/>
    <w:rsid w:val="00C96A0D"/>
    <w:rsid w:val="00CA223B"/>
    <w:rsid w:val="00CA5D6F"/>
    <w:rsid w:val="00CB14FC"/>
    <w:rsid w:val="00CB1790"/>
    <w:rsid w:val="00CB2051"/>
    <w:rsid w:val="00CB2375"/>
    <w:rsid w:val="00CB49E0"/>
    <w:rsid w:val="00CB4CDD"/>
    <w:rsid w:val="00CC11F4"/>
    <w:rsid w:val="00CC4FB3"/>
    <w:rsid w:val="00CD1827"/>
    <w:rsid w:val="00CD4EA9"/>
    <w:rsid w:val="00CD5961"/>
    <w:rsid w:val="00CD7843"/>
    <w:rsid w:val="00CD7BB0"/>
    <w:rsid w:val="00CE6FEE"/>
    <w:rsid w:val="00CE7691"/>
    <w:rsid w:val="00CF0942"/>
    <w:rsid w:val="00CF0ADA"/>
    <w:rsid w:val="00CF3240"/>
    <w:rsid w:val="00CF3623"/>
    <w:rsid w:val="00CF3A77"/>
    <w:rsid w:val="00D0018B"/>
    <w:rsid w:val="00D03D19"/>
    <w:rsid w:val="00D04815"/>
    <w:rsid w:val="00D04B60"/>
    <w:rsid w:val="00D0779D"/>
    <w:rsid w:val="00D14E9D"/>
    <w:rsid w:val="00D200CE"/>
    <w:rsid w:val="00D209BD"/>
    <w:rsid w:val="00D20FE0"/>
    <w:rsid w:val="00D23E1C"/>
    <w:rsid w:val="00D23FAD"/>
    <w:rsid w:val="00D304FA"/>
    <w:rsid w:val="00D31264"/>
    <w:rsid w:val="00D341A3"/>
    <w:rsid w:val="00D34DDB"/>
    <w:rsid w:val="00D34DEB"/>
    <w:rsid w:val="00D409F0"/>
    <w:rsid w:val="00D42E50"/>
    <w:rsid w:val="00D44A32"/>
    <w:rsid w:val="00D45CA2"/>
    <w:rsid w:val="00D51994"/>
    <w:rsid w:val="00D53A7D"/>
    <w:rsid w:val="00D53D3C"/>
    <w:rsid w:val="00D53FDF"/>
    <w:rsid w:val="00D54965"/>
    <w:rsid w:val="00D706DE"/>
    <w:rsid w:val="00D75925"/>
    <w:rsid w:val="00D76ACB"/>
    <w:rsid w:val="00D774DB"/>
    <w:rsid w:val="00D83777"/>
    <w:rsid w:val="00D92A20"/>
    <w:rsid w:val="00D92F0D"/>
    <w:rsid w:val="00D95D85"/>
    <w:rsid w:val="00DA7E1F"/>
    <w:rsid w:val="00DB0B98"/>
    <w:rsid w:val="00DB0DAA"/>
    <w:rsid w:val="00DB2E44"/>
    <w:rsid w:val="00DB2E52"/>
    <w:rsid w:val="00DC20BA"/>
    <w:rsid w:val="00DD0656"/>
    <w:rsid w:val="00DD3B59"/>
    <w:rsid w:val="00DE3688"/>
    <w:rsid w:val="00DE6275"/>
    <w:rsid w:val="00DF060C"/>
    <w:rsid w:val="00DF726F"/>
    <w:rsid w:val="00E0087A"/>
    <w:rsid w:val="00E010C2"/>
    <w:rsid w:val="00E05072"/>
    <w:rsid w:val="00E06CB7"/>
    <w:rsid w:val="00E07F75"/>
    <w:rsid w:val="00E10185"/>
    <w:rsid w:val="00E10AA7"/>
    <w:rsid w:val="00E126D5"/>
    <w:rsid w:val="00E129CA"/>
    <w:rsid w:val="00E17462"/>
    <w:rsid w:val="00E25F68"/>
    <w:rsid w:val="00E313AB"/>
    <w:rsid w:val="00E33828"/>
    <w:rsid w:val="00E42CA7"/>
    <w:rsid w:val="00E46C36"/>
    <w:rsid w:val="00E47C3E"/>
    <w:rsid w:val="00E52925"/>
    <w:rsid w:val="00E572B0"/>
    <w:rsid w:val="00E629C6"/>
    <w:rsid w:val="00E642AA"/>
    <w:rsid w:val="00E65737"/>
    <w:rsid w:val="00E809A7"/>
    <w:rsid w:val="00E85839"/>
    <w:rsid w:val="00E86523"/>
    <w:rsid w:val="00E90507"/>
    <w:rsid w:val="00E90789"/>
    <w:rsid w:val="00E924F0"/>
    <w:rsid w:val="00E94E32"/>
    <w:rsid w:val="00EA0970"/>
    <w:rsid w:val="00EA6096"/>
    <w:rsid w:val="00EA678B"/>
    <w:rsid w:val="00EB1162"/>
    <w:rsid w:val="00EB1E80"/>
    <w:rsid w:val="00EB3C32"/>
    <w:rsid w:val="00EB57A7"/>
    <w:rsid w:val="00EB5967"/>
    <w:rsid w:val="00EB667E"/>
    <w:rsid w:val="00EB6CEA"/>
    <w:rsid w:val="00EC1383"/>
    <w:rsid w:val="00EC5BB3"/>
    <w:rsid w:val="00EC6EEB"/>
    <w:rsid w:val="00ED2644"/>
    <w:rsid w:val="00EE2FC7"/>
    <w:rsid w:val="00EE4101"/>
    <w:rsid w:val="00EE5906"/>
    <w:rsid w:val="00EF2405"/>
    <w:rsid w:val="00EF74A6"/>
    <w:rsid w:val="00F015F6"/>
    <w:rsid w:val="00F03EAA"/>
    <w:rsid w:val="00F07E81"/>
    <w:rsid w:val="00F13B4A"/>
    <w:rsid w:val="00F15C27"/>
    <w:rsid w:val="00F17DDD"/>
    <w:rsid w:val="00F272F4"/>
    <w:rsid w:val="00F320E1"/>
    <w:rsid w:val="00F35A59"/>
    <w:rsid w:val="00F36D91"/>
    <w:rsid w:val="00F43DCC"/>
    <w:rsid w:val="00F45A86"/>
    <w:rsid w:val="00F50664"/>
    <w:rsid w:val="00F526C2"/>
    <w:rsid w:val="00F52C32"/>
    <w:rsid w:val="00F53F2C"/>
    <w:rsid w:val="00F67327"/>
    <w:rsid w:val="00F700CB"/>
    <w:rsid w:val="00F72B11"/>
    <w:rsid w:val="00F76D82"/>
    <w:rsid w:val="00F803A7"/>
    <w:rsid w:val="00F904A8"/>
    <w:rsid w:val="00F92436"/>
    <w:rsid w:val="00FA1358"/>
    <w:rsid w:val="00FA4B00"/>
    <w:rsid w:val="00FA58CB"/>
    <w:rsid w:val="00FA686B"/>
    <w:rsid w:val="00FA6AB6"/>
    <w:rsid w:val="00FC0883"/>
    <w:rsid w:val="00FC2A26"/>
    <w:rsid w:val="00FC6DCC"/>
    <w:rsid w:val="00FC7B9A"/>
    <w:rsid w:val="00FD0297"/>
    <w:rsid w:val="00FD139A"/>
    <w:rsid w:val="00FD191B"/>
    <w:rsid w:val="00FD1F9E"/>
    <w:rsid w:val="00FD1FF6"/>
    <w:rsid w:val="00FD5FC9"/>
    <w:rsid w:val="00FD60FC"/>
    <w:rsid w:val="00FE39C9"/>
    <w:rsid w:val="00FF24C4"/>
    <w:rsid w:val="00FF4268"/>
    <w:rsid w:val="00FF50AD"/>
    <w:rsid w:val="00FF54B7"/>
    <w:rsid w:val="00FF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DE4FC9"/>
  <w15:docId w15:val="{A7D641A1-59BB-4A5B-8F50-E841709A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7BE7"/>
    <w:rPr>
      <w:sz w:val="24"/>
      <w:szCs w:val="24"/>
    </w:rPr>
  </w:style>
  <w:style w:type="paragraph" w:styleId="Kop1">
    <w:name w:val="heading 1"/>
    <w:basedOn w:val="Standaard"/>
    <w:next w:val="Standaard"/>
    <w:qFormat/>
    <w:rsid w:val="007D7BE7"/>
    <w:pPr>
      <w:keepNext/>
      <w:numPr>
        <w:numId w:val="1"/>
      </w:numPr>
      <w:tabs>
        <w:tab w:val="left" w:pos="539"/>
      </w:tabs>
      <w:outlineLvl w:val="0"/>
    </w:pPr>
    <w:rPr>
      <w:rFonts w:ascii="Arial" w:hAnsi="Arial"/>
      <w:b/>
      <w:bCs/>
      <w:sz w:val="28"/>
    </w:rPr>
  </w:style>
  <w:style w:type="paragraph" w:styleId="Kop2">
    <w:name w:val="heading 2"/>
    <w:basedOn w:val="Standaard"/>
    <w:next w:val="Standaard"/>
    <w:qFormat/>
    <w:rsid w:val="007D7BE7"/>
    <w:pPr>
      <w:keepNext/>
      <w:numPr>
        <w:ilvl w:val="1"/>
        <w:numId w:val="1"/>
      </w:numPr>
      <w:tabs>
        <w:tab w:val="left" w:pos="539"/>
      </w:tabs>
      <w:outlineLvl w:val="1"/>
    </w:pPr>
    <w:rPr>
      <w:rFonts w:ascii="Arial" w:hAnsi="Arial"/>
      <w:b/>
      <w:iCs/>
      <w:szCs w:val="22"/>
    </w:rPr>
  </w:style>
  <w:style w:type="paragraph" w:styleId="Kop3">
    <w:name w:val="heading 3"/>
    <w:basedOn w:val="Standaard"/>
    <w:next w:val="Standaard"/>
    <w:qFormat/>
    <w:rsid w:val="007D7BE7"/>
    <w:pPr>
      <w:keepNext/>
      <w:numPr>
        <w:ilvl w:val="2"/>
        <w:numId w:val="1"/>
      </w:numPr>
      <w:tabs>
        <w:tab w:val="left" w:pos="539"/>
      </w:tabs>
      <w:spacing w:before="240" w:after="60"/>
      <w:outlineLvl w:val="2"/>
    </w:pPr>
    <w:rPr>
      <w:rFonts w:ascii="Arial" w:hAnsi="Arial" w:cs="Arial"/>
      <w:b/>
      <w:bCs/>
      <w:sz w:val="20"/>
      <w:szCs w:val="26"/>
    </w:rPr>
  </w:style>
  <w:style w:type="paragraph" w:styleId="Kop4">
    <w:name w:val="heading 4"/>
    <w:basedOn w:val="Standaard"/>
    <w:next w:val="Standaard"/>
    <w:qFormat/>
    <w:rsid w:val="007D7BE7"/>
    <w:pPr>
      <w:keepNext/>
      <w:numPr>
        <w:ilvl w:val="3"/>
        <w:numId w:val="1"/>
      </w:numPr>
      <w:spacing w:before="240" w:after="60"/>
      <w:outlineLvl w:val="3"/>
    </w:pPr>
    <w:rPr>
      <w:b/>
      <w:bCs/>
      <w:sz w:val="28"/>
      <w:szCs w:val="28"/>
    </w:rPr>
  </w:style>
  <w:style w:type="paragraph" w:styleId="Kop5">
    <w:name w:val="heading 5"/>
    <w:basedOn w:val="Standaard"/>
    <w:next w:val="Standaard"/>
    <w:qFormat/>
    <w:rsid w:val="007D7BE7"/>
    <w:pPr>
      <w:spacing w:before="240" w:after="60"/>
      <w:outlineLvl w:val="4"/>
    </w:pPr>
    <w:rPr>
      <w:b/>
      <w:bCs/>
      <w:i/>
      <w:iCs/>
      <w:sz w:val="26"/>
      <w:szCs w:val="26"/>
    </w:rPr>
  </w:style>
  <w:style w:type="paragraph" w:styleId="Kop6">
    <w:name w:val="heading 6"/>
    <w:basedOn w:val="Standaard"/>
    <w:next w:val="Standaard"/>
    <w:link w:val="Kop6Char"/>
    <w:qFormat/>
    <w:rsid w:val="003752FC"/>
    <w:pPr>
      <w:spacing w:before="240" w:after="60"/>
      <w:outlineLvl w:val="5"/>
    </w:pPr>
    <w:rPr>
      <w:rFonts w:ascii="Arial" w:hAnsi="Arial"/>
      <w:b/>
      <w:bCs/>
      <w:sz w:val="20"/>
      <w:szCs w:val="22"/>
    </w:rPr>
  </w:style>
  <w:style w:type="paragraph" w:styleId="Kop7">
    <w:name w:val="heading 7"/>
    <w:basedOn w:val="Standaard"/>
    <w:next w:val="Standaard"/>
    <w:qFormat/>
    <w:rsid w:val="007D7BE7"/>
    <w:pPr>
      <w:spacing w:before="240" w:after="60"/>
      <w:outlineLvl w:val="6"/>
    </w:pPr>
  </w:style>
  <w:style w:type="paragraph" w:styleId="Kop8">
    <w:name w:val="heading 8"/>
    <w:basedOn w:val="Standaard"/>
    <w:next w:val="Standaard"/>
    <w:qFormat/>
    <w:rsid w:val="007D7BE7"/>
    <w:pPr>
      <w:spacing w:before="240" w:after="60"/>
      <w:outlineLvl w:val="7"/>
    </w:pPr>
    <w:rPr>
      <w:i/>
      <w:iCs/>
    </w:rPr>
  </w:style>
  <w:style w:type="paragraph" w:styleId="Kop9">
    <w:name w:val="heading 9"/>
    <w:basedOn w:val="Standaard"/>
    <w:next w:val="Standaard"/>
    <w:qFormat/>
    <w:rsid w:val="007D7BE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7D7BE7"/>
    <w:rPr>
      <w:sz w:val="20"/>
      <w:szCs w:val="20"/>
    </w:rPr>
  </w:style>
  <w:style w:type="character" w:styleId="Voetnootmarkering">
    <w:name w:val="footnote reference"/>
    <w:semiHidden/>
    <w:rsid w:val="007D7BE7"/>
    <w:rPr>
      <w:vertAlign w:val="superscript"/>
    </w:rPr>
  </w:style>
  <w:style w:type="paragraph" w:styleId="Documentstructuur">
    <w:name w:val="Document Map"/>
    <w:basedOn w:val="Standaard"/>
    <w:semiHidden/>
    <w:rsid w:val="007D7BE7"/>
    <w:pPr>
      <w:shd w:val="clear" w:color="auto" w:fill="000080"/>
    </w:pPr>
    <w:rPr>
      <w:rFonts w:ascii="Tahoma" w:hAnsi="Tahoma" w:cs="Tahoma"/>
      <w:sz w:val="20"/>
      <w:szCs w:val="20"/>
    </w:rPr>
  </w:style>
  <w:style w:type="paragraph" w:customStyle="1" w:styleId="KopNHopen">
    <w:name w:val="Kop NH open"/>
    <w:basedOn w:val="Standaard"/>
    <w:rsid w:val="007D7BE7"/>
    <w:pPr>
      <w:pBdr>
        <w:bottom w:val="single" w:sz="12" w:space="1" w:color="808080"/>
      </w:pBdr>
    </w:pPr>
    <w:rPr>
      <w:rFonts w:ascii="Arial" w:hAnsi="Arial"/>
      <w:b/>
      <w:sz w:val="20"/>
      <w:szCs w:val="20"/>
    </w:rPr>
  </w:style>
  <w:style w:type="paragraph" w:styleId="Ballontekst">
    <w:name w:val="Balloon Text"/>
    <w:basedOn w:val="Standaard"/>
    <w:semiHidden/>
    <w:rsid w:val="007D7BE7"/>
    <w:rPr>
      <w:rFonts w:ascii="Tahoma" w:hAnsi="Tahoma" w:cs="Tahoma"/>
      <w:sz w:val="16"/>
      <w:szCs w:val="16"/>
    </w:rPr>
  </w:style>
  <w:style w:type="paragraph" w:customStyle="1" w:styleId="Default">
    <w:name w:val="Default"/>
    <w:rsid w:val="007D7BE7"/>
    <w:pPr>
      <w:widowControl w:val="0"/>
      <w:autoSpaceDE w:val="0"/>
      <w:autoSpaceDN w:val="0"/>
      <w:adjustRightInd w:val="0"/>
    </w:pPr>
    <w:rPr>
      <w:rFonts w:ascii="Arial" w:hAnsi="Arial" w:cs="Arial"/>
      <w:color w:val="000000"/>
      <w:sz w:val="24"/>
      <w:szCs w:val="24"/>
    </w:rPr>
  </w:style>
  <w:style w:type="paragraph" w:styleId="Inhopg1">
    <w:name w:val="toc 1"/>
    <w:basedOn w:val="Standaard"/>
    <w:next w:val="Standaard"/>
    <w:autoRedefine/>
    <w:uiPriority w:val="39"/>
    <w:rsid w:val="007D7BE7"/>
    <w:pPr>
      <w:tabs>
        <w:tab w:val="right" w:leader="dot" w:pos="9062"/>
      </w:tabs>
    </w:pPr>
    <w:rPr>
      <w:rFonts w:ascii="Arial" w:hAnsi="Arial" w:cs="Arial"/>
      <w:b/>
      <w:noProof/>
    </w:rPr>
  </w:style>
  <w:style w:type="paragraph" w:styleId="Inhopg2">
    <w:name w:val="toc 2"/>
    <w:basedOn w:val="Standaard"/>
    <w:next w:val="Standaard"/>
    <w:autoRedefine/>
    <w:uiPriority w:val="39"/>
    <w:rsid w:val="007D7BE7"/>
    <w:pPr>
      <w:ind w:left="240"/>
    </w:pPr>
    <w:rPr>
      <w:rFonts w:ascii="Arial" w:hAnsi="Arial"/>
      <w:sz w:val="22"/>
    </w:rPr>
  </w:style>
  <w:style w:type="character" w:styleId="Hyperlink">
    <w:name w:val="Hyperlink"/>
    <w:uiPriority w:val="99"/>
    <w:rsid w:val="007D7BE7"/>
    <w:rPr>
      <w:color w:val="0000FF"/>
      <w:u w:val="single"/>
    </w:rPr>
  </w:style>
  <w:style w:type="paragraph" w:styleId="Koptekst">
    <w:name w:val="header"/>
    <w:basedOn w:val="Standaard"/>
    <w:rsid w:val="007D7BE7"/>
    <w:pPr>
      <w:tabs>
        <w:tab w:val="center" w:pos="4536"/>
        <w:tab w:val="right" w:pos="9072"/>
      </w:tabs>
    </w:pPr>
  </w:style>
  <w:style w:type="paragraph" w:styleId="Voettekst">
    <w:name w:val="footer"/>
    <w:basedOn w:val="Standaard"/>
    <w:rsid w:val="007D7BE7"/>
    <w:pPr>
      <w:tabs>
        <w:tab w:val="center" w:pos="4536"/>
        <w:tab w:val="right" w:pos="9072"/>
      </w:tabs>
    </w:pPr>
  </w:style>
  <w:style w:type="character" w:styleId="Paginanummer">
    <w:name w:val="page number"/>
    <w:basedOn w:val="Standaardalinea-lettertype"/>
    <w:rsid w:val="007D7BE7"/>
  </w:style>
  <w:style w:type="table" w:styleId="Tabelraster">
    <w:name w:val="Table Grid"/>
    <w:basedOn w:val="Standaardtabel"/>
    <w:uiPriority w:val="59"/>
    <w:rsid w:val="007D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7D7BE7"/>
    <w:rPr>
      <w:sz w:val="16"/>
      <w:szCs w:val="16"/>
    </w:rPr>
  </w:style>
  <w:style w:type="paragraph" w:styleId="Tekstopmerking">
    <w:name w:val="annotation text"/>
    <w:basedOn w:val="Standaard"/>
    <w:link w:val="TekstopmerkingChar"/>
    <w:uiPriority w:val="99"/>
    <w:semiHidden/>
    <w:rsid w:val="007D7BE7"/>
    <w:rPr>
      <w:sz w:val="20"/>
      <w:szCs w:val="20"/>
    </w:rPr>
  </w:style>
  <w:style w:type="paragraph" w:styleId="Onderwerpvanopmerking">
    <w:name w:val="annotation subject"/>
    <w:basedOn w:val="Tekstopmerking"/>
    <w:next w:val="Tekstopmerking"/>
    <w:semiHidden/>
    <w:rsid w:val="007D7BE7"/>
    <w:rPr>
      <w:b/>
      <w:bCs/>
    </w:rPr>
  </w:style>
  <w:style w:type="paragraph" w:styleId="Inhopg3">
    <w:name w:val="toc 3"/>
    <w:basedOn w:val="Standaard"/>
    <w:next w:val="Standaard"/>
    <w:autoRedefine/>
    <w:uiPriority w:val="39"/>
    <w:rsid w:val="007D7BE7"/>
    <w:pPr>
      <w:ind w:left="480"/>
    </w:pPr>
  </w:style>
  <w:style w:type="paragraph" w:styleId="Plattetekstinspringen2">
    <w:name w:val="Body Text Indent 2"/>
    <w:basedOn w:val="Standaard"/>
    <w:rsid w:val="007D7BE7"/>
    <w:pPr>
      <w:tabs>
        <w:tab w:val="left" w:pos="900"/>
      </w:tabs>
      <w:ind w:left="900"/>
    </w:pPr>
    <w:rPr>
      <w:rFonts w:ascii="Arial" w:hAnsi="Arial" w:cs="Arial"/>
      <w:sz w:val="20"/>
    </w:rPr>
  </w:style>
  <w:style w:type="paragraph" w:styleId="Lijstopsomteken">
    <w:name w:val="List Bullet"/>
    <w:basedOn w:val="Standaard"/>
    <w:rsid w:val="007D7BE7"/>
    <w:pPr>
      <w:numPr>
        <w:numId w:val="2"/>
      </w:numPr>
    </w:pPr>
  </w:style>
  <w:style w:type="paragraph" w:styleId="Normaalweb">
    <w:name w:val="Normal (Web)"/>
    <w:basedOn w:val="Standaard"/>
    <w:uiPriority w:val="99"/>
    <w:rsid w:val="007D7BE7"/>
    <w:pPr>
      <w:spacing w:before="100" w:beforeAutospacing="1" w:after="100" w:afterAutospacing="1"/>
    </w:pPr>
    <w:rPr>
      <w:lang w:eastAsia="en-US"/>
    </w:rPr>
  </w:style>
  <w:style w:type="paragraph" w:customStyle="1" w:styleId="voorbeeld">
    <w:name w:val="voorbeeld"/>
    <w:basedOn w:val="Standaard"/>
    <w:rsid w:val="007D7BE7"/>
    <w:pPr>
      <w:pBdr>
        <w:top w:val="single" w:sz="4" w:space="1" w:color="auto"/>
        <w:left w:val="single" w:sz="4" w:space="4" w:color="auto"/>
        <w:bottom w:val="single" w:sz="4" w:space="1" w:color="auto"/>
        <w:right w:val="single" w:sz="4" w:space="4" w:color="auto"/>
      </w:pBdr>
      <w:spacing w:line="280" w:lineRule="exact"/>
    </w:pPr>
    <w:rPr>
      <w:rFonts w:cs="Arial"/>
      <w:sz w:val="22"/>
      <w:szCs w:val="20"/>
    </w:rPr>
  </w:style>
  <w:style w:type="paragraph" w:customStyle="1" w:styleId="KLuwerStandaard">
    <w:name w:val="KLuwerStandaard"/>
    <w:rsid w:val="00330075"/>
    <w:pPr>
      <w:overflowPunct w:val="0"/>
      <w:autoSpaceDE w:val="0"/>
      <w:autoSpaceDN w:val="0"/>
      <w:adjustRightInd w:val="0"/>
      <w:textAlignment w:val="baseline"/>
    </w:pPr>
    <w:rPr>
      <w:rFonts w:ascii="Helvetica 55 Roman" w:hAnsi="Helvetica 55 Roman"/>
    </w:rPr>
  </w:style>
  <w:style w:type="paragraph" w:customStyle="1" w:styleId="KluwerVoettekst">
    <w:name w:val="KluwerVoettekst"/>
    <w:basedOn w:val="KLuwerStandaard"/>
    <w:rsid w:val="00604FF6"/>
    <w:pPr>
      <w:tabs>
        <w:tab w:val="right" w:pos="9639"/>
      </w:tabs>
      <w:spacing w:line="160" w:lineRule="exact"/>
    </w:pPr>
    <w:rPr>
      <w:noProof/>
      <w:sz w:val="12"/>
    </w:rPr>
  </w:style>
  <w:style w:type="paragraph" w:customStyle="1" w:styleId="KluwerKoptekst">
    <w:name w:val="KluwerKoptekst"/>
    <w:basedOn w:val="KLuwerStandaard"/>
    <w:rsid w:val="00604FF6"/>
    <w:pPr>
      <w:tabs>
        <w:tab w:val="left" w:pos="5387"/>
        <w:tab w:val="left" w:pos="7796"/>
        <w:tab w:val="right" w:pos="9639"/>
      </w:tabs>
    </w:pPr>
    <w:rPr>
      <w:sz w:val="16"/>
    </w:rPr>
  </w:style>
  <w:style w:type="paragraph" w:customStyle="1" w:styleId="AlineaMetZwevendeKantlijn">
    <w:name w:val="AlineaMetZwevendeKantlijn"/>
    <w:basedOn w:val="KLuwerStandaard"/>
    <w:rsid w:val="00604FF6"/>
    <w:pPr>
      <w:tabs>
        <w:tab w:val="left" w:pos="567"/>
        <w:tab w:val="left" w:pos="1134"/>
        <w:tab w:val="left" w:pos="1701"/>
        <w:tab w:val="left" w:pos="2268"/>
      </w:tabs>
      <w:ind w:left="567"/>
    </w:pPr>
  </w:style>
  <w:style w:type="paragraph" w:customStyle="1" w:styleId="Opsomletters">
    <w:name w:val="Opsomletters"/>
    <w:basedOn w:val="KLuwerStandaard"/>
    <w:rsid w:val="00604FF6"/>
    <w:pPr>
      <w:tabs>
        <w:tab w:val="left" w:pos="567"/>
        <w:tab w:val="left" w:pos="1134"/>
        <w:tab w:val="left" w:pos="1701"/>
        <w:tab w:val="left" w:pos="2268"/>
      </w:tabs>
      <w:ind w:left="567" w:hanging="567"/>
    </w:pPr>
  </w:style>
  <w:style w:type="paragraph" w:customStyle="1" w:styleId="OpsomlettersZwevendeKantlijn">
    <w:name w:val="OpsomlettersZwevendeKantlijn"/>
    <w:basedOn w:val="Opsomletters"/>
    <w:rsid w:val="00604FF6"/>
    <w:pPr>
      <w:ind w:left="1134"/>
    </w:pPr>
  </w:style>
  <w:style w:type="paragraph" w:customStyle="1" w:styleId="Opsomnummers">
    <w:name w:val="Opsomnummers"/>
    <w:basedOn w:val="KLuwerStandaard"/>
    <w:rsid w:val="00604FF6"/>
    <w:pPr>
      <w:tabs>
        <w:tab w:val="left" w:pos="567"/>
        <w:tab w:val="left" w:pos="1134"/>
        <w:tab w:val="left" w:pos="1701"/>
        <w:tab w:val="left" w:pos="2268"/>
      </w:tabs>
      <w:ind w:left="567" w:hanging="567"/>
    </w:pPr>
  </w:style>
  <w:style w:type="paragraph" w:customStyle="1" w:styleId="OpsomnummerZwevendeKantlijn">
    <w:name w:val="OpsomnummerZwevendeKantlijn"/>
    <w:basedOn w:val="KLuwerStandaard"/>
    <w:rsid w:val="00604FF6"/>
    <w:pPr>
      <w:tabs>
        <w:tab w:val="left" w:pos="567"/>
        <w:tab w:val="left" w:pos="1134"/>
        <w:tab w:val="left" w:pos="1701"/>
        <w:tab w:val="left" w:pos="2268"/>
      </w:tabs>
      <w:ind w:left="1134" w:hanging="567"/>
    </w:pPr>
  </w:style>
  <w:style w:type="paragraph" w:customStyle="1" w:styleId="Opsomstreepjes">
    <w:name w:val="Opsomstreepjes"/>
    <w:basedOn w:val="KLuwerStandaard"/>
    <w:rsid w:val="00604FF6"/>
    <w:pPr>
      <w:tabs>
        <w:tab w:val="left" w:pos="567"/>
        <w:tab w:val="left" w:pos="1134"/>
        <w:tab w:val="left" w:pos="1701"/>
        <w:tab w:val="left" w:pos="2268"/>
      </w:tabs>
      <w:ind w:left="567" w:hanging="567"/>
    </w:pPr>
  </w:style>
  <w:style w:type="paragraph" w:customStyle="1" w:styleId="OpsomstreepjesZwevendeKantlijn">
    <w:name w:val="OpsomstreepjesZwevendeKantlijn"/>
    <w:basedOn w:val="KLuwerStandaard"/>
    <w:rsid w:val="00604FF6"/>
    <w:pPr>
      <w:tabs>
        <w:tab w:val="left" w:pos="567"/>
        <w:tab w:val="left" w:pos="1134"/>
        <w:tab w:val="left" w:pos="1701"/>
        <w:tab w:val="left" w:pos="2268"/>
      </w:tabs>
      <w:ind w:left="1134" w:hanging="567"/>
    </w:pPr>
  </w:style>
  <w:style w:type="character" w:customStyle="1" w:styleId="KluwerEuroteken">
    <w:name w:val="KluwerEuroteken"/>
    <w:rsid w:val="00604FF6"/>
    <w:rPr>
      <w:rFonts w:ascii="Linotype EuroFont G to P" w:hAnsi="Linotype EuroFont G to P"/>
    </w:rPr>
  </w:style>
  <w:style w:type="paragraph" w:customStyle="1" w:styleId="Geenafstand1">
    <w:name w:val="Geen afstand1"/>
    <w:uiPriority w:val="1"/>
    <w:qFormat/>
    <w:rsid w:val="00604FF6"/>
    <w:rPr>
      <w:rFonts w:ascii="Calibri" w:eastAsia="Calibri" w:hAnsi="Calibri"/>
      <w:sz w:val="22"/>
      <w:szCs w:val="22"/>
      <w:lang w:eastAsia="en-US"/>
    </w:rPr>
  </w:style>
  <w:style w:type="character" w:customStyle="1" w:styleId="apple-converted-space">
    <w:name w:val="apple-converted-space"/>
    <w:basedOn w:val="Standaardalinea-lettertype"/>
    <w:rsid w:val="008F6A13"/>
  </w:style>
  <w:style w:type="paragraph" w:styleId="Geenafstand">
    <w:name w:val="No Spacing"/>
    <w:uiPriority w:val="1"/>
    <w:qFormat/>
    <w:rsid w:val="008F7E0C"/>
    <w:rPr>
      <w:sz w:val="24"/>
      <w:szCs w:val="24"/>
    </w:rPr>
  </w:style>
  <w:style w:type="character" w:styleId="Zwaar">
    <w:name w:val="Strong"/>
    <w:uiPriority w:val="22"/>
    <w:qFormat/>
    <w:rsid w:val="00F17DDD"/>
    <w:rPr>
      <w:b/>
      <w:bCs/>
    </w:rPr>
  </w:style>
  <w:style w:type="paragraph" w:styleId="Plattetekst">
    <w:name w:val="Body Text"/>
    <w:basedOn w:val="Standaard"/>
    <w:rsid w:val="008658F9"/>
    <w:pPr>
      <w:spacing w:after="120"/>
    </w:pPr>
  </w:style>
  <w:style w:type="paragraph" w:styleId="Kopvaninhoudsopgave">
    <w:name w:val="TOC Heading"/>
    <w:basedOn w:val="Kop1"/>
    <w:next w:val="Standaard"/>
    <w:uiPriority w:val="39"/>
    <w:unhideWhenUsed/>
    <w:qFormat/>
    <w:rsid w:val="00F272F4"/>
    <w:pPr>
      <w:keepLines/>
      <w:numPr>
        <w:numId w:val="0"/>
      </w:numPr>
      <w:tabs>
        <w:tab w:val="clear" w:pos="539"/>
      </w:tabs>
      <w:spacing w:before="240" w:line="259" w:lineRule="auto"/>
      <w:outlineLvl w:val="9"/>
    </w:pPr>
    <w:rPr>
      <w:rFonts w:ascii="Calibri Light" w:hAnsi="Calibri Light"/>
      <w:b w:val="0"/>
      <w:bCs w:val="0"/>
      <w:color w:val="2E74B5"/>
      <w:sz w:val="32"/>
      <w:szCs w:val="32"/>
    </w:rPr>
  </w:style>
  <w:style w:type="paragraph" w:styleId="Lijstalinea">
    <w:name w:val="List Paragraph"/>
    <w:basedOn w:val="Standaard"/>
    <w:uiPriority w:val="34"/>
    <w:qFormat/>
    <w:rsid w:val="00122F79"/>
    <w:pPr>
      <w:spacing w:after="200" w:line="276" w:lineRule="auto"/>
      <w:ind w:left="720"/>
      <w:contextualSpacing/>
    </w:pPr>
    <w:rPr>
      <w:rFonts w:ascii="Calibri" w:eastAsia="Calibri" w:hAnsi="Calibri"/>
      <w:sz w:val="22"/>
      <w:szCs w:val="22"/>
      <w:lang w:eastAsia="en-US"/>
    </w:rPr>
  </w:style>
  <w:style w:type="character" w:customStyle="1" w:styleId="TekstopmerkingChar">
    <w:name w:val="Tekst opmerking Char"/>
    <w:link w:val="Tekstopmerking"/>
    <w:uiPriority w:val="99"/>
    <w:semiHidden/>
    <w:rsid w:val="007F7D05"/>
  </w:style>
  <w:style w:type="table" w:customStyle="1" w:styleId="Tabelraster1">
    <w:name w:val="Tabelraster1"/>
    <w:basedOn w:val="Standaardtabel"/>
    <w:next w:val="Tabelraster"/>
    <w:uiPriority w:val="59"/>
    <w:rsid w:val="00692DF4"/>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B1E8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B1E8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B6CE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link w:val="Kop6"/>
    <w:rsid w:val="003752FC"/>
    <w:rPr>
      <w:rFonts w:ascii="Arial" w:hAnsi="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5760">
      <w:bodyDiv w:val="1"/>
      <w:marLeft w:val="0"/>
      <w:marRight w:val="0"/>
      <w:marTop w:val="0"/>
      <w:marBottom w:val="0"/>
      <w:divBdr>
        <w:top w:val="none" w:sz="0" w:space="0" w:color="auto"/>
        <w:left w:val="none" w:sz="0" w:space="0" w:color="auto"/>
        <w:bottom w:val="none" w:sz="0" w:space="0" w:color="auto"/>
        <w:right w:val="none" w:sz="0" w:space="0" w:color="auto"/>
      </w:divBdr>
    </w:div>
    <w:div w:id="41834275">
      <w:bodyDiv w:val="1"/>
      <w:marLeft w:val="0"/>
      <w:marRight w:val="0"/>
      <w:marTop w:val="0"/>
      <w:marBottom w:val="0"/>
      <w:divBdr>
        <w:top w:val="none" w:sz="0" w:space="0" w:color="auto"/>
        <w:left w:val="none" w:sz="0" w:space="0" w:color="auto"/>
        <w:bottom w:val="none" w:sz="0" w:space="0" w:color="auto"/>
        <w:right w:val="none" w:sz="0" w:space="0" w:color="auto"/>
      </w:divBdr>
    </w:div>
    <w:div w:id="42676316">
      <w:bodyDiv w:val="1"/>
      <w:marLeft w:val="0"/>
      <w:marRight w:val="0"/>
      <w:marTop w:val="0"/>
      <w:marBottom w:val="0"/>
      <w:divBdr>
        <w:top w:val="none" w:sz="0" w:space="0" w:color="auto"/>
        <w:left w:val="none" w:sz="0" w:space="0" w:color="auto"/>
        <w:bottom w:val="none" w:sz="0" w:space="0" w:color="auto"/>
        <w:right w:val="none" w:sz="0" w:space="0" w:color="auto"/>
      </w:divBdr>
      <w:divsChild>
        <w:div w:id="1530878252">
          <w:marLeft w:val="0"/>
          <w:marRight w:val="0"/>
          <w:marTop w:val="0"/>
          <w:marBottom w:val="0"/>
          <w:divBdr>
            <w:top w:val="none" w:sz="0" w:space="0" w:color="auto"/>
            <w:left w:val="none" w:sz="0" w:space="0" w:color="auto"/>
            <w:bottom w:val="none" w:sz="0" w:space="0" w:color="auto"/>
            <w:right w:val="none" w:sz="0" w:space="0" w:color="auto"/>
          </w:divBdr>
        </w:div>
        <w:div w:id="2053992686">
          <w:marLeft w:val="0"/>
          <w:marRight w:val="0"/>
          <w:marTop w:val="0"/>
          <w:marBottom w:val="0"/>
          <w:divBdr>
            <w:top w:val="none" w:sz="0" w:space="0" w:color="auto"/>
            <w:left w:val="none" w:sz="0" w:space="0" w:color="auto"/>
            <w:bottom w:val="none" w:sz="0" w:space="0" w:color="auto"/>
            <w:right w:val="none" w:sz="0" w:space="0" w:color="auto"/>
          </w:divBdr>
        </w:div>
        <w:div w:id="2091194522">
          <w:marLeft w:val="0"/>
          <w:marRight w:val="0"/>
          <w:marTop w:val="0"/>
          <w:marBottom w:val="0"/>
          <w:divBdr>
            <w:top w:val="none" w:sz="0" w:space="0" w:color="auto"/>
            <w:left w:val="none" w:sz="0" w:space="0" w:color="auto"/>
            <w:bottom w:val="none" w:sz="0" w:space="0" w:color="auto"/>
            <w:right w:val="none" w:sz="0" w:space="0" w:color="auto"/>
          </w:divBdr>
        </w:div>
      </w:divsChild>
    </w:div>
    <w:div w:id="61952815">
      <w:bodyDiv w:val="1"/>
      <w:marLeft w:val="0"/>
      <w:marRight w:val="0"/>
      <w:marTop w:val="0"/>
      <w:marBottom w:val="0"/>
      <w:divBdr>
        <w:top w:val="none" w:sz="0" w:space="0" w:color="auto"/>
        <w:left w:val="none" w:sz="0" w:space="0" w:color="auto"/>
        <w:bottom w:val="none" w:sz="0" w:space="0" w:color="auto"/>
        <w:right w:val="none" w:sz="0" w:space="0" w:color="auto"/>
      </w:divBdr>
    </w:div>
    <w:div w:id="70347391">
      <w:bodyDiv w:val="1"/>
      <w:marLeft w:val="0"/>
      <w:marRight w:val="0"/>
      <w:marTop w:val="0"/>
      <w:marBottom w:val="0"/>
      <w:divBdr>
        <w:top w:val="none" w:sz="0" w:space="0" w:color="auto"/>
        <w:left w:val="none" w:sz="0" w:space="0" w:color="auto"/>
        <w:bottom w:val="none" w:sz="0" w:space="0" w:color="auto"/>
        <w:right w:val="none" w:sz="0" w:space="0" w:color="auto"/>
      </w:divBdr>
    </w:div>
    <w:div w:id="86006103">
      <w:bodyDiv w:val="1"/>
      <w:marLeft w:val="0"/>
      <w:marRight w:val="0"/>
      <w:marTop w:val="0"/>
      <w:marBottom w:val="0"/>
      <w:divBdr>
        <w:top w:val="none" w:sz="0" w:space="0" w:color="auto"/>
        <w:left w:val="none" w:sz="0" w:space="0" w:color="auto"/>
        <w:bottom w:val="none" w:sz="0" w:space="0" w:color="auto"/>
        <w:right w:val="none" w:sz="0" w:space="0" w:color="auto"/>
      </w:divBdr>
    </w:div>
    <w:div w:id="101727850">
      <w:bodyDiv w:val="1"/>
      <w:marLeft w:val="0"/>
      <w:marRight w:val="0"/>
      <w:marTop w:val="0"/>
      <w:marBottom w:val="0"/>
      <w:divBdr>
        <w:top w:val="none" w:sz="0" w:space="0" w:color="auto"/>
        <w:left w:val="none" w:sz="0" w:space="0" w:color="auto"/>
        <w:bottom w:val="none" w:sz="0" w:space="0" w:color="auto"/>
        <w:right w:val="none" w:sz="0" w:space="0" w:color="auto"/>
      </w:divBdr>
      <w:divsChild>
        <w:div w:id="385883498">
          <w:marLeft w:val="0"/>
          <w:marRight w:val="0"/>
          <w:marTop w:val="0"/>
          <w:marBottom w:val="0"/>
          <w:divBdr>
            <w:top w:val="none" w:sz="0" w:space="0" w:color="auto"/>
            <w:left w:val="none" w:sz="0" w:space="0" w:color="auto"/>
            <w:bottom w:val="none" w:sz="0" w:space="0" w:color="auto"/>
            <w:right w:val="none" w:sz="0" w:space="0" w:color="auto"/>
          </w:divBdr>
        </w:div>
      </w:divsChild>
    </w:div>
    <w:div w:id="128786179">
      <w:bodyDiv w:val="1"/>
      <w:marLeft w:val="0"/>
      <w:marRight w:val="0"/>
      <w:marTop w:val="0"/>
      <w:marBottom w:val="0"/>
      <w:divBdr>
        <w:top w:val="none" w:sz="0" w:space="0" w:color="auto"/>
        <w:left w:val="none" w:sz="0" w:space="0" w:color="auto"/>
        <w:bottom w:val="none" w:sz="0" w:space="0" w:color="auto"/>
        <w:right w:val="none" w:sz="0" w:space="0" w:color="auto"/>
      </w:divBdr>
    </w:div>
    <w:div w:id="142547199">
      <w:bodyDiv w:val="1"/>
      <w:marLeft w:val="0"/>
      <w:marRight w:val="0"/>
      <w:marTop w:val="0"/>
      <w:marBottom w:val="0"/>
      <w:divBdr>
        <w:top w:val="none" w:sz="0" w:space="0" w:color="auto"/>
        <w:left w:val="none" w:sz="0" w:space="0" w:color="auto"/>
        <w:bottom w:val="none" w:sz="0" w:space="0" w:color="auto"/>
        <w:right w:val="none" w:sz="0" w:space="0" w:color="auto"/>
      </w:divBdr>
    </w:div>
    <w:div w:id="159733114">
      <w:bodyDiv w:val="1"/>
      <w:marLeft w:val="0"/>
      <w:marRight w:val="0"/>
      <w:marTop w:val="0"/>
      <w:marBottom w:val="0"/>
      <w:divBdr>
        <w:top w:val="none" w:sz="0" w:space="0" w:color="auto"/>
        <w:left w:val="none" w:sz="0" w:space="0" w:color="auto"/>
        <w:bottom w:val="none" w:sz="0" w:space="0" w:color="auto"/>
        <w:right w:val="none" w:sz="0" w:space="0" w:color="auto"/>
      </w:divBdr>
    </w:div>
    <w:div w:id="174534730">
      <w:bodyDiv w:val="1"/>
      <w:marLeft w:val="0"/>
      <w:marRight w:val="0"/>
      <w:marTop w:val="0"/>
      <w:marBottom w:val="0"/>
      <w:divBdr>
        <w:top w:val="none" w:sz="0" w:space="0" w:color="auto"/>
        <w:left w:val="none" w:sz="0" w:space="0" w:color="auto"/>
        <w:bottom w:val="none" w:sz="0" w:space="0" w:color="auto"/>
        <w:right w:val="none" w:sz="0" w:space="0" w:color="auto"/>
      </w:divBdr>
    </w:div>
    <w:div w:id="214975059">
      <w:bodyDiv w:val="1"/>
      <w:marLeft w:val="0"/>
      <w:marRight w:val="0"/>
      <w:marTop w:val="0"/>
      <w:marBottom w:val="0"/>
      <w:divBdr>
        <w:top w:val="none" w:sz="0" w:space="0" w:color="auto"/>
        <w:left w:val="none" w:sz="0" w:space="0" w:color="auto"/>
        <w:bottom w:val="none" w:sz="0" w:space="0" w:color="auto"/>
        <w:right w:val="none" w:sz="0" w:space="0" w:color="auto"/>
      </w:divBdr>
    </w:div>
    <w:div w:id="256181357">
      <w:bodyDiv w:val="1"/>
      <w:marLeft w:val="0"/>
      <w:marRight w:val="0"/>
      <w:marTop w:val="0"/>
      <w:marBottom w:val="0"/>
      <w:divBdr>
        <w:top w:val="none" w:sz="0" w:space="0" w:color="auto"/>
        <w:left w:val="none" w:sz="0" w:space="0" w:color="auto"/>
        <w:bottom w:val="none" w:sz="0" w:space="0" w:color="auto"/>
        <w:right w:val="none" w:sz="0" w:space="0" w:color="auto"/>
      </w:divBdr>
    </w:div>
    <w:div w:id="276522340">
      <w:bodyDiv w:val="1"/>
      <w:marLeft w:val="0"/>
      <w:marRight w:val="0"/>
      <w:marTop w:val="0"/>
      <w:marBottom w:val="0"/>
      <w:divBdr>
        <w:top w:val="none" w:sz="0" w:space="0" w:color="auto"/>
        <w:left w:val="none" w:sz="0" w:space="0" w:color="auto"/>
        <w:bottom w:val="none" w:sz="0" w:space="0" w:color="auto"/>
        <w:right w:val="none" w:sz="0" w:space="0" w:color="auto"/>
      </w:divBdr>
    </w:div>
    <w:div w:id="279845831">
      <w:bodyDiv w:val="1"/>
      <w:marLeft w:val="0"/>
      <w:marRight w:val="0"/>
      <w:marTop w:val="0"/>
      <w:marBottom w:val="0"/>
      <w:divBdr>
        <w:top w:val="none" w:sz="0" w:space="0" w:color="auto"/>
        <w:left w:val="none" w:sz="0" w:space="0" w:color="auto"/>
        <w:bottom w:val="none" w:sz="0" w:space="0" w:color="auto"/>
        <w:right w:val="none" w:sz="0" w:space="0" w:color="auto"/>
      </w:divBdr>
    </w:div>
    <w:div w:id="289098124">
      <w:bodyDiv w:val="1"/>
      <w:marLeft w:val="0"/>
      <w:marRight w:val="0"/>
      <w:marTop w:val="0"/>
      <w:marBottom w:val="0"/>
      <w:divBdr>
        <w:top w:val="none" w:sz="0" w:space="0" w:color="auto"/>
        <w:left w:val="none" w:sz="0" w:space="0" w:color="auto"/>
        <w:bottom w:val="none" w:sz="0" w:space="0" w:color="auto"/>
        <w:right w:val="none" w:sz="0" w:space="0" w:color="auto"/>
      </w:divBdr>
    </w:div>
    <w:div w:id="326829048">
      <w:bodyDiv w:val="1"/>
      <w:marLeft w:val="0"/>
      <w:marRight w:val="0"/>
      <w:marTop w:val="0"/>
      <w:marBottom w:val="0"/>
      <w:divBdr>
        <w:top w:val="none" w:sz="0" w:space="0" w:color="auto"/>
        <w:left w:val="none" w:sz="0" w:space="0" w:color="auto"/>
        <w:bottom w:val="none" w:sz="0" w:space="0" w:color="auto"/>
        <w:right w:val="none" w:sz="0" w:space="0" w:color="auto"/>
      </w:divBdr>
    </w:div>
    <w:div w:id="332611955">
      <w:bodyDiv w:val="1"/>
      <w:marLeft w:val="0"/>
      <w:marRight w:val="0"/>
      <w:marTop w:val="0"/>
      <w:marBottom w:val="0"/>
      <w:divBdr>
        <w:top w:val="none" w:sz="0" w:space="0" w:color="auto"/>
        <w:left w:val="none" w:sz="0" w:space="0" w:color="auto"/>
        <w:bottom w:val="none" w:sz="0" w:space="0" w:color="auto"/>
        <w:right w:val="none" w:sz="0" w:space="0" w:color="auto"/>
      </w:divBdr>
    </w:div>
    <w:div w:id="440876171">
      <w:bodyDiv w:val="1"/>
      <w:marLeft w:val="0"/>
      <w:marRight w:val="0"/>
      <w:marTop w:val="0"/>
      <w:marBottom w:val="0"/>
      <w:divBdr>
        <w:top w:val="none" w:sz="0" w:space="0" w:color="auto"/>
        <w:left w:val="none" w:sz="0" w:space="0" w:color="auto"/>
        <w:bottom w:val="none" w:sz="0" w:space="0" w:color="auto"/>
        <w:right w:val="none" w:sz="0" w:space="0" w:color="auto"/>
      </w:divBdr>
      <w:divsChild>
        <w:div w:id="762458225">
          <w:marLeft w:val="0"/>
          <w:marRight w:val="0"/>
          <w:marTop w:val="0"/>
          <w:marBottom w:val="0"/>
          <w:divBdr>
            <w:top w:val="none" w:sz="0" w:space="0" w:color="auto"/>
            <w:left w:val="none" w:sz="0" w:space="0" w:color="auto"/>
            <w:bottom w:val="none" w:sz="0" w:space="0" w:color="auto"/>
            <w:right w:val="none" w:sz="0" w:space="0" w:color="auto"/>
          </w:divBdr>
        </w:div>
        <w:div w:id="1785345959">
          <w:marLeft w:val="0"/>
          <w:marRight w:val="0"/>
          <w:marTop w:val="0"/>
          <w:marBottom w:val="0"/>
          <w:divBdr>
            <w:top w:val="none" w:sz="0" w:space="0" w:color="auto"/>
            <w:left w:val="none" w:sz="0" w:space="0" w:color="auto"/>
            <w:bottom w:val="none" w:sz="0" w:space="0" w:color="auto"/>
            <w:right w:val="none" w:sz="0" w:space="0" w:color="auto"/>
          </w:divBdr>
        </w:div>
      </w:divsChild>
    </w:div>
    <w:div w:id="490606040">
      <w:bodyDiv w:val="1"/>
      <w:marLeft w:val="0"/>
      <w:marRight w:val="0"/>
      <w:marTop w:val="0"/>
      <w:marBottom w:val="0"/>
      <w:divBdr>
        <w:top w:val="none" w:sz="0" w:space="0" w:color="auto"/>
        <w:left w:val="none" w:sz="0" w:space="0" w:color="auto"/>
        <w:bottom w:val="none" w:sz="0" w:space="0" w:color="auto"/>
        <w:right w:val="none" w:sz="0" w:space="0" w:color="auto"/>
      </w:divBdr>
    </w:div>
    <w:div w:id="590237682">
      <w:bodyDiv w:val="1"/>
      <w:marLeft w:val="0"/>
      <w:marRight w:val="0"/>
      <w:marTop w:val="0"/>
      <w:marBottom w:val="0"/>
      <w:divBdr>
        <w:top w:val="none" w:sz="0" w:space="0" w:color="auto"/>
        <w:left w:val="none" w:sz="0" w:space="0" w:color="auto"/>
        <w:bottom w:val="none" w:sz="0" w:space="0" w:color="auto"/>
        <w:right w:val="none" w:sz="0" w:space="0" w:color="auto"/>
      </w:divBdr>
    </w:div>
    <w:div w:id="591745675">
      <w:bodyDiv w:val="1"/>
      <w:marLeft w:val="0"/>
      <w:marRight w:val="0"/>
      <w:marTop w:val="0"/>
      <w:marBottom w:val="0"/>
      <w:divBdr>
        <w:top w:val="none" w:sz="0" w:space="0" w:color="auto"/>
        <w:left w:val="none" w:sz="0" w:space="0" w:color="auto"/>
        <w:bottom w:val="none" w:sz="0" w:space="0" w:color="auto"/>
        <w:right w:val="none" w:sz="0" w:space="0" w:color="auto"/>
      </w:divBdr>
    </w:div>
    <w:div w:id="628435487">
      <w:bodyDiv w:val="1"/>
      <w:marLeft w:val="0"/>
      <w:marRight w:val="0"/>
      <w:marTop w:val="0"/>
      <w:marBottom w:val="0"/>
      <w:divBdr>
        <w:top w:val="none" w:sz="0" w:space="0" w:color="auto"/>
        <w:left w:val="none" w:sz="0" w:space="0" w:color="auto"/>
        <w:bottom w:val="none" w:sz="0" w:space="0" w:color="auto"/>
        <w:right w:val="none" w:sz="0" w:space="0" w:color="auto"/>
      </w:divBdr>
    </w:div>
    <w:div w:id="644168891">
      <w:bodyDiv w:val="1"/>
      <w:marLeft w:val="0"/>
      <w:marRight w:val="0"/>
      <w:marTop w:val="0"/>
      <w:marBottom w:val="0"/>
      <w:divBdr>
        <w:top w:val="none" w:sz="0" w:space="0" w:color="auto"/>
        <w:left w:val="none" w:sz="0" w:space="0" w:color="auto"/>
        <w:bottom w:val="none" w:sz="0" w:space="0" w:color="auto"/>
        <w:right w:val="none" w:sz="0" w:space="0" w:color="auto"/>
      </w:divBdr>
    </w:div>
    <w:div w:id="647437649">
      <w:bodyDiv w:val="1"/>
      <w:marLeft w:val="0"/>
      <w:marRight w:val="0"/>
      <w:marTop w:val="0"/>
      <w:marBottom w:val="0"/>
      <w:divBdr>
        <w:top w:val="none" w:sz="0" w:space="0" w:color="auto"/>
        <w:left w:val="none" w:sz="0" w:space="0" w:color="auto"/>
        <w:bottom w:val="none" w:sz="0" w:space="0" w:color="auto"/>
        <w:right w:val="none" w:sz="0" w:space="0" w:color="auto"/>
      </w:divBdr>
    </w:div>
    <w:div w:id="708385273">
      <w:bodyDiv w:val="1"/>
      <w:marLeft w:val="0"/>
      <w:marRight w:val="0"/>
      <w:marTop w:val="0"/>
      <w:marBottom w:val="0"/>
      <w:divBdr>
        <w:top w:val="none" w:sz="0" w:space="0" w:color="auto"/>
        <w:left w:val="none" w:sz="0" w:space="0" w:color="auto"/>
        <w:bottom w:val="none" w:sz="0" w:space="0" w:color="auto"/>
        <w:right w:val="none" w:sz="0" w:space="0" w:color="auto"/>
      </w:divBdr>
    </w:div>
    <w:div w:id="821821654">
      <w:bodyDiv w:val="1"/>
      <w:marLeft w:val="0"/>
      <w:marRight w:val="0"/>
      <w:marTop w:val="0"/>
      <w:marBottom w:val="0"/>
      <w:divBdr>
        <w:top w:val="none" w:sz="0" w:space="0" w:color="auto"/>
        <w:left w:val="none" w:sz="0" w:space="0" w:color="auto"/>
        <w:bottom w:val="none" w:sz="0" w:space="0" w:color="auto"/>
        <w:right w:val="none" w:sz="0" w:space="0" w:color="auto"/>
      </w:divBdr>
    </w:div>
    <w:div w:id="951128119">
      <w:bodyDiv w:val="1"/>
      <w:marLeft w:val="0"/>
      <w:marRight w:val="0"/>
      <w:marTop w:val="0"/>
      <w:marBottom w:val="0"/>
      <w:divBdr>
        <w:top w:val="none" w:sz="0" w:space="0" w:color="auto"/>
        <w:left w:val="none" w:sz="0" w:space="0" w:color="auto"/>
        <w:bottom w:val="none" w:sz="0" w:space="0" w:color="auto"/>
        <w:right w:val="none" w:sz="0" w:space="0" w:color="auto"/>
      </w:divBdr>
    </w:div>
    <w:div w:id="955598712">
      <w:bodyDiv w:val="1"/>
      <w:marLeft w:val="0"/>
      <w:marRight w:val="0"/>
      <w:marTop w:val="0"/>
      <w:marBottom w:val="0"/>
      <w:divBdr>
        <w:top w:val="none" w:sz="0" w:space="0" w:color="auto"/>
        <w:left w:val="none" w:sz="0" w:space="0" w:color="auto"/>
        <w:bottom w:val="none" w:sz="0" w:space="0" w:color="auto"/>
        <w:right w:val="none" w:sz="0" w:space="0" w:color="auto"/>
      </w:divBdr>
    </w:div>
    <w:div w:id="1015038391">
      <w:bodyDiv w:val="1"/>
      <w:marLeft w:val="0"/>
      <w:marRight w:val="0"/>
      <w:marTop w:val="0"/>
      <w:marBottom w:val="0"/>
      <w:divBdr>
        <w:top w:val="none" w:sz="0" w:space="0" w:color="auto"/>
        <w:left w:val="none" w:sz="0" w:space="0" w:color="auto"/>
        <w:bottom w:val="none" w:sz="0" w:space="0" w:color="auto"/>
        <w:right w:val="none" w:sz="0" w:space="0" w:color="auto"/>
      </w:divBdr>
    </w:div>
    <w:div w:id="1021396187">
      <w:bodyDiv w:val="1"/>
      <w:marLeft w:val="0"/>
      <w:marRight w:val="0"/>
      <w:marTop w:val="0"/>
      <w:marBottom w:val="0"/>
      <w:divBdr>
        <w:top w:val="none" w:sz="0" w:space="0" w:color="auto"/>
        <w:left w:val="none" w:sz="0" w:space="0" w:color="auto"/>
        <w:bottom w:val="none" w:sz="0" w:space="0" w:color="auto"/>
        <w:right w:val="none" w:sz="0" w:space="0" w:color="auto"/>
      </w:divBdr>
    </w:div>
    <w:div w:id="1035891005">
      <w:bodyDiv w:val="1"/>
      <w:marLeft w:val="0"/>
      <w:marRight w:val="0"/>
      <w:marTop w:val="0"/>
      <w:marBottom w:val="0"/>
      <w:divBdr>
        <w:top w:val="none" w:sz="0" w:space="0" w:color="auto"/>
        <w:left w:val="none" w:sz="0" w:space="0" w:color="auto"/>
        <w:bottom w:val="none" w:sz="0" w:space="0" w:color="auto"/>
        <w:right w:val="none" w:sz="0" w:space="0" w:color="auto"/>
      </w:divBdr>
    </w:div>
    <w:div w:id="1038429514">
      <w:bodyDiv w:val="1"/>
      <w:marLeft w:val="0"/>
      <w:marRight w:val="0"/>
      <w:marTop w:val="0"/>
      <w:marBottom w:val="0"/>
      <w:divBdr>
        <w:top w:val="none" w:sz="0" w:space="0" w:color="auto"/>
        <w:left w:val="none" w:sz="0" w:space="0" w:color="auto"/>
        <w:bottom w:val="none" w:sz="0" w:space="0" w:color="auto"/>
        <w:right w:val="none" w:sz="0" w:space="0" w:color="auto"/>
      </w:divBdr>
    </w:div>
    <w:div w:id="1038773966">
      <w:bodyDiv w:val="1"/>
      <w:marLeft w:val="0"/>
      <w:marRight w:val="0"/>
      <w:marTop w:val="0"/>
      <w:marBottom w:val="0"/>
      <w:divBdr>
        <w:top w:val="none" w:sz="0" w:space="0" w:color="auto"/>
        <w:left w:val="none" w:sz="0" w:space="0" w:color="auto"/>
        <w:bottom w:val="none" w:sz="0" w:space="0" w:color="auto"/>
        <w:right w:val="none" w:sz="0" w:space="0" w:color="auto"/>
      </w:divBdr>
    </w:div>
    <w:div w:id="1071342640">
      <w:bodyDiv w:val="1"/>
      <w:marLeft w:val="0"/>
      <w:marRight w:val="0"/>
      <w:marTop w:val="0"/>
      <w:marBottom w:val="0"/>
      <w:divBdr>
        <w:top w:val="none" w:sz="0" w:space="0" w:color="auto"/>
        <w:left w:val="none" w:sz="0" w:space="0" w:color="auto"/>
        <w:bottom w:val="none" w:sz="0" w:space="0" w:color="auto"/>
        <w:right w:val="none" w:sz="0" w:space="0" w:color="auto"/>
      </w:divBdr>
    </w:div>
    <w:div w:id="1194032433">
      <w:bodyDiv w:val="1"/>
      <w:marLeft w:val="0"/>
      <w:marRight w:val="0"/>
      <w:marTop w:val="0"/>
      <w:marBottom w:val="0"/>
      <w:divBdr>
        <w:top w:val="none" w:sz="0" w:space="0" w:color="auto"/>
        <w:left w:val="none" w:sz="0" w:space="0" w:color="auto"/>
        <w:bottom w:val="none" w:sz="0" w:space="0" w:color="auto"/>
        <w:right w:val="none" w:sz="0" w:space="0" w:color="auto"/>
      </w:divBdr>
    </w:div>
    <w:div w:id="1218933325">
      <w:bodyDiv w:val="1"/>
      <w:marLeft w:val="0"/>
      <w:marRight w:val="0"/>
      <w:marTop w:val="0"/>
      <w:marBottom w:val="0"/>
      <w:divBdr>
        <w:top w:val="none" w:sz="0" w:space="0" w:color="auto"/>
        <w:left w:val="none" w:sz="0" w:space="0" w:color="auto"/>
        <w:bottom w:val="none" w:sz="0" w:space="0" w:color="auto"/>
        <w:right w:val="none" w:sz="0" w:space="0" w:color="auto"/>
      </w:divBdr>
    </w:div>
    <w:div w:id="1261907644">
      <w:bodyDiv w:val="1"/>
      <w:marLeft w:val="0"/>
      <w:marRight w:val="0"/>
      <w:marTop w:val="0"/>
      <w:marBottom w:val="0"/>
      <w:divBdr>
        <w:top w:val="none" w:sz="0" w:space="0" w:color="auto"/>
        <w:left w:val="none" w:sz="0" w:space="0" w:color="auto"/>
        <w:bottom w:val="none" w:sz="0" w:space="0" w:color="auto"/>
        <w:right w:val="none" w:sz="0" w:space="0" w:color="auto"/>
      </w:divBdr>
    </w:div>
    <w:div w:id="1263223482">
      <w:bodyDiv w:val="1"/>
      <w:marLeft w:val="0"/>
      <w:marRight w:val="0"/>
      <w:marTop w:val="0"/>
      <w:marBottom w:val="0"/>
      <w:divBdr>
        <w:top w:val="none" w:sz="0" w:space="0" w:color="auto"/>
        <w:left w:val="none" w:sz="0" w:space="0" w:color="auto"/>
        <w:bottom w:val="none" w:sz="0" w:space="0" w:color="auto"/>
        <w:right w:val="none" w:sz="0" w:space="0" w:color="auto"/>
      </w:divBdr>
    </w:div>
    <w:div w:id="1288585379">
      <w:bodyDiv w:val="1"/>
      <w:marLeft w:val="0"/>
      <w:marRight w:val="0"/>
      <w:marTop w:val="0"/>
      <w:marBottom w:val="0"/>
      <w:divBdr>
        <w:top w:val="none" w:sz="0" w:space="0" w:color="auto"/>
        <w:left w:val="none" w:sz="0" w:space="0" w:color="auto"/>
        <w:bottom w:val="none" w:sz="0" w:space="0" w:color="auto"/>
        <w:right w:val="none" w:sz="0" w:space="0" w:color="auto"/>
      </w:divBdr>
    </w:div>
    <w:div w:id="1291207939">
      <w:bodyDiv w:val="1"/>
      <w:marLeft w:val="0"/>
      <w:marRight w:val="0"/>
      <w:marTop w:val="0"/>
      <w:marBottom w:val="0"/>
      <w:divBdr>
        <w:top w:val="none" w:sz="0" w:space="0" w:color="auto"/>
        <w:left w:val="none" w:sz="0" w:space="0" w:color="auto"/>
        <w:bottom w:val="none" w:sz="0" w:space="0" w:color="auto"/>
        <w:right w:val="none" w:sz="0" w:space="0" w:color="auto"/>
      </w:divBdr>
    </w:div>
    <w:div w:id="1336153527">
      <w:bodyDiv w:val="1"/>
      <w:marLeft w:val="0"/>
      <w:marRight w:val="0"/>
      <w:marTop w:val="0"/>
      <w:marBottom w:val="0"/>
      <w:divBdr>
        <w:top w:val="none" w:sz="0" w:space="0" w:color="auto"/>
        <w:left w:val="none" w:sz="0" w:space="0" w:color="auto"/>
        <w:bottom w:val="none" w:sz="0" w:space="0" w:color="auto"/>
        <w:right w:val="none" w:sz="0" w:space="0" w:color="auto"/>
      </w:divBdr>
    </w:div>
    <w:div w:id="1342968698">
      <w:bodyDiv w:val="1"/>
      <w:marLeft w:val="0"/>
      <w:marRight w:val="0"/>
      <w:marTop w:val="0"/>
      <w:marBottom w:val="0"/>
      <w:divBdr>
        <w:top w:val="none" w:sz="0" w:space="0" w:color="auto"/>
        <w:left w:val="none" w:sz="0" w:space="0" w:color="auto"/>
        <w:bottom w:val="none" w:sz="0" w:space="0" w:color="auto"/>
        <w:right w:val="none" w:sz="0" w:space="0" w:color="auto"/>
      </w:divBdr>
    </w:div>
    <w:div w:id="1368989111">
      <w:bodyDiv w:val="1"/>
      <w:marLeft w:val="0"/>
      <w:marRight w:val="0"/>
      <w:marTop w:val="0"/>
      <w:marBottom w:val="0"/>
      <w:divBdr>
        <w:top w:val="none" w:sz="0" w:space="0" w:color="auto"/>
        <w:left w:val="none" w:sz="0" w:space="0" w:color="auto"/>
        <w:bottom w:val="none" w:sz="0" w:space="0" w:color="auto"/>
        <w:right w:val="none" w:sz="0" w:space="0" w:color="auto"/>
      </w:divBdr>
    </w:div>
    <w:div w:id="1399018788">
      <w:bodyDiv w:val="1"/>
      <w:marLeft w:val="0"/>
      <w:marRight w:val="0"/>
      <w:marTop w:val="0"/>
      <w:marBottom w:val="0"/>
      <w:divBdr>
        <w:top w:val="none" w:sz="0" w:space="0" w:color="auto"/>
        <w:left w:val="none" w:sz="0" w:space="0" w:color="auto"/>
        <w:bottom w:val="none" w:sz="0" w:space="0" w:color="auto"/>
        <w:right w:val="none" w:sz="0" w:space="0" w:color="auto"/>
      </w:divBdr>
    </w:div>
    <w:div w:id="1467235169">
      <w:bodyDiv w:val="1"/>
      <w:marLeft w:val="0"/>
      <w:marRight w:val="0"/>
      <w:marTop w:val="0"/>
      <w:marBottom w:val="0"/>
      <w:divBdr>
        <w:top w:val="none" w:sz="0" w:space="0" w:color="auto"/>
        <w:left w:val="none" w:sz="0" w:space="0" w:color="auto"/>
        <w:bottom w:val="none" w:sz="0" w:space="0" w:color="auto"/>
        <w:right w:val="none" w:sz="0" w:space="0" w:color="auto"/>
      </w:divBdr>
    </w:div>
    <w:div w:id="1559247990">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585529090">
      <w:bodyDiv w:val="1"/>
      <w:marLeft w:val="0"/>
      <w:marRight w:val="0"/>
      <w:marTop w:val="0"/>
      <w:marBottom w:val="0"/>
      <w:divBdr>
        <w:top w:val="none" w:sz="0" w:space="0" w:color="auto"/>
        <w:left w:val="none" w:sz="0" w:space="0" w:color="auto"/>
        <w:bottom w:val="none" w:sz="0" w:space="0" w:color="auto"/>
        <w:right w:val="none" w:sz="0" w:space="0" w:color="auto"/>
      </w:divBdr>
    </w:div>
    <w:div w:id="1589532565">
      <w:bodyDiv w:val="1"/>
      <w:marLeft w:val="0"/>
      <w:marRight w:val="0"/>
      <w:marTop w:val="0"/>
      <w:marBottom w:val="0"/>
      <w:divBdr>
        <w:top w:val="none" w:sz="0" w:space="0" w:color="auto"/>
        <w:left w:val="none" w:sz="0" w:space="0" w:color="auto"/>
        <w:bottom w:val="none" w:sz="0" w:space="0" w:color="auto"/>
        <w:right w:val="none" w:sz="0" w:space="0" w:color="auto"/>
      </w:divBdr>
    </w:div>
    <w:div w:id="1613629717">
      <w:bodyDiv w:val="1"/>
      <w:marLeft w:val="0"/>
      <w:marRight w:val="0"/>
      <w:marTop w:val="0"/>
      <w:marBottom w:val="0"/>
      <w:divBdr>
        <w:top w:val="none" w:sz="0" w:space="0" w:color="auto"/>
        <w:left w:val="none" w:sz="0" w:space="0" w:color="auto"/>
        <w:bottom w:val="none" w:sz="0" w:space="0" w:color="auto"/>
        <w:right w:val="none" w:sz="0" w:space="0" w:color="auto"/>
      </w:divBdr>
    </w:div>
    <w:div w:id="1623918451">
      <w:bodyDiv w:val="1"/>
      <w:marLeft w:val="0"/>
      <w:marRight w:val="0"/>
      <w:marTop w:val="0"/>
      <w:marBottom w:val="0"/>
      <w:divBdr>
        <w:top w:val="none" w:sz="0" w:space="0" w:color="auto"/>
        <w:left w:val="none" w:sz="0" w:space="0" w:color="auto"/>
        <w:bottom w:val="none" w:sz="0" w:space="0" w:color="auto"/>
        <w:right w:val="none" w:sz="0" w:space="0" w:color="auto"/>
      </w:divBdr>
    </w:div>
    <w:div w:id="1652557607">
      <w:bodyDiv w:val="1"/>
      <w:marLeft w:val="0"/>
      <w:marRight w:val="0"/>
      <w:marTop w:val="0"/>
      <w:marBottom w:val="0"/>
      <w:divBdr>
        <w:top w:val="none" w:sz="0" w:space="0" w:color="auto"/>
        <w:left w:val="none" w:sz="0" w:space="0" w:color="auto"/>
        <w:bottom w:val="none" w:sz="0" w:space="0" w:color="auto"/>
        <w:right w:val="none" w:sz="0" w:space="0" w:color="auto"/>
      </w:divBdr>
      <w:divsChild>
        <w:div w:id="1757282587">
          <w:marLeft w:val="0"/>
          <w:marRight w:val="0"/>
          <w:marTop w:val="0"/>
          <w:marBottom w:val="0"/>
          <w:divBdr>
            <w:top w:val="none" w:sz="0" w:space="0" w:color="auto"/>
            <w:left w:val="none" w:sz="0" w:space="0" w:color="auto"/>
            <w:bottom w:val="none" w:sz="0" w:space="0" w:color="auto"/>
            <w:right w:val="none" w:sz="0" w:space="0" w:color="auto"/>
          </w:divBdr>
        </w:div>
      </w:divsChild>
    </w:div>
    <w:div w:id="1674065846">
      <w:bodyDiv w:val="1"/>
      <w:marLeft w:val="0"/>
      <w:marRight w:val="0"/>
      <w:marTop w:val="0"/>
      <w:marBottom w:val="0"/>
      <w:divBdr>
        <w:top w:val="none" w:sz="0" w:space="0" w:color="auto"/>
        <w:left w:val="none" w:sz="0" w:space="0" w:color="auto"/>
        <w:bottom w:val="none" w:sz="0" w:space="0" w:color="auto"/>
        <w:right w:val="none" w:sz="0" w:space="0" w:color="auto"/>
      </w:divBdr>
      <w:divsChild>
        <w:div w:id="224075357">
          <w:marLeft w:val="0"/>
          <w:marRight w:val="0"/>
          <w:marTop w:val="0"/>
          <w:marBottom w:val="0"/>
          <w:divBdr>
            <w:top w:val="none" w:sz="0" w:space="0" w:color="auto"/>
            <w:left w:val="none" w:sz="0" w:space="0" w:color="auto"/>
            <w:bottom w:val="none" w:sz="0" w:space="0" w:color="auto"/>
            <w:right w:val="none" w:sz="0" w:space="0" w:color="auto"/>
          </w:divBdr>
          <w:divsChild>
            <w:div w:id="215512606">
              <w:marLeft w:val="0"/>
              <w:marRight w:val="0"/>
              <w:marTop w:val="0"/>
              <w:marBottom w:val="0"/>
              <w:divBdr>
                <w:top w:val="single" w:sz="6" w:space="0" w:color="CCCCCC"/>
                <w:left w:val="none" w:sz="0" w:space="0" w:color="CCCCCC"/>
                <w:bottom w:val="single" w:sz="6" w:space="0" w:color="CCCCCC"/>
                <w:right w:val="none" w:sz="0" w:space="8" w:color="CCCCCC"/>
              </w:divBdr>
              <w:divsChild>
                <w:div w:id="754060379">
                  <w:marLeft w:val="45"/>
                  <w:marRight w:val="75"/>
                  <w:marTop w:val="0"/>
                  <w:marBottom w:val="0"/>
                  <w:divBdr>
                    <w:top w:val="none" w:sz="0" w:space="0" w:color="auto"/>
                    <w:left w:val="none" w:sz="0" w:space="0" w:color="auto"/>
                    <w:bottom w:val="none" w:sz="0" w:space="0" w:color="auto"/>
                    <w:right w:val="none" w:sz="0" w:space="0" w:color="auto"/>
                  </w:divBdr>
                </w:div>
                <w:div w:id="1853641928">
                  <w:marLeft w:val="225"/>
                  <w:marRight w:val="0"/>
                  <w:marTop w:val="0"/>
                  <w:marBottom w:val="0"/>
                  <w:divBdr>
                    <w:top w:val="none" w:sz="0" w:space="0" w:color="auto"/>
                    <w:left w:val="none" w:sz="0" w:space="0" w:color="auto"/>
                    <w:bottom w:val="none" w:sz="0" w:space="0" w:color="auto"/>
                    <w:right w:val="none" w:sz="0" w:space="0" w:color="auto"/>
                  </w:divBdr>
                </w:div>
              </w:divsChild>
            </w:div>
            <w:div w:id="898134378">
              <w:marLeft w:val="0"/>
              <w:marRight w:val="150"/>
              <w:marTop w:val="0"/>
              <w:marBottom w:val="0"/>
              <w:divBdr>
                <w:top w:val="none" w:sz="0" w:space="0" w:color="auto"/>
                <w:left w:val="none" w:sz="0" w:space="0" w:color="auto"/>
                <w:bottom w:val="none" w:sz="0" w:space="0" w:color="auto"/>
                <w:right w:val="none" w:sz="0" w:space="0" w:color="auto"/>
              </w:divBdr>
              <w:divsChild>
                <w:div w:id="1077283792">
                  <w:marLeft w:val="0"/>
                  <w:marRight w:val="0"/>
                  <w:marTop w:val="0"/>
                  <w:marBottom w:val="0"/>
                  <w:divBdr>
                    <w:top w:val="none" w:sz="0" w:space="0" w:color="auto"/>
                    <w:left w:val="none" w:sz="0" w:space="0" w:color="auto"/>
                    <w:bottom w:val="none" w:sz="0" w:space="0" w:color="auto"/>
                    <w:right w:val="none" w:sz="0" w:space="0" w:color="auto"/>
                  </w:divBdr>
                  <w:divsChild>
                    <w:div w:id="428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43">
      <w:bodyDiv w:val="1"/>
      <w:marLeft w:val="0"/>
      <w:marRight w:val="0"/>
      <w:marTop w:val="0"/>
      <w:marBottom w:val="0"/>
      <w:divBdr>
        <w:top w:val="none" w:sz="0" w:space="0" w:color="auto"/>
        <w:left w:val="none" w:sz="0" w:space="0" w:color="auto"/>
        <w:bottom w:val="none" w:sz="0" w:space="0" w:color="auto"/>
        <w:right w:val="none" w:sz="0" w:space="0" w:color="auto"/>
      </w:divBdr>
    </w:div>
    <w:div w:id="1728799310">
      <w:bodyDiv w:val="1"/>
      <w:marLeft w:val="0"/>
      <w:marRight w:val="0"/>
      <w:marTop w:val="0"/>
      <w:marBottom w:val="0"/>
      <w:divBdr>
        <w:top w:val="none" w:sz="0" w:space="0" w:color="auto"/>
        <w:left w:val="none" w:sz="0" w:space="0" w:color="auto"/>
        <w:bottom w:val="none" w:sz="0" w:space="0" w:color="auto"/>
        <w:right w:val="none" w:sz="0" w:space="0" w:color="auto"/>
      </w:divBdr>
    </w:div>
    <w:div w:id="1905751296">
      <w:bodyDiv w:val="1"/>
      <w:marLeft w:val="0"/>
      <w:marRight w:val="0"/>
      <w:marTop w:val="0"/>
      <w:marBottom w:val="0"/>
      <w:divBdr>
        <w:top w:val="none" w:sz="0" w:space="0" w:color="auto"/>
        <w:left w:val="none" w:sz="0" w:space="0" w:color="auto"/>
        <w:bottom w:val="none" w:sz="0" w:space="0" w:color="auto"/>
        <w:right w:val="none" w:sz="0" w:space="0" w:color="auto"/>
      </w:divBdr>
    </w:div>
    <w:div w:id="1965699200">
      <w:bodyDiv w:val="1"/>
      <w:marLeft w:val="0"/>
      <w:marRight w:val="0"/>
      <w:marTop w:val="0"/>
      <w:marBottom w:val="0"/>
      <w:divBdr>
        <w:top w:val="none" w:sz="0" w:space="0" w:color="auto"/>
        <w:left w:val="none" w:sz="0" w:space="0" w:color="auto"/>
        <w:bottom w:val="none" w:sz="0" w:space="0" w:color="auto"/>
        <w:right w:val="none" w:sz="0" w:space="0" w:color="auto"/>
      </w:divBdr>
    </w:div>
    <w:div w:id="2031829658">
      <w:bodyDiv w:val="1"/>
      <w:marLeft w:val="0"/>
      <w:marRight w:val="0"/>
      <w:marTop w:val="0"/>
      <w:marBottom w:val="0"/>
      <w:divBdr>
        <w:top w:val="none" w:sz="0" w:space="0" w:color="auto"/>
        <w:left w:val="none" w:sz="0" w:space="0" w:color="auto"/>
        <w:bottom w:val="none" w:sz="0" w:space="0" w:color="auto"/>
        <w:right w:val="none" w:sz="0" w:space="0" w:color="auto"/>
      </w:divBdr>
      <w:divsChild>
        <w:div w:id="164980379">
          <w:marLeft w:val="0"/>
          <w:marRight w:val="0"/>
          <w:marTop w:val="0"/>
          <w:marBottom w:val="0"/>
          <w:divBdr>
            <w:top w:val="none" w:sz="0" w:space="0" w:color="auto"/>
            <w:left w:val="none" w:sz="0" w:space="0" w:color="auto"/>
            <w:bottom w:val="none" w:sz="0" w:space="0" w:color="auto"/>
            <w:right w:val="none" w:sz="0" w:space="0" w:color="auto"/>
          </w:divBdr>
          <w:divsChild>
            <w:div w:id="2074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49">
      <w:bodyDiv w:val="1"/>
      <w:marLeft w:val="0"/>
      <w:marRight w:val="0"/>
      <w:marTop w:val="0"/>
      <w:marBottom w:val="0"/>
      <w:divBdr>
        <w:top w:val="none" w:sz="0" w:space="0" w:color="auto"/>
        <w:left w:val="none" w:sz="0" w:space="0" w:color="auto"/>
        <w:bottom w:val="none" w:sz="0" w:space="0" w:color="auto"/>
        <w:right w:val="none" w:sz="0" w:space="0" w:color="auto"/>
      </w:divBdr>
    </w:div>
    <w:div w:id="2069185806">
      <w:bodyDiv w:val="1"/>
      <w:marLeft w:val="0"/>
      <w:marRight w:val="0"/>
      <w:marTop w:val="0"/>
      <w:marBottom w:val="0"/>
      <w:divBdr>
        <w:top w:val="none" w:sz="0" w:space="0" w:color="auto"/>
        <w:left w:val="none" w:sz="0" w:space="0" w:color="auto"/>
        <w:bottom w:val="none" w:sz="0" w:space="0" w:color="auto"/>
        <w:right w:val="none" w:sz="0" w:space="0" w:color="auto"/>
      </w:divBdr>
    </w:div>
    <w:div w:id="2078281664">
      <w:bodyDiv w:val="1"/>
      <w:marLeft w:val="0"/>
      <w:marRight w:val="0"/>
      <w:marTop w:val="0"/>
      <w:marBottom w:val="0"/>
      <w:divBdr>
        <w:top w:val="none" w:sz="0" w:space="0" w:color="auto"/>
        <w:left w:val="none" w:sz="0" w:space="0" w:color="auto"/>
        <w:bottom w:val="none" w:sz="0" w:space="0" w:color="auto"/>
        <w:right w:val="none" w:sz="0" w:space="0" w:color="auto"/>
      </w:divBdr>
    </w:div>
    <w:div w:id="2080666919">
      <w:bodyDiv w:val="1"/>
      <w:marLeft w:val="0"/>
      <w:marRight w:val="0"/>
      <w:marTop w:val="0"/>
      <w:marBottom w:val="0"/>
      <w:divBdr>
        <w:top w:val="none" w:sz="0" w:space="0" w:color="auto"/>
        <w:left w:val="none" w:sz="0" w:space="0" w:color="auto"/>
        <w:bottom w:val="none" w:sz="0" w:space="0" w:color="auto"/>
        <w:right w:val="none" w:sz="0" w:space="0" w:color="auto"/>
      </w:divBdr>
      <w:divsChild>
        <w:div w:id="224146739">
          <w:marLeft w:val="0"/>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single" w:sz="6" w:space="0" w:color="CCCCCC"/>
                <w:left w:val="none" w:sz="0" w:space="0" w:color="CCCCCC"/>
                <w:bottom w:val="single" w:sz="6" w:space="0" w:color="CCCCCC"/>
                <w:right w:val="none" w:sz="0" w:space="8" w:color="CCCCCC"/>
              </w:divBdr>
              <w:divsChild>
                <w:div w:id="153106187">
                  <w:marLeft w:val="225"/>
                  <w:marRight w:val="0"/>
                  <w:marTop w:val="0"/>
                  <w:marBottom w:val="0"/>
                  <w:divBdr>
                    <w:top w:val="none" w:sz="0" w:space="0" w:color="auto"/>
                    <w:left w:val="none" w:sz="0" w:space="0" w:color="auto"/>
                    <w:bottom w:val="none" w:sz="0" w:space="0" w:color="auto"/>
                    <w:right w:val="none" w:sz="0" w:space="0" w:color="auto"/>
                  </w:divBdr>
                </w:div>
                <w:div w:id="732242481">
                  <w:marLeft w:val="45"/>
                  <w:marRight w:val="75"/>
                  <w:marTop w:val="0"/>
                  <w:marBottom w:val="0"/>
                  <w:divBdr>
                    <w:top w:val="none" w:sz="0" w:space="0" w:color="auto"/>
                    <w:left w:val="none" w:sz="0" w:space="0" w:color="auto"/>
                    <w:bottom w:val="none" w:sz="0" w:space="0" w:color="auto"/>
                    <w:right w:val="none" w:sz="0" w:space="0" w:color="auto"/>
                  </w:divBdr>
                </w:div>
              </w:divsChild>
            </w:div>
            <w:div w:id="1950116888">
              <w:marLeft w:val="0"/>
              <w:marRight w:val="150"/>
              <w:marTop w:val="0"/>
              <w:marBottom w:val="0"/>
              <w:divBdr>
                <w:top w:val="none" w:sz="0" w:space="0" w:color="auto"/>
                <w:left w:val="none" w:sz="0" w:space="0" w:color="auto"/>
                <w:bottom w:val="none" w:sz="0" w:space="0" w:color="auto"/>
                <w:right w:val="none" w:sz="0" w:space="0" w:color="auto"/>
              </w:divBdr>
              <w:divsChild>
                <w:div w:id="560336857">
                  <w:marLeft w:val="0"/>
                  <w:marRight w:val="0"/>
                  <w:marTop w:val="0"/>
                  <w:marBottom w:val="0"/>
                  <w:divBdr>
                    <w:top w:val="none" w:sz="0" w:space="0" w:color="auto"/>
                    <w:left w:val="none" w:sz="0" w:space="0" w:color="auto"/>
                    <w:bottom w:val="none" w:sz="0" w:space="0" w:color="auto"/>
                    <w:right w:val="none" w:sz="0" w:space="0" w:color="auto"/>
                  </w:divBdr>
                  <w:divsChild>
                    <w:div w:id="432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0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1429">
          <w:marLeft w:val="0"/>
          <w:marRight w:val="0"/>
          <w:marTop w:val="0"/>
          <w:marBottom w:val="0"/>
          <w:divBdr>
            <w:top w:val="none" w:sz="0" w:space="0" w:color="auto"/>
            <w:left w:val="none" w:sz="0" w:space="0" w:color="auto"/>
            <w:bottom w:val="none" w:sz="0" w:space="0" w:color="auto"/>
            <w:right w:val="none" w:sz="0" w:space="0" w:color="auto"/>
          </w:divBdr>
        </w:div>
        <w:div w:id="2046830775">
          <w:marLeft w:val="0"/>
          <w:marRight w:val="0"/>
          <w:marTop w:val="0"/>
          <w:marBottom w:val="0"/>
          <w:divBdr>
            <w:top w:val="none" w:sz="0" w:space="0" w:color="auto"/>
            <w:left w:val="none" w:sz="0" w:space="0" w:color="auto"/>
            <w:bottom w:val="none" w:sz="0" w:space="0" w:color="auto"/>
            <w:right w:val="none" w:sz="0" w:space="0" w:color="auto"/>
          </w:divBdr>
        </w:div>
      </w:divsChild>
    </w:div>
    <w:div w:id="2138641989">
      <w:bodyDiv w:val="1"/>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972516331">
              <w:marLeft w:val="0"/>
              <w:marRight w:val="0"/>
              <w:marTop w:val="0"/>
              <w:marBottom w:val="0"/>
              <w:divBdr>
                <w:top w:val="none" w:sz="0" w:space="0" w:color="auto"/>
                <w:left w:val="none" w:sz="0" w:space="0" w:color="auto"/>
                <w:bottom w:val="none" w:sz="0" w:space="0" w:color="auto"/>
                <w:right w:val="none" w:sz="0" w:space="0" w:color="auto"/>
              </w:divBdr>
              <w:divsChild>
                <w:div w:id="1904638657">
                  <w:marLeft w:val="0"/>
                  <w:marRight w:val="0"/>
                  <w:marTop w:val="0"/>
                  <w:marBottom w:val="0"/>
                  <w:divBdr>
                    <w:top w:val="none" w:sz="0" w:space="0" w:color="auto"/>
                    <w:left w:val="none" w:sz="0" w:space="0" w:color="auto"/>
                    <w:bottom w:val="none" w:sz="0" w:space="0" w:color="auto"/>
                    <w:right w:val="none" w:sz="0" w:space="0" w:color="auto"/>
                  </w:divBdr>
                  <w:divsChild>
                    <w:div w:id="117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C2A685D9C7FF45833C8F78EF8D2F70" ma:contentTypeVersion="10" ma:contentTypeDescription="Een nieuw document maken." ma:contentTypeScope="" ma:versionID="171c713060f3628c684876130977d78b">
  <xsd:schema xmlns:xsd="http://www.w3.org/2001/XMLSchema" xmlns:xs="http://www.w3.org/2001/XMLSchema" xmlns:p="http://schemas.microsoft.com/office/2006/metadata/properties" xmlns:ns2="5dfd7062-dda4-406d-ad8a-d9ad79a66ed1" targetNamespace="http://schemas.microsoft.com/office/2006/metadata/properties" ma:root="true" ma:fieldsID="0f503bf6b2634ea71cf8fe42a900bfc5" ns2:_="">
    <xsd:import namespace="5dfd7062-dda4-406d-ad8a-d9ad79a66e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d7062-dda4-406d-ad8a-d9ad79a66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F14D1-5208-460D-8975-EEC518E83C5E}">
  <ds:schemaRefs>
    <ds:schemaRef ds:uri="http://schemas.microsoft.com/office/2006/metadata/longProperties"/>
  </ds:schemaRefs>
</ds:datastoreItem>
</file>

<file path=customXml/itemProps2.xml><?xml version="1.0" encoding="utf-8"?>
<ds:datastoreItem xmlns:ds="http://schemas.openxmlformats.org/officeDocument/2006/customXml" ds:itemID="{4FCB2A25-143B-4C00-AFEE-83A41EF50B51}">
  <ds:schemaRefs>
    <ds:schemaRef ds:uri="http://schemas.openxmlformats.org/officeDocument/2006/bibliography"/>
  </ds:schemaRefs>
</ds:datastoreItem>
</file>

<file path=customXml/itemProps3.xml><?xml version="1.0" encoding="utf-8"?>
<ds:datastoreItem xmlns:ds="http://schemas.openxmlformats.org/officeDocument/2006/customXml" ds:itemID="{0CE44FB7-F515-4264-B5B2-51101AC88538}">
  <ds:schemaRefs>
    <ds:schemaRef ds:uri="5dfd7062-dda4-406d-ad8a-d9ad79a66ed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5757788F-00D6-4EF7-96FC-A67FA4E8D914}">
  <ds:schemaRefs>
    <ds:schemaRef ds:uri="http://schemas.microsoft.com/sharepoint/v3/contenttype/forms"/>
  </ds:schemaRefs>
</ds:datastoreItem>
</file>

<file path=customXml/itemProps5.xml><?xml version="1.0" encoding="utf-8"?>
<ds:datastoreItem xmlns:ds="http://schemas.openxmlformats.org/officeDocument/2006/customXml" ds:itemID="{F1F31DB0-1E11-48B5-BA4C-EE26BF8E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d7062-dda4-406d-ad8a-d9ad79a66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7205</Words>
  <Characters>38293</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2021 Budget Memorandum Special</vt:lpstr>
    </vt:vector>
  </TitlesOfParts>
  <Company/>
  <LinksUpToDate>false</LinksUpToDate>
  <CharactersWithSpaces>45408</CharactersWithSpaces>
  <SharedDoc>false</SharedDoc>
  <HyperlinkBase/>
  <HLinks>
    <vt:vector size="48" baseType="variant">
      <vt:variant>
        <vt:i4>1310768</vt:i4>
      </vt:variant>
      <vt:variant>
        <vt:i4>44</vt:i4>
      </vt:variant>
      <vt:variant>
        <vt:i4>0</vt:i4>
      </vt:variant>
      <vt:variant>
        <vt:i4>5</vt:i4>
      </vt:variant>
      <vt:variant>
        <vt:lpwstr/>
      </vt:variant>
      <vt:variant>
        <vt:lpwstr>_Toc19654738</vt:lpwstr>
      </vt:variant>
      <vt:variant>
        <vt:i4>1769520</vt:i4>
      </vt:variant>
      <vt:variant>
        <vt:i4>38</vt:i4>
      </vt:variant>
      <vt:variant>
        <vt:i4>0</vt:i4>
      </vt:variant>
      <vt:variant>
        <vt:i4>5</vt:i4>
      </vt:variant>
      <vt:variant>
        <vt:lpwstr/>
      </vt:variant>
      <vt:variant>
        <vt:lpwstr>_Toc19654737</vt:lpwstr>
      </vt:variant>
      <vt:variant>
        <vt:i4>1703984</vt:i4>
      </vt:variant>
      <vt:variant>
        <vt:i4>32</vt:i4>
      </vt:variant>
      <vt:variant>
        <vt:i4>0</vt:i4>
      </vt:variant>
      <vt:variant>
        <vt:i4>5</vt:i4>
      </vt:variant>
      <vt:variant>
        <vt:lpwstr/>
      </vt:variant>
      <vt:variant>
        <vt:lpwstr>_Toc19654736</vt:lpwstr>
      </vt:variant>
      <vt:variant>
        <vt:i4>1638448</vt:i4>
      </vt:variant>
      <vt:variant>
        <vt:i4>26</vt:i4>
      </vt:variant>
      <vt:variant>
        <vt:i4>0</vt:i4>
      </vt:variant>
      <vt:variant>
        <vt:i4>5</vt:i4>
      </vt:variant>
      <vt:variant>
        <vt:lpwstr/>
      </vt:variant>
      <vt:variant>
        <vt:lpwstr>_Toc19654735</vt:lpwstr>
      </vt:variant>
      <vt:variant>
        <vt:i4>1572912</vt:i4>
      </vt:variant>
      <vt:variant>
        <vt:i4>20</vt:i4>
      </vt:variant>
      <vt:variant>
        <vt:i4>0</vt:i4>
      </vt:variant>
      <vt:variant>
        <vt:i4>5</vt:i4>
      </vt:variant>
      <vt:variant>
        <vt:lpwstr/>
      </vt:variant>
      <vt:variant>
        <vt:lpwstr>_Toc19654734</vt:lpwstr>
      </vt:variant>
      <vt:variant>
        <vt:i4>2031664</vt:i4>
      </vt:variant>
      <vt:variant>
        <vt:i4>14</vt:i4>
      </vt:variant>
      <vt:variant>
        <vt:i4>0</vt:i4>
      </vt:variant>
      <vt:variant>
        <vt:i4>5</vt:i4>
      </vt:variant>
      <vt:variant>
        <vt:lpwstr/>
      </vt:variant>
      <vt:variant>
        <vt:lpwstr>_Toc19654733</vt:lpwstr>
      </vt:variant>
      <vt:variant>
        <vt:i4>1966128</vt:i4>
      </vt:variant>
      <vt:variant>
        <vt:i4>8</vt:i4>
      </vt:variant>
      <vt:variant>
        <vt:i4>0</vt:i4>
      </vt:variant>
      <vt:variant>
        <vt:i4>5</vt:i4>
      </vt:variant>
      <vt:variant>
        <vt:lpwstr/>
      </vt:variant>
      <vt:variant>
        <vt:lpwstr>_Toc19654732</vt:lpwstr>
      </vt:variant>
      <vt:variant>
        <vt:i4>1900592</vt:i4>
      </vt:variant>
      <vt:variant>
        <vt:i4>2</vt:i4>
      </vt:variant>
      <vt:variant>
        <vt:i4>0</vt:i4>
      </vt:variant>
      <vt:variant>
        <vt:i4>5</vt:i4>
      </vt:variant>
      <vt:variant>
        <vt:lpwstr/>
      </vt:variant>
      <vt:variant>
        <vt:lpwstr>_Toc19654731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Budget Memorandum Special</dc:title>
  <dc:subject/>
  <dc:creator>SRA</dc:creator>
  <cp:keywords/>
  <cp:lastModifiedBy>Jennifer van Schijndel | SRA</cp:lastModifiedBy>
  <cp:revision>3</cp:revision>
  <cp:lastPrinted>2018-09-19T09:26:00Z</cp:lastPrinted>
  <dcterms:created xsi:type="dcterms:W3CDTF">2020-09-23T09:22:00Z</dcterms:created>
  <dcterms:modified xsi:type="dcterms:W3CDTF">2020-09-23T09:22:00Z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DocumentTypeTaxHTField0">
    <vt:lpwstr/>
  </property>
  <property fmtid="{D5CDD505-2E9C-101B-9397-08002B2CF9AE}" pid="3" name="eCSection">
    <vt:lpwstr/>
  </property>
  <property fmtid="{D5CDD505-2E9C-101B-9397-08002B2CF9AE}" pid="4" name="TaxCatchAll">
    <vt:lpwstr/>
  </property>
  <property fmtid="{D5CDD505-2E9C-101B-9397-08002B2CF9AE}" pid="5" name="TaxKeywordTaxHTField">
    <vt:lpwstr/>
  </property>
  <property fmtid="{D5CDD505-2E9C-101B-9397-08002B2CF9AE}" pid="6" name="ContentTypeId">
    <vt:lpwstr>0x010100ABC2A685D9C7FF45833C8F78EF8D2F70</vt:lpwstr>
  </property>
  <property fmtid="{D5CDD505-2E9C-101B-9397-08002B2CF9AE}" pid="7" name="eCDocumentType">
    <vt:lpwstr/>
  </property>
  <property fmtid="{D5CDD505-2E9C-101B-9397-08002B2CF9AE}" pid="8" name="TaxKeyword">
    <vt:lpwstr/>
  </property>
</Properties>
</file>