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5D347" w14:textId="3A6C9DA6" w:rsidR="008658F9" w:rsidRPr="008D49E6" w:rsidRDefault="00B22B9E" w:rsidP="00582842">
      <w:pPr>
        <w:rPr>
          <w:rFonts w:ascii="Arial" w:hAnsi="Arial" w:cs="Arial"/>
          <w:b/>
          <w:sz w:val="32"/>
          <w:szCs w:val="32"/>
          <w:lang w:val="en-GB"/>
        </w:rPr>
      </w:pPr>
      <w:bookmarkStart w:id="0" w:name="_Toc492295218"/>
      <w:bookmarkStart w:id="1" w:name="_Toc240939915"/>
      <w:r>
        <w:rPr>
          <w:rFonts w:ascii="Arial" w:hAnsi="Arial" w:cs="Arial"/>
          <w:b/>
          <w:bCs/>
          <w:sz w:val="32"/>
          <w:szCs w:val="32"/>
          <w:lang w:val="en-GB"/>
        </w:rPr>
        <w:t>Wages Special 2019</w:t>
      </w:r>
      <w:bookmarkEnd w:id="0"/>
    </w:p>
    <w:p w14:paraId="5CE6F041" w14:textId="77777777" w:rsidR="008658F9" w:rsidRPr="008D49E6" w:rsidRDefault="008658F9" w:rsidP="00D209BD">
      <w:pPr>
        <w:rPr>
          <w:rFonts w:ascii="Arial" w:hAnsi="Arial" w:cs="Arial"/>
          <w:sz w:val="20"/>
          <w:szCs w:val="20"/>
          <w:lang w:val="en-GB"/>
        </w:rPr>
      </w:pPr>
    </w:p>
    <w:p w14:paraId="56D8B4EC" w14:textId="77777777" w:rsidR="00322AD9" w:rsidRPr="008D49E6" w:rsidRDefault="00322AD9" w:rsidP="00322AD9">
      <w:pPr>
        <w:rPr>
          <w:rFonts w:ascii="Arial" w:hAnsi="Arial" w:cs="Arial"/>
          <w:noProof/>
          <w:sz w:val="20"/>
          <w:szCs w:val="20"/>
          <w:lang w:val="en-GB"/>
        </w:rPr>
      </w:pPr>
      <w:r>
        <w:rPr>
          <w:rFonts w:ascii="Arial" w:hAnsi="Arial" w:cs="Arial"/>
          <w:noProof/>
          <w:sz w:val="20"/>
          <w:szCs w:val="20"/>
          <w:lang w:val="en-GB"/>
        </w:rPr>
        <w:t>This Wages Special 2019 is a practical reference for you as an employer, HR employee or HR consultant.</w:t>
      </w:r>
    </w:p>
    <w:p w14:paraId="52A1A0E4" w14:textId="77777777" w:rsidR="00322AD9" w:rsidRPr="008D49E6" w:rsidRDefault="00322AD9" w:rsidP="00322AD9">
      <w:pPr>
        <w:rPr>
          <w:rFonts w:ascii="Arial" w:hAnsi="Arial" w:cs="Arial"/>
          <w:b/>
          <w:noProof/>
          <w:sz w:val="20"/>
          <w:szCs w:val="20"/>
          <w:lang w:val="en-GB"/>
        </w:rPr>
      </w:pPr>
    </w:p>
    <w:p w14:paraId="1DA63EE5" w14:textId="77777777" w:rsidR="00322AD9" w:rsidRPr="008D49E6" w:rsidRDefault="00322AD9" w:rsidP="00322AD9">
      <w:pPr>
        <w:rPr>
          <w:rFonts w:ascii="Arial" w:hAnsi="Arial" w:cs="Arial"/>
          <w:noProof/>
          <w:sz w:val="20"/>
          <w:szCs w:val="20"/>
          <w:lang w:val="en-GB"/>
        </w:rPr>
      </w:pPr>
      <w:r>
        <w:rPr>
          <w:rFonts w:ascii="Arial" w:hAnsi="Arial" w:cs="Arial"/>
          <w:noProof/>
          <w:sz w:val="20"/>
          <w:szCs w:val="20"/>
          <w:lang w:val="en-GB"/>
        </w:rPr>
        <w:t>This publication sets out the latest key figures, including minimum wage, premium percentages for employee insurance, income-related contributions for Zvw, the Unemployment Act (WW) sector premium and labour rebates, and customary wage for DGAs (Director/Shareholders).</w:t>
      </w:r>
    </w:p>
    <w:p w14:paraId="4805A6B0" w14:textId="77777777" w:rsidR="00322AD9" w:rsidRPr="008D49E6" w:rsidRDefault="00322AD9" w:rsidP="00322AD9">
      <w:pPr>
        <w:rPr>
          <w:rFonts w:ascii="Arial" w:hAnsi="Arial" w:cs="Arial"/>
          <w:noProof/>
          <w:sz w:val="20"/>
          <w:szCs w:val="20"/>
          <w:lang w:val="en-GB"/>
        </w:rPr>
      </w:pPr>
    </w:p>
    <w:p w14:paraId="0DC79888" w14:textId="77777777" w:rsidR="00322AD9" w:rsidRPr="008D49E6" w:rsidRDefault="00322AD9" w:rsidP="00322AD9">
      <w:pPr>
        <w:rPr>
          <w:rFonts w:ascii="Arial" w:hAnsi="Arial" w:cs="Arial"/>
          <w:sz w:val="20"/>
          <w:lang w:val="en-GB"/>
        </w:rPr>
      </w:pPr>
      <w:r>
        <w:rPr>
          <w:rFonts w:ascii="Arial" w:hAnsi="Arial" w:cs="Arial"/>
          <w:sz w:val="20"/>
          <w:lang w:val="en-GB"/>
        </w:rPr>
        <w:t>Also, the Special offers the latest key figures and information regarding addition to income for company cars, company bicycles, the volunteering scheme, WBSO and the transition allowance.</w:t>
      </w:r>
    </w:p>
    <w:p w14:paraId="7AEA49AD" w14:textId="77777777" w:rsidR="00E2132E" w:rsidRPr="008D49E6" w:rsidRDefault="00E2132E" w:rsidP="004C7AA5">
      <w:pPr>
        <w:rPr>
          <w:rFonts w:ascii="Arial" w:hAnsi="Arial" w:cs="Arial"/>
          <w:sz w:val="20"/>
          <w:szCs w:val="20"/>
          <w:lang w:val="en-GB"/>
        </w:rPr>
      </w:pPr>
    </w:p>
    <w:p w14:paraId="6A74B7A7" w14:textId="77777777" w:rsidR="007164CA" w:rsidRDefault="00F272F4">
      <w:pPr>
        <w:pStyle w:val="Inhopg1"/>
        <w:tabs>
          <w:tab w:val="left" w:pos="480"/>
        </w:tabs>
      </w:pPr>
      <w:r>
        <w:rPr>
          <w:bCs/>
          <w:sz w:val="20"/>
          <w:szCs w:val="20"/>
          <w:lang w:val="en-GB"/>
        </w:rPr>
        <w:t>Table of Contents</w:t>
      </w:r>
      <w:r>
        <w:rPr>
          <w:b w:val="0"/>
          <w:sz w:val="20"/>
          <w:szCs w:val="20"/>
          <w:lang w:val="en-GB"/>
        </w:rPr>
        <w:br/>
      </w:r>
      <w:r>
        <w:rPr>
          <w:b w:val="0"/>
          <w:sz w:val="20"/>
          <w:szCs w:val="20"/>
          <w:lang w:val="en-GB"/>
        </w:rPr>
        <w:fldChar w:fldCharType="begin"/>
      </w:r>
      <w:r>
        <w:rPr>
          <w:sz w:val="20"/>
          <w:szCs w:val="20"/>
        </w:rPr>
        <w:instrText xml:space="preserve"> TOC \o "1-3" \h \z \u </w:instrText>
      </w:r>
      <w:r>
        <w:rPr>
          <w:sz w:val="20"/>
          <w:szCs w:val="20"/>
        </w:rPr>
        <w:fldChar w:fldCharType="separate"/>
      </w:r>
    </w:p>
    <w:p w14:paraId="1AB665B3" w14:textId="77777777" w:rsidR="007164CA" w:rsidRDefault="007164CA">
      <w:pPr>
        <w:pStyle w:val="Inhopg1"/>
        <w:tabs>
          <w:tab w:val="left" w:pos="480"/>
        </w:tabs>
        <w:rPr>
          <w:rFonts w:asciiTheme="minorHAnsi" w:eastAsiaTheme="minorEastAsia" w:hAnsiTheme="minorHAnsi" w:cstheme="minorBidi"/>
          <w:b w:val="0"/>
          <w:sz w:val="22"/>
          <w:szCs w:val="22"/>
        </w:rPr>
      </w:pPr>
      <w:hyperlink w:anchor="_Toc536010190" w:history="1">
        <w:r w:rsidRPr="00900022">
          <w:rPr>
            <w:rStyle w:val="Hyperlink"/>
            <w:lang w:val="en-GB"/>
          </w:rPr>
          <w:t>1</w:t>
        </w:r>
        <w:r>
          <w:rPr>
            <w:rFonts w:asciiTheme="minorHAnsi" w:eastAsiaTheme="minorEastAsia" w:hAnsiTheme="minorHAnsi" w:cstheme="minorBidi"/>
            <w:b w:val="0"/>
            <w:sz w:val="22"/>
            <w:szCs w:val="22"/>
          </w:rPr>
          <w:tab/>
        </w:r>
        <w:r w:rsidRPr="00900022">
          <w:rPr>
            <w:rStyle w:val="Hyperlink"/>
            <w:lang w:val="en-GB"/>
          </w:rPr>
          <w:t>Various withholding taxes and social insurance contributions</w:t>
        </w:r>
        <w:r>
          <w:rPr>
            <w:webHidden/>
          </w:rPr>
          <w:tab/>
        </w:r>
        <w:r>
          <w:rPr>
            <w:webHidden/>
          </w:rPr>
          <w:fldChar w:fldCharType="begin"/>
        </w:r>
        <w:r>
          <w:rPr>
            <w:webHidden/>
          </w:rPr>
          <w:instrText xml:space="preserve"> PAGEREF _Toc536010190 \h </w:instrText>
        </w:r>
        <w:r>
          <w:rPr>
            <w:webHidden/>
          </w:rPr>
        </w:r>
        <w:r>
          <w:rPr>
            <w:webHidden/>
          </w:rPr>
          <w:fldChar w:fldCharType="separate"/>
        </w:r>
        <w:r>
          <w:rPr>
            <w:webHidden/>
          </w:rPr>
          <w:t>3</w:t>
        </w:r>
        <w:r>
          <w:rPr>
            <w:webHidden/>
          </w:rPr>
          <w:fldChar w:fldCharType="end"/>
        </w:r>
      </w:hyperlink>
    </w:p>
    <w:p w14:paraId="62684A4F" w14:textId="77777777" w:rsidR="007164CA" w:rsidRDefault="007164CA">
      <w:pPr>
        <w:pStyle w:val="Inhopg2"/>
        <w:tabs>
          <w:tab w:val="left" w:pos="880"/>
          <w:tab w:val="right" w:leader="dot" w:pos="9062"/>
        </w:tabs>
        <w:rPr>
          <w:rFonts w:asciiTheme="minorHAnsi" w:eastAsiaTheme="minorEastAsia" w:hAnsiTheme="minorHAnsi" w:cstheme="minorBidi"/>
          <w:noProof/>
          <w:szCs w:val="22"/>
        </w:rPr>
      </w:pPr>
      <w:hyperlink w:anchor="_Toc536010191" w:history="1">
        <w:r w:rsidRPr="00900022">
          <w:rPr>
            <w:rStyle w:val="Hyperlink"/>
            <w:rFonts w:eastAsia="Calibri"/>
            <w:noProof/>
          </w:rPr>
          <w:t>1.1</w:t>
        </w:r>
        <w:r>
          <w:rPr>
            <w:rFonts w:asciiTheme="minorHAnsi" w:eastAsiaTheme="minorEastAsia" w:hAnsiTheme="minorHAnsi" w:cstheme="minorBidi"/>
            <w:noProof/>
            <w:szCs w:val="22"/>
          </w:rPr>
          <w:tab/>
        </w:r>
        <w:r w:rsidRPr="00900022">
          <w:rPr>
            <w:rStyle w:val="Hyperlink"/>
            <w:rFonts w:eastAsia="Calibri"/>
            <w:bCs/>
            <w:noProof/>
            <w:lang w:val="en-GB"/>
          </w:rPr>
          <w:t>Changes to income tax</w:t>
        </w:r>
        <w:r>
          <w:rPr>
            <w:noProof/>
            <w:webHidden/>
          </w:rPr>
          <w:tab/>
        </w:r>
        <w:r>
          <w:rPr>
            <w:noProof/>
            <w:webHidden/>
          </w:rPr>
          <w:fldChar w:fldCharType="begin"/>
        </w:r>
        <w:r>
          <w:rPr>
            <w:noProof/>
            <w:webHidden/>
          </w:rPr>
          <w:instrText xml:space="preserve"> PAGEREF _Toc536010191 \h </w:instrText>
        </w:r>
        <w:r>
          <w:rPr>
            <w:noProof/>
            <w:webHidden/>
          </w:rPr>
        </w:r>
        <w:r>
          <w:rPr>
            <w:noProof/>
            <w:webHidden/>
          </w:rPr>
          <w:fldChar w:fldCharType="separate"/>
        </w:r>
        <w:r>
          <w:rPr>
            <w:noProof/>
            <w:webHidden/>
          </w:rPr>
          <w:t>3</w:t>
        </w:r>
        <w:r>
          <w:rPr>
            <w:noProof/>
            <w:webHidden/>
          </w:rPr>
          <w:fldChar w:fldCharType="end"/>
        </w:r>
      </w:hyperlink>
    </w:p>
    <w:p w14:paraId="55F7A113" w14:textId="77777777" w:rsidR="007164CA" w:rsidRDefault="007164CA">
      <w:pPr>
        <w:pStyle w:val="Inhopg2"/>
        <w:tabs>
          <w:tab w:val="left" w:pos="880"/>
          <w:tab w:val="right" w:leader="dot" w:pos="9062"/>
        </w:tabs>
        <w:rPr>
          <w:rFonts w:asciiTheme="minorHAnsi" w:eastAsiaTheme="minorEastAsia" w:hAnsiTheme="minorHAnsi" w:cstheme="minorBidi"/>
          <w:noProof/>
          <w:szCs w:val="22"/>
        </w:rPr>
      </w:pPr>
      <w:hyperlink w:anchor="_Toc536010192" w:history="1">
        <w:r w:rsidRPr="00900022">
          <w:rPr>
            <w:rStyle w:val="Hyperlink"/>
            <w:rFonts w:eastAsia="Calibri"/>
            <w:noProof/>
            <w:lang w:val="en-GB"/>
          </w:rPr>
          <w:t>1.2</w:t>
        </w:r>
        <w:r>
          <w:rPr>
            <w:rFonts w:asciiTheme="minorHAnsi" w:eastAsiaTheme="minorEastAsia" w:hAnsiTheme="minorHAnsi" w:cstheme="minorBidi"/>
            <w:noProof/>
            <w:szCs w:val="22"/>
          </w:rPr>
          <w:tab/>
        </w:r>
        <w:r w:rsidRPr="00900022">
          <w:rPr>
            <w:rStyle w:val="Hyperlink"/>
            <w:rFonts w:eastAsia="Calibri"/>
            <w:bCs/>
            <w:noProof/>
            <w:lang w:val="en-GB"/>
          </w:rPr>
          <w:t>Minimum wage up slightly in 2019</w:t>
        </w:r>
        <w:r>
          <w:rPr>
            <w:noProof/>
            <w:webHidden/>
          </w:rPr>
          <w:tab/>
        </w:r>
        <w:r>
          <w:rPr>
            <w:noProof/>
            <w:webHidden/>
          </w:rPr>
          <w:fldChar w:fldCharType="begin"/>
        </w:r>
        <w:r>
          <w:rPr>
            <w:noProof/>
            <w:webHidden/>
          </w:rPr>
          <w:instrText xml:space="preserve"> PAGEREF _Toc536010192 \h </w:instrText>
        </w:r>
        <w:r>
          <w:rPr>
            <w:noProof/>
            <w:webHidden/>
          </w:rPr>
        </w:r>
        <w:r>
          <w:rPr>
            <w:noProof/>
            <w:webHidden/>
          </w:rPr>
          <w:fldChar w:fldCharType="separate"/>
        </w:r>
        <w:r>
          <w:rPr>
            <w:noProof/>
            <w:webHidden/>
          </w:rPr>
          <w:t>3</w:t>
        </w:r>
        <w:r>
          <w:rPr>
            <w:noProof/>
            <w:webHidden/>
          </w:rPr>
          <w:fldChar w:fldCharType="end"/>
        </w:r>
      </w:hyperlink>
    </w:p>
    <w:p w14:paraId="17EB30B8" w14:textId="77777777" w:rsidR="007164CA" w:rsidRDefault="007164CA">
      <w:pPr>
        <w:pStyle w:val="Inhopg2"/>
        <w:tabs>
          <w:tab w:val="left" w:pos="880"/>
          <w:tab w:val="right" w:leader="dot" w:pos="9062"/>
        </w:tabs>
        <w:rPr>
          <w:rFonts w:asciiTheme="minorHAnsi" w:eastAsiaTheme="minorEastAsia" w:hAnsiTheme="minorHAnsi" w:cstheme="minorBidi"/>
          <w:noProof/>
          <w:szCs w:val="22"/>
        </w:rPr>
      </w:pPr>
      <w:hyperlink w:anchor="_Toc536010193" w:history="1">
        <w:r w:rsidRPr="00900022">
          <w:rPr>
            <w:rStyle w:val="Hyperlink"/>
            <w:rFonts w:eastAsia="Calibri"/>
            <w:noProof/>
          </w:rPr>
          <w:t>1.3</w:t>
        </w:r>
        <w:r>
          <w:rPr>
            <w:rFonts w:asciiTheme="minorHAnsi" w:eastAsiaTheme="minorEastAsia" w:hAnsiTheme="minorHAnsi" w:cstheme="minorBidi"/>
            <w:noProof/>
            <w:szCs w:val="22"/>
          </w:rPr>
          <w:tab/>
        </w:r>
        <w:r w:rsidRPr="00900022">
          <w:rPr>
            <w:rStyle w:val="Hyperlink"/>
            <w:rFonts w:eastAsia="Calibri"/>
            <w:bCs/>
            <w:noProof/>
            <w:lang w:val="en-GB"/>
          </w:rPr>
          <w:t>2019 premium rates employee insurance</w:t>
        </w:r>
        <w:r>
          <w:rPr>
            <w:noProof/>
            <w:webHidden/>
          </w:rPr>
          <w:tab/>
        </w:r>
        <w:r>
          <w:rPr>
            <w:noProof/>
            <w:webHidden/>
          </w:rPr>
          <w:fldChar w:fldCharType="begin"/>
        </w:r>
        <w:r>
          <w:rPr>
            <w:noProof/>
            <w:webHidden/>
          </w:rPr>
          <w:instrText xml:space="preserve"> PAGEREF _Toc536010193 \h </w:instrText>
        </w:r>
        <w:r>
          <w:rPr>
            <w:noProof/>
            <w:webHidden/>
          </w:rPr>
        </w:r>
        <w:r>
          <w:rPr>
            <w:noProof/>
            <w:webHidden/>
          </w:rPr>
          <w:fldChar w:fldCharType="separate"/>
        </w:r>
        <w:r>
          <w:rPr>
            <w:noProof/>
            <w:webHidden/>
          </w:rPr>
          <w:t>4</w:t>
        </w:r>
        <w:r>
          <w:rPr>
            <w:noProof/>
            <w:webHidden/>
          </w:rPr>
          <w:fldChar w:fldCharType="end"/>
        </w:r>
      </w:hyperlink>
    </w:p>
    <w:p w14:paraId="34B8BC04" w14:textId="77777777" w:rsidR="007164CA" w:rsidRDefault="007164CA">
      <w:pPr>
        <w:pStyle w:val="Inhopg2"/>
        <w:tabs>
          <w:tab w:val="left" w:pos="880"/>
          <w:tab w:val="right" w:leader="dot" w:pos="9062"/>
        </w:tabs>
        <w:rPr>
          <w:rFonts w:asciiTheme="minorHAnsi" w:eastAsiaTheme="minorEastAsia" w:hAnsiTheme="minorHAnsi" w:cstheme="minorBidi"/>
          <w:noProof/>
          <w:szCs w:val="22"/>
        </w:rPr>
      </w:pPr>
      <w:hyperlink w:anchor="_Toc536010194" w:history="1">
        <w:r w:rsidRPr="00900022">
          <w:rPr>
            <w:rStyle w:val="Hyperlink"/>
            <w:rFonts w:eastAsia="Calibri"/>
            <w:noProof/>
            <w:lang w:val="en-GB"/>
          </w:rPr>
          <w:t>1.4</w:t>
        </w:r>
        <w:r>
          <w:rPr>
            <w:rFonts w:asciiTheme="minorHAnsi" w:eastAsiaTheme="minorEastAsia" w:hAnsiTheme="minorHAnsi" w:cstheme="minorBidi"/>
            <w:noProof/>
            <w:szCs w:val="22"/>
          </w:rPr>
          <w:tab/>
        </w:r>
        <w:r w:rsidRPr="00900022">
          <w:rPr>
            <w:rStyle w:val="Hyperlink"/>
            <w:rFonts w:eastAsia="Calibri"/>
            <w:bCs/>
            <w:noProof/>
            <w:lang w:val="en-GB"/>
          </w:rPr>
          <w:t>Premium rates income-related contribution Zvw 2019</w:t>
        </w:r>
        <w:r>
          <w:rPr>
            <w:noProof/>
            <w:webHidden/>
          </w:rPr>
          <w:tab/>
        </w:r>
        <w:r>
          <w:rPr>
            <w:noProof/>
            <w:webHidden/>
          </w:rPr>
          <w:fldChar w:fldCharType="begin"/>
        </w:r>
        <w:r>
          <w:rPr>
            <w:noProof/>
            <w:webHidden/>
          </w:rPr>
          <w:instrText xml:space="preserve"> PAGEREF _Toc536010194 \h </w:instrText>
        </w:r>
        <w:r>
          <w:rPr>
            <w:noProof/>
            <w:webHidden/>
          </w:rPr>
        </w:r>
        <w:r>
          <w:rPr>
            <w:noProof/>
            <w:webHidden/>
          </w:rPr>
          <w:fldChar w:fldCharType="separate"/>
        </w:r>
        <w:r>
          <w:rPr>
            <w:noProof/>
            <w:webHidden/>
          </w:rPr>
          <w:t>5</w:t>
        </w:r>
        <w:r>
          <w:rPr>
            <w:noProof/>
            <w:webHidden/>
          </w:rPr>
          <w:fldChar w:fldCharType="end"/>
        </w:r>
      </w:hyperlink>
    </w:p>
    <w:p w14:paraId="2E11AFA2" w14:textId="77777777" w:rsidR="007164CA" w:rsidRDefault="007164CA">
      <w:pPr>
        <w:pStyle w:val="Inhopg2"/>
        <w:tabs>
          <w:tab w:val="left" w:pos="880"/>
          <w:tab w:val="right" w:leader="dot" w:pos="9062"/>
        </w:tabs>
        <w:rPr>
          <w:rFonts w:asciiTheme="minorHAnsi" w:eastAsiaTheme="minorEastAsia" w:hAnsiTheme="minorHAnsi" w:cstheme="minorBidi"/>
          <w:noProof/>
          <w:szCs w:val="22"/>
        </w:rPr>
      </w:pPr>
      <w:hyperlink w:anchor="_Toc536010195" w:history="1">
        <w:r w:rsidRPr="00900022">
          <w:rPr>
            <w:rStyle w:val="Hyperlink"/>
            <w:rFonts w:eastAsia="Calibri"/>
            <w:noProof/>
          </w:rPr>
          <w:t>1.5</w:t>
        </w:r>
        <w:r>
          <w:rPr>
            <w:rFonts w:asciiTheme="minorHAnsi" w:eastAsiaTheme="minorEastAsia" w:hAnsiTheme="minorHAnsi" w:cstheme="minorBidi"/>
            <w:noProof/>
            <w:szCs w:val="22"/>
          </w:rPr>
          <w:tab/>
        </w:r>
        <w:r w:rsidRPr="00900022">
          <w:rPr>
            <w:rStyle w:val="Hyperlink"/>
            <w:rFonts w:eastAsia="Calibri"/>
            <w:bCs/>
            <w:noProof/>
            <w:lang w:val="en-GB"/>
          </w:rPr>
          <w:t>Developments WW sector premium</w:t>
        </w:r>
        <w:r>
          <w:rPr>
            <w:noProof/>
            <w:webHidden/>
          </w:rPr>
          <w:tab/>
        </w:r>
        <w:r>
          <w:rPr>
            <w:noProof/>
            <w:webHidden/>
          </w:rPr>
          <w:fldChar w:fldCharType="begin"/>
        </w:r>
        <w:r>
          <w:rPr>
            <w:noProof/>
            <w:webHidden/>
          </w:rPr>
          <w:instrText xml:space="preserve"> PAGEREF _Toc536010195 \h </w:instrText>
        </w:r>
        <w:r>
          <w:rPr>
            <w:noProof/>
            <w:webHidden/>
          </w:rPr>
        </w:r>
        <w:r>
          <w:rPr>
            <w:noProof/>
            <w:webHidden/>
          </w:rPr>
          <w:fldChar w:fldCharType="separate"/>
        </w:r>
        <w:r>
          <w:rPr>
            <w:noProof/>
            <w:webHidden/>
          </w:rPr>
          <w:t>5</w:t>
        </w:r>
        <w:r>
          <w:rPr>
            <w:noProof/>
            <w:webHidden/>
          </w:rPr>
          <w:fldChar w:fldCharType="end"/>
        </w:r>
      </w:hyperlink>
    </w:p>
    <w:p w14:paraId="778BACF2" w14:textId="77777777" w:rsidR="007164CA" w:rsidRDefault="007164CA">
      <w:pPr>
        <w:pStyle w:val="Inhopg2"/>
        <w:tabs>
          <w:tab w:val="left" w:pos="880"/>
          <w:tab w:val="right" w:leader="dot" w:pos="9062"/>
        </w:tabs>
        <w:rPr>
          <w:rFonts w:asciiTheme="minorHAnsi" w:eastAsiaTheme="minorEastAsia" w:hAnsiTheme="minorHAnsi" w:cstheme="minorBidi"/>
          <w:noProof/>
          <w:szCs w:val="22"/>
        </w:rPr>
      </w:pPr>
      <w:hyperlink w:anchor="_Toc536010196" w:history="1">
        <w:r w:rsidRPr="00900022">
          <w:rPr>
            <w:rStyle w:val="Hyperlink"/>
            <w:rFonts w:eastAsia="Calibri"/>
            <w:noProof/>
            <w:lang w:val="en-GB"/>
          </w:rPr>
          <w:t>1.6</w:t>
        </w:r>
        <w:r>
          <w:rPr>
            <w:rFonts w:asciiTheme="minorHAnsi" w:eastAsiaTheme="minorEastAsia" w:hAnsiTheme="minorHAnsi" w:cstheme="minorBidi"/>
            <w:noProof/>
            <w:szCs w:val="22"/>
          </w:rPr>
          <w:tab/>
        </w:r>
        <w:r w:rsidRPr="00900022">
          <w:rPr>
            <w:rStyle w:val="Hyperlink"/>
            <w:rFonts w:eastAsia="Calibri"/>
            <w:bCs/>
            <w:noProof/>
            <w:lang w:val="en-GB"/>
          </w:rPr>
          <w:t>Income tax credit for foreign employees</w:t>
        </w:r>
        <w:r>
          <w:rPr>
            <w:noProof/>
            <w:webHidden/>
          </w:rPr>
          <w:tab/>
        </w:r>
        <w:r>
          <w:rPr>
            <w:noProof/>
            <w:webHidden/>
          </w:rPr>
          <w:fldChar w:fldCharType="begin"/>
        </w:r>
        <w:r>
          <w:rPr>
            <w:noProof/>
            <w:webHidden/>
          </w:rPr>
          <w:instrText xml:space="preserve"> PAGEREF _Toc536010196 \h </w:instrText>
        </w:r>
        <w:r>
          <w:rPr>
            <w:noProof/>
            <w:webHidden/>
          </w:rPr>
        </w:r>
        <w:r>
          <w:rPr>
            <w:noProof/>
            <w:webHidden/>
          </w:rPr>
          <w:fldChar w:fldCharType="separate"/>
        </w:r>
        <w:r>
          <w:rPr>
            <w:noProof/>
            <w:webHidden/>
          </w:rPr>
          <w:t>6</w:t>
        </w:r>
        <w:r>
          <w:rPr>
            <w:noProof/>
            <w:webHidden/>
          </w:rPr>
          <w:fldChar w:fldCharType="end"/>
        </w:r>
      </w:hyperlink>
    </w:p>
    <w:p w14:paraId="4476AA9D" w14:textId="77777777" w:rsidR="007164CA" w:rsidRDefault="007164CA">
      <w:pPr>
        <w:pStyle w:val="Inhopg3"/>
        <w:rPr>
          <w:rFonts w:asciiTheme="minorHAnsi" w:eastAsiaTheme="minorEastAsia" w:hAnsiTheme="minorHAnsi" w:cstheme="minorBidi"/>
          <w:szCs w:val="22"/>
        </w:rPr>
      </w:pPr>
      <w:hyperlink w:anchor="_Toc536010197" w:history="1">
        <w:r w:rsidRPr="00900022">
          <w:rPr>
            <w:rStyle w:val="Hyperlink"/>
            <w:rFonts w:eastAsia="Calibri"/>
          </w:rPr>
          <w:t>1.6.1</w:t>
        </w:r>
        <w:r>
          <w:rPr>
            <w:rFonts w:asciiTheme="minorHAnsi" w:eastAsiaTheme="minorEastAsia" w:hAnsiTheme="minorHAnsi" w:cstheme="minorBidi"/>
            <w:szCs w:val="22"/>
          </w:rPr>
          <w:tab/>
        </w:r>
        <w:r w:rsidRPr="00900022">
          <w:rPr>
            <w:rStyle w:val="Hyperlink"/>
            <w:lang w:val="en-GB"/>
          </w:rPr>
          <w:t>Taxed portion labour rebate</w:t>
        </w:r>
        <w:r>
          <w:rPr>
            <w:webHidden/>
          </w:rPr>
          <w:tab/>
        </w:r>
        <w:r>
          <w:rPr>
            <w:webHidden/>
          </w:rPr>
          <w:fldChar w:fldCharType="begin"/>
        </w:r>
        <w:r>
          <w:rPr>
            <w:webHidden/>
          </w:rPr>
          <w:instrText xml:space="preserve"> PAGEREF _Toc536010197 \h </w:instrText>
        </w:r>
        <w:r>
          <w:rPr>
            <w:webHidden/>
          </w:rPr>
        </w:r>
        <w:r>
          <w:rPr>
            <w:webHidden/>
          </w:rPr>
          <w:fldChar w:fldCharType="separate"/>
        </w:r>
        <w:r>
          <w:rPr>
            <w:webHidden/>
          </w:rPr>
          <w:t>6</w:t>
        </w:r>
        <w:r>
          <w:rPr>
            <w:webHidden/>
          </w:rPr>
          <w:fldChar w:fldCharType="end"/>
        </w:r>
      </w:hyperlink>
    </w:p>
    <w:p w14:paraId="177C15B1" w14:textId="77777777" w:rsidR="007164CA" w:rsidRDefault="007164CA">
      <w:pPr>
        <w:pStyle w:val="Inhopg3"/>
        <w:rPr>
          <w:rFonts w:asciiTheme="minorHAnsi" w:eastAsiaTheme="minorEastAsia" w:hAnsiTheme="minorHAnsi" w:cstheme="minorBidi"/>
          <w:szCs w:val="22"/>
        </w:rPr>
      </w:pPr>
      <w:hyperlink w:anchor="_Toc536010198" w:history="1">
        <w:r w:rsidRPr="00900022">
          <w:rPr>
            <w:rStyle w:val="Hyperlink"/>
          </w:rPr>
          <w:t>1.6.2</w:t>
        </w:r>
        <w:r>
          <w:rPr>
            <w:rFonts w:asciiTheme="minorHAnsi" w:eastAsiaTheme="minorEastAsia" w:hAnsiTheme="minorHAnsi" w:cstheme="minorBidi"/>
            <w:szCs w:val="22"/>
          </w:rPr>
          <w:tab/>
        </w:r>
        <w:r w:rsidRPr="00900022">
          <w:rPr>
            <w:rStyle w:val="Hyperlink"/>
            <w:lang w:val="en-GB"/>
          </w:rPr>
          <w:t>Taxed portion general tax credit</w:t>
        </w:r>
        <w:r>
          <w:rPr>
            <w:webHidden/>
          </w:rPr>
          <w:tab/>
        </w:r>
        <w:r>
          <w:rPr>
            <w:webHidden/>
          </w:rPr>
          <w:fldChar w:fldCharType="begin"/>
        </w:r>
        <w:r>
          <w:rPr>
            <w:webHidden/>
          </w:rPr>
          <w:instrText xml:space="preserve"> PAGEREF _Toc536010198 \h </w:instrText>
        </w:r>
        <w:r>
          <w:rPr>
            <w:webHidden/>
          </w:rPr>
        </w:r>
        <w:r>
          <w:rPr>
            <w:webHidden/>
          </w:rPr>
          <w:fldChar w:fldCharType="separate"/>
        </w:r>
        <w:r>
          <w:rPr>
            <w:webHidden/>
          </w:rPr>
          <w:t>6</w:t>
        </w:r>
        <w:r>
          <w:rPr>
            <w:webHidden/>
          </w:rPr>
          <w:fldChar w:fldCharType="end"/>
        </w:r>
      </w:hyperlink>
    </w:p>
    <w:p w14:paraId="0E58D3D0" w14:textId="77777777" w:rsidR="007164CA" w:rsidRDefault="007164CA">
      <w:pPr>
        <w:pStyle w:val="Inhopg3"/>
        <w:rPr>
          <w:rFonts w:asciiTheme="minorHAnsi" w:eastAsiaTheme="minorEastAsia" w:hAnsiTheme="minorHAnsi" w:cstheme="minorBidi"/>
          <w:szCs w:val="22"/>
        </w:rPr>
      </w:pPr>
      <w:hyperlink w:anchor="_Toc536010199" w:history="1">
        <w:r w:rsidRPr="00900022">
          <w:rPr>
            <w:rStyle w:val="Hyperlink"/>
          </w:rPr>
          <w:t>1.6.3</w:t>
        </w:r>
        <w:r>
          <w:rPr>
            <w:rFonts w:asciiTheme="minorHAnsi" w:eastAsiaTheme="minorEastAsia" w:hAnsiTheme="minorHAnsi" w:cstheme="minorBidi"/>
            <w:szCs w:val="22"/>
          </w:rPr>
          <w:tab/>
        </w:r>
        <w:r w:rsidRPr="00900022">
          <w:rPr>
            <w:rStyle w:val="Hyperlink"/>
            <w:lang w:val="en-GB"/>
          </w:rPr>
          <w:t>Three white tables</w:t>
        </w:r>
        <w:r>
          <w:rPr>
            <w:webHidden/>
          </w:rPr>
          <w:tab/>
        </w:r>
        <w:r>
          <w:rPr>
            <w:webHidden/>
          </w:rPr>
          <w:fldChar w:fldCharType="begin"/>
        </w:r>
        <w:r>
          <w:rPr>
            <w:webHidden/>
          </w:rPr>
          <w:instrText xml:space="preserve"> PAGEREF _Toc536010199 \h </w:instrText>
        </w:r>
        <w:r>
          <w:rPr>
            <w:webHidden/>
          </w:rPr>
        </w:r>
        <w:r>
          <w:rPr>
            <w:webHidden/>
          </w:rPr>
          <w:fldChar w:fldCharType="separate"/>
        </w:r>
        <w:r>
          <w:rPr>
            <w:webHidden/>
          </w:rPr>
          <w:t>6</w:t>
        </w:r>
        <w:r>
          <w:rPr>
            <w:webHidden/>
          </w:rPr>
          <w:fldChar w:fldCharType="end"/>
        </w:r>
      </w:hyperlink>
    </w:p>
    <w:p w14:paraId="00C281FF" w14:textId="77777777" w:rsidR="007164CA" w:rsidRDefault="007164CA">
      <w:pPr>
        <w:pStyle w:val="Inhopg3"/>
        <w:rPr>
          <w:rFonts w:asciiTheme="minorHAnsi" w:eastAsiaTheme="minorEastAsia" w:hAnsiTheme="minorHAnsi" w:cstheme="minorBidi"/>
          <w:szCs w:val="22"/>
        </w:rPr>
      </w:pPr>
      <w:hyperlink w:anchor="_Toc536010200" w:history="1">
        <w:r w:rsidRPr="00900022">
          <w:rPr>
            <w:rStyle w:val="Hyperlink"/>
          </w:rPr>
          <w:t>1.6.4</w:t>
        </w:r>
        <w:r>
          <w:rPr>
            <w:rFonts w:asciiTheme="minorHAnsi" w:eastAsiaTheme="minorEastAsia" w:hAnsiTheme="minorHAnsi" w:cstheme="minorBidi"/>
            <w:szCs w:val="22"/>
          </w:rPr>
          <w:tab/>
        </w:r>
        <w:r w:rsidRPr="00900022">
          <w:rPr>
            <w:rStyle w:val="Hyperlink"/>
            <w:lang w:val="en-GB"/>
          </w:rPr>
          <w:t>Residence and anonymous rate</w:t>
        </w:r>
        <w:r>
          <w:rPr>
            <w:webHidden/>
          </w:rPr>
          <w:tab/>
        </w:r>
        <w:r>
          <w:rPr>
            <w:webHidden/>
          </w:rPr>
          <w:fldChar w:fldCharType="begin"/>
        </w:r>
        <w:r>
          <w:rPr>
            <w:webHidden/>
          </w:rPr>
          <w:instrText xml:space="preserve"> PAGEREF _Toc536010200 \h </w:instrText>
        </w:r>
        <w:r>
          <w:rPr>
            <w:webHidden/>
          </w:rPr>
        </w:r>
        <w:r>
          <w:rPr>
            <w:webHidden/>
          </w:rPr>
          <w:fldChar w:fldCharType="separate"/>
        </w:r>
        <w:r>
          <w:rPr>
            <w:webHidden/>
          </w:rPr>
          <w:t>7</w:t>
        </w:r>
        <w:r>
          <w:rPr>
            <w:webHidden/>
          </w:rPr>
          <w:fldChar w:fldCharType="end"/>
        </w:r>
      </w:hyperlink>
    </w:p>
    <w:p w14:paraId="4101C64A" w14:textId="77777777" w:rsidR="007164CA" w:rsidRDefault="007164CA">
      <w:pPr>
        <w:pStyle w:val="Inhopg3"/>
        <w:rPr>
          <w:rFonts w:asciiTheme="minorHAnsi" w:eastAsiaTheme="minorEastAsia" w:hAnsiTheme="minorHAnsi" w:cstheme="minorBidi"/>
          <w:szCs w:val="22"/>
        </w:rPr>
      </w:pPr>
      <w:hyperlink w:anchor="_Toc536010201" w:history="1">
        <w:r w:rsidRPr="00900022">
          <w:rPr>
            <w:rStyle w:val="Hyperlink"/>
            <w:rFonts w:eastAsia="Calibri"/>
            <w:lang w:val="en-GB"/>
          </w:rPr>
          <w:t>1.6.5</w:t>
        </w:r>
        <w:r>
          <w:rPr>
            <w:rFonts w:asciiTheme="minorHAnsi" w:eastAsiaTheme="minorEastAsia" w:hAnsiTheme="minorHAnsi" w:cstheme="minorBidi"/>
            <w:szCs w:val="22"/>
          </w:rPr>
          <w:tab/>
        </w:r>
        <w:r w:rsidRPr="00900022">
          <w:rPr>
            <w:rStyle w:val="Hyperlink"/>
            <w:rFonts w:eastAsia="Calibri"/>
            <w:lang w:val="en-GB"/>
          </w:rPr>
          <w:t>Exception for employees from Belgium, Suriname, Aruba and the Dutch Antilles</w:t>
        </w:r>
        <w:r>
          <w:rPr>
            <w:webHidden/>
          </w:rPr>
          <w:tab/>
        </w:r>
        <w:r>
          <w:rPr>
            <w:webHidden/>
          </w:rPr>
          <w:fldChar w:fldCharType="begin"/>
        </w:r>
        <w:r>
          <w:rPr>
            <w:webHidden/>
          </w:rPr>
          <w:instrText xml:space="preserve"> PAGEREF _Toc536010201 \h </w:instrText>
        </w:r>
        <w:r>
          <w:rPr>
            <w:webHidden/>
          </w:rPr>
        </w:r>
        <w:r>
          <w:rPr>
            <w:webHidden/>
          </w:rPr>
          <w:fldChar w:fldCharType="separate"/>
        </w:r>
        <w:r>
          <w:rPr>
            <w:webHidden/>
          </w:rPr>
          <w:t>7</w:t>
        </w:r>
        <w:r>
          <w:rPr>
            <w:webHidden/>
          </w:rPr>
          <w:fldChar w:fldCharType="end"/>
        </w:r>
      </w:hyperlink>
    </w:p>
    <w:p w14:paraId="7C20D6A1" w14:textId="77777777" w:rsidR="007164CA" w:rsidRDefault="007164CA">
      <w:pPr>
        <w:pStyle w:val="Inhopg2"/>
        <w:tabs>
          <w:tab w:val="left" w:pos="880"/>
          <w:tab w:val="right" w:leader="dot" w:pos="9062"/>
        </w:tabs>
        <w:rPr>
          <w:rFonts w:asciiTheme="minorHAnsi" w:eastAsiaTheme="minorEastAsia" w:hAnsiTheme="minorHAnsi" w:cstheme="minorBidi"/>
          <w:noProof/>
          <w:szCs w:val="22"/>
        </w:rPr>
      </w:pPr>
      <w:hyperlink w:anchor="_Toc536010202" w:history="1">
        <w:r w:rsidRPr="00900022">
          <w:rPr>
            <w:rStyle w:val="Hyperlink"/>
            <w:rFonts w:eastAsia="Calibri"/>
            <w:noProof/>
          </w:rPr>
          <w:t>1.7</w:t>
        </w:r>
        <w:r>
          <w:rPr>
            <w:rFonts w:asciiTheme="minorHAnsi" w:eastAsiaTheme="minorEastAsia" w:hAnsiTheme="minorHAnsi" w:cstheme="minorBidi"/>
            <w:noProof/>
            <w:szCs w:val="22"/>
          </w:rPr>
          <w:tab/>
        </w:r>
        <w:r w:rsidRPr="00900022">
          <w:rPr>
            <w:rStyle w:val="Hyperlink"/>
            <w:rFonts w:eastAsia="Calibri"/>
            <w:bCs/>
            <w:noProof/>
            <w:lang w:val="en-GB"/>
          </w:rPr>
          <w:t>30% scheme</w:t>
        </w:r>
        <w:r>
          <w:rPr>
            <w:noProof/>
            <w:webHidden/>
          </w:rPr>
          <w:tab/>
        </w:r>
        <w:r>
          <w:rPr>
            <w:noProof/>
            <w:webHidden/>
          </w:rPr>
          <w:fldChar w:fldCharType="begin"/>
        </w:r>
        <w:r>
          <w:rPr>
            <w:noProof/>
            <w:webHidden/>
          </w:rPr>
          <w:instrText xml:space="preserve"> PAGEREF _Toc536010202 \h </w:instrText>
        </w:r>
        <w:r>
          <w:rPr>
            <w:noProof/>
            <w:webHidden/>
          </w:rPr>
        </w:r>
        <w:r>
          <w:rPr>
            <w:noProof/>
            <w:webHidden/>
          </w:rPr>
          <w:fldChar w:fldCharType="separate"/>
        </w:r>
        <w:r>
          <w:rPr>
            <w:noProof/>
            <w:webHidden/>
          </w:rPr>
          <w:t>7</w:t>
        </w:r>
        <w:r>
          <w:rPr>
            <w:noProof/>
            <w:webHidden/>
          </w:rPr>
          <w:fldChar w:fldCharType="end"/>
        </w:r>
      </w:hyperlink>
    </w:p>
    <w:p w14:paraId="12D6CA50" w14:textId="77777777" w:rsidR="007164CA" w:rsidRDefault="007164CA">
      <w:pPr>
        <w:pStyle w:val="Inhopg2"/>
        <w:tabs>
          <w:tab w:val="left" w:pos="880"/>
          <w:tab w:val="right" w:leader="dot" w:pos="9062"/>
        </w:tabs>
        <w:rPr>
          <w:rFonts w:asciiTheme="minorHAnsi" w:eastAsiaTheme="minorEastAsia" w:hAnsiTheme="minorHAnsi" w:cstheme="minorBidi"/>
          <w:noProof/>
          <w:szCs w:val="22"/>
        </w:rPr>
      </w:pPr>
      <w:hyperlink w:anchor="_Toc536010203" w:history="1">
        <w:r w:rsidRPr="00900022">
          <w:rPr>
            <w:rStyle w:val="Hyperlink"/>
            <w:rFonts w:eastAsia="Calibri"/>
            <w:noProof/>
            <w:lang w:val="en-GB"/>
          </w:rPr>
          <w:t>1.8</w:t>
        </w:r>
        <w:r>
          <w:rPr>
            <w:rFonts w:asciiTheme="minorHAnsi" w:eastAsiaTheme="minorEastAsia" w:hAnsiTheme="minorHAnsi" w:cstheme="minorBidi"/>
            <w:noProof/>
            <w:szCs w:val="22"/>
          </w:rPr>
          <w:tab/>
        </w:r>
        <w:r w:rsidRPr="00900022">
          <w:rPr>
            <w:rStyle w:val="Hyperlink"/>
            <w:rFonts w:eastAsia="Calibri"/>
            <w:bCs/>
            <w:noProof/>
            <w:lang w:val="en-GB"/>
          </w:rPr>
          <w:t>Allowance for foreign business travel up</w:t>
        </w:r>
        <w:r>
          <w:rPr>
            <w:noProof/>
            <w:webHidden/>
          </w:rPr>
          <w:tab/>
        </w:r>
        <w:r>
          <w:rPr>
            <w:noProof/>
            <w:webHidden/>
          </w:rPr>
          <w:fldChar w:fldCharType="begin"/>
        </w:r>
        <w:r>
          <w:rPr>
            <w:noProof/>
            <w:webHidden/>
          </w:rPr>
          <w:instrText xml:space="preserve"> PAGEREF _Toc536010203 \h </w:instrText>
        </w:r>
        <w:r>
          <w:rPr>
            <w:noProof/>
            <w:webHidden/>
          </w:rPr>
        </w:r>
        <w:r>
          <w:rPr>
            <w:noProof/>
            <w:webHidden/>
          </w:rPr>
          <w:fldChar w:fldCharType="separate"/>
        </w:r>
        <w:r>
          <w:rPr>
            <w:noProof/>
            <w:webHidden/>
          </w:rPr>
          <w:t>8</w:t>
        </w:r>
        <w:r>
          <w:rPr>
            <w:noProof/>
            <w:webHidden/>
          </w:rPr>
          <w:fldChar w:fldCharType="end"/>
        </w:r>
      </w:hyperlink>
    </w:p>
    <w:p w14:paraId="551C2139" w14:textId="77777777" w:rsidR="007164CA" w:rsidRDefault="007164CA">
      <w:pPr>
        <w:pStyle w:val="Inhopg2"/>
        <w:tabs>
          <w:tab w:val="left" w:pos="880"/>
          <w:tab w:val="right" w:leader="dot" w:pos="9062"/>
        </w:tabs>
        <w:rPr>
          <w:rFonts w:asciiTheme="minorHAnsi" w:eastAsiaTheme="minorEastAsia" w:hAnsiTheme="minorHAnsi" w:cstheme="minorBidi"/>
          <w:noProof/>
          <w:szCs w:val="22"/>
        </w:rPr>
      </w:pPr>
      <w:hyperlink w:anchor="_Toc536010204" w:history="1">
        <w:r w:rsidRPr="00900022">
          <w:rPr>
            <w:rStyle w:val="Hyperlink"/>
            <w:rFonts w:eastAsia="Calibri"/>
            <w:noProof/>
            <w:lang w:val="en-GB"/>
          </w:rPr>
          <w:t>1.9</w:t>
        </w:r>
        <w:r>
          <w:rPr>
            <w:rFonts w:asciiTheme="minorHAnsi" w:eastAsiaTheme="minorEastAsia" w:hAnsiTheme="minorHAnsi" w:cstheme="minorBidi"/>
            <w:noProof/>
            <w:szCs w:val="22"/>
          </w:rPr>
          <w:tab/>
        </w:r>
        <w:r w:rsidRPr="00900022">
          <w:rPr>
            <w:rStyle w:val="Hyperlink"/>
            <w:rFonts w:eastAsia="Calibri"/>
            <w:bCs/>
            <w:noProof/>
            <w:lang w:val="en-GB"/>
          </w:rPr>
          <w:t>Practice-based learning subsidy scheme extended to 2023</w:t>
        </w:r>
        <w:r>
          <w:rPr>
            <w:noProof/>
            <w:webHidden/>
          </w:rPr>
          <w:tab/>
        </w:r>
        <w:r>
          <w:rPr>
            <w:noProof/>
            <w:webHidden/>
          </w:rPr>
          <w:fldChar w:fldCharType="begin"/>
        </w:r>
        <w:r>
          <w:rPr>
            <w:noProof/>
            <w:webHidden/>
          </w:rPr>
          <w:instrText xml:space="preserve"> PAGEREF _Toc536010204 \h </w:instrText>
        </w:r>
        <w:r>
          <w:rPr>
            <w:noProof/>
            <w:webHidden/>
          </w:rPr>
        </w:r>
        <w:r>
          <w:rPr>
            <w:noProof/>
            <w:webHidden/>
          </w:rPr>
          <w:fldChar w:fldCharType="separate"/>
        </w:r>
        <w:r>
          <w:rPr>
            <w:noProof/>
            <w:webHidden/>
          </w:rPr>
          <w:t>9</w:t>
        </w:r>
        <w:r>
          <w:rPr>
            <w:noProof/>
            <w:webHidden/>
          </w:rPr>
          <w:fldChar w:fldCharType="end"/>
        </w:r>
      </w:hyperlink>
    </w:p>
    <w:p w14:paraId="33337075" w14:textId="77777777" w:rsidR="007164CA" w:rsidRDefault="007164CA">
      <w:pPr>
        <w:pStyle w:val="Inhopg2"/>
        <w:tabs>
          <w:tab w:val="left" w:pos="1100"/>
          <w:tab w:val="right" w:leader="dot" w:pos="9062"/>
        </w:tabs>
        <w:rPr>
          <w:rFonts w:asciiTheme="minorHAnsi" w:eastAsiaTheme="minorEastAsia" w:hAnsiTheme="minorHAnsi" w:cstheme="minorBidi"/>
          <w:noProof/>
          <w:szCs w:val="22"/>
        </w:rPr>
      </w:pPr>
      <w:hyperlink w:anchor="_Toc536010205" w:history="1">
        <w:r w:rsidRPr="00900022">
          <w:rPr>
            <w:rStyle w:val="Hyperlink"/>
            <w:rFonts w:eastAsia="Calibri"/>
            <w:noProof/>
          </w:rPr>
          <w:t>1.10</w:t>
        </w:r>
        <w:r>
          <w:rPr>
            <w:rFonts w:asciiTheme="minorHAnsi" w:eastAsiaTheme="minorEastAsia" w:hAnsiTheme="minorHAnsi" w:cstheme="minorBidi"/>
            <w:noProof/>
            <w:szCs w:val="22"/>
          </w:rPr>
          <w:tab/>
        </w:r>
        <w:r w:rsidRPr="00900022">
          <w:rPr>
            <w:rStyle w:val="Hyperlink"/>
            <w:rFonts w:eastAsia="Calibri"/>
            <w:bCs/>
            <w:noProof/>
            <w:lang w:val="en-GB"/>
          </w:rPr>
          <w:t>WBSO rate up in 2019</w:t>
        </w:r>
        <w:r>
          <w:rPr>
            <w:noProof/>
            <w:webHidden/>
          </w:rPr>
          <w:tab/>
        </w:r>
        <w:r>
          <w:rPr>
            <w:noProof/>
            <w:webHidden/>
          </w:rPr>
          <w:fldChar w:fldCharType="begin"/>
        </w:r>
        <w:r>
          <w:rPr>
            <w:noProof/>
            <w:webHidden/>
          </w:rPr>
          <w:instrText xml:space="preserve"> PAGEREF _Toc536010205 \h </w:instrText>
        </w:r>
        <w:r>
          <w:rPr>
            <w:noProof/>
            <w:webHidden/>
          </w:rPr>
        </w:r>
        <w:r>
          <w:rPr>
            <w:noProof/>
            <w:webHidden/>
          </w:rPr>
          <w:fldChar w:fldCharType="separate"/>
        </w:r>
        <w:r>
          <w:rPr>
            <w:noProof/>
            <w:webHidden/>
          </w:rPr>
          <w:t>9</w:t>
        </w:r>
        <w:r>
          <w:rPr>
            <w:noProof/>
            <w:webHidden/>
          </w:rPr>
          <w:fldChar w:fldCharType="end"/>
        </w:r>
      </w:hyperlink>
    </w:p>
    <w:p w14:paraId="576E0FCB" w14:textId="77777777" w:rsidR="007164CA" w:rsidRDefault="007164CA">
      <w:pPr>
        <w:pStyle w:val="Inhopg2"/>
        <w:tabs>
          <w:tab w:val="left" w:pos="1100"/>
          <w:tab w:val="right" w:leader="dot" w:pos="9062"/>
        </w:tabs>
        <w:rPr>
          <w:rFonts w:asciiTheme="minorHAnsi" w:eastAsiaTheme="minorEastAsia" w:hAnsiTheme="minorHAnsi" w:cstheme="minorBidi"/>
          <w:noProof/>
          <w:szCs w:val="22"/>
        </w:rPr>
      </w:pPr>
      <w:hyperlink w:anchor="_Toc536010206" w:history="1">
        <w:r w:rsidRPr="00900022">
          <w:rPr>
            <w:rStyle w:val="Hyperlink"/>
            <w:rFonts w:eastAsia="Calibri"/>
            <w:noProof/>
          </w:rPr>
          <w:t>1.11</w:t>
        </w:r>
        <w:r>
          <w:rPr>
            <w:rFonts w:asciiTheme="minorHAnsi" w:eastAsiaTheme="minorEastAsia" w:hAnsiTheme="minorHAnsi" w:cstheme="minorBidi"/>
            <w:noProof/>
            <w:szCs w:val="22"/>
          </w:rPr>
          <w:tab/>
        </w:r>
        <w:r w:rsidRPr="00900022">
          <w:rPr>
            <w:rStyle w:val="Hyperlink"/>
            <w:rFonts w:eastAsia="Calibri"/>
            <w:bCs/>
            <w:noProof/>
            <w:lang w:val="en-GB"/>
          </w:rPr>
          <w:t>Volunteering scheme 2019</w:t>
        </w:r>
        <w:r>
          <w:rPr>
            <w:noProof/>
            <w:webHidden/>
          </w:rPr>
          <w:tab/>
        </w:r>
        <w:r>
          <w:rPr>
            <w:noProof/>
            <w:webHidden/>
          </w:rPr>
          <w:fldChar w:fldCharType="begin"/>
        </w:r>
        <w:r>
          <w:rPr>
            <w:noProof/>
            <w:webHidden/>
          </w:rPr>
          <w:instrText xml:space="preserve"> PAGEREF _Toc536010206 \h </w:instrText>
        </w:r>
        <w:r>
          <w:rPr>
            <w:noProof/>
            <w:webHidden/>
          </w:rPr>
        </w:r>
        <w:r>
          <w:rPr>
            <w:noProof/>
            <w:webHidden/>
          </w:rPr>
          <w:fldChar w:fldCharType="separate"/>
        </w:r>
        <w:r>
          <w:rPr>
            <w:noProof/>
            <w:webHidden/>
          </w:rPr>
          <w:t>9</w:t>
        </w:r>
        <w:r>
          <w:rPr>
            <w:noProof/>
            <w:webHidden/>
          </w:rPr>
          <w:fldChar w:fldCharType="end"/>
        </w:r>
      </w:hyperlink>
    </w:p>
    <w:p w14:paraId="3460D00A" w14:textId="77777777" w:rsidR="007164CA" w:rsidRDefault="007164CA">
      <w:pPr>
        <w:pStyle w:val="Inhopg2"/>
        <w:tabs>
          <w:tab w:val="left" w:pos="1100"/>
          <w:tab w:val="right" w:leader="dot" w:pos="9062"/>
        </w:tabs>
        <w:rPr>
          <w:rFonts w:asciiTheme="minorHAnsi" w:eastAsiaTheme="minorEastAsia" w:hAnsiTheme="minorHAnsi" w:cstheme="minorBidi"/>
          <w:noProof/>
          <w:szCs w:val="22"/>
        </w:rPr>
      </w:pPr>
      <w:hyperlink w:anchor="_Toc536010207" w:history="1">
        <w:r w:rsidRPr="00900022">
          <w:rPr>
            <w:rStyle w:val="Hyperlink"/>
            <w:rFonts w:eastAsia="Calibri"/>
            <w:noProof/>
          </w:rPr>
          <w:t>1.12</w:t>
        </w:r>
        <w:r>
          <w:rPr>
            <w:rFonts w:asciiTheme="minorHAnsi" w:eastAsiaTheme="minorEastAsia" w:hAnsiTheme="minorHAnsi" w:cstheme="minorBidi"/>
            <w:noProof/>
            <w:szCs w:val="22"/>
          </w:rPr>
          <w:tab/>
        </w:r>
        <w:r w:rsidRPr="00900022">
          <w:rPr>
            <w:rStyle w:val="Hyperlink"/>
            <w:rFonts w:eastAsia="Calibri"/>
            <w:bCs/>
            <w:noProof/>
            <w:lang w:val="en-GB"/>
          </w:rPr>
          <w:t>Company bicycle</w:t>
        </w:r>
        <w:r>
          <w:rPr>
            <w:noProof/>
            <w:webHidden/>
          </w:rPr>
          <w:tab/>
        </w:r>
        <w:r>
          <w:rPr>
            <w:noProof/>
            <w:webHidden/>
          </w:rPr>
          <w:fldChar w:fldCharType="begin"/>
        </w:r>
        <w:r>
          <w:rPr>
            <w:noProof/>
            <w:webHidden/>
          </w:rPr>
          <w:instrText xml:space="preserve"> PAGEREF _Toc536010207 \h </w:instrText>
        </w:r>
        <w:r>
          <w:rPr>
            <w:noProof/>
            <w:webHidden/>
          </w:rPr>
        </w:r>
        <w:r>
          <w:rPr>
            <w:noProof/>
            <w:webHidden/>
          </w:rPr>
          <w:fldChar w:fldCharType="separate"/>
        </w:r>
        <w:r>
          <w:rPr>
            <w:noProof/>
            <w:webHidden/>
          </w:rPr>
          <w:t>10</w:t>
        </w:r>
        <w:r>
          <w:rPr>
            <w:noProof/>
            <w:webHidden/>
          </w:rPr>
          <w:fldChar w:fldCharType="end"/>
        </w:r>
      </w:hyperlink>
    </w:p>
    <w:p w14:paraId="0119DBB0" w14:textId="77777777" w:rsidR="007164CA" w:rsidRDefault="007164CA">
      <w:pPr>
        <w:pStyle w:val="Inhopg2"/>
        <w:tabs>
          <w:tab w:val="left" w:pos="1100"/>
          <w:tab w:val="right" w:leader="dot" w:pos="9062"/>
        </w:tabs>
        <w:rPr>
          <w:rFonts w:asciiTheme="minorHAnsi" w:eastAsiaTheme="minorEastAsia" w:hAnsiTheme="minorHAnsi" w:cstheme="minorBidi"/>
          <w:noProof/>
          <w:szCs w:val="22"/>
        </w:rPr>
      </w:pPr>
      <w:hyperlink w:anchor="_Toc536010208" w:history="1">
        <w:r w:rsidRPr="00900022">
          <w:rPr>
            <w:rStyle w:val="Hyperlink"/>
            <w:noProof/>
            <w:lang w:val="en-GB"/>
          </w:rPr>
          <w:t>1.13</w:t>
        </w:r>
        <w:r>
          <w:rPr>
            <w:rFonts w:asciiTheme="minorHAnsi" w:eastAsiaTheme="minorEastAsia" w:hAnsiTheme="minorHAnsi" w:cstheme="minorBidi"/>
            <w:noProof/>
            <w:szCs w:val="22"/>
          </w:rPr>
          <w:tab/>
        </w:r>
        <w:r w:rsidRPr="00900022">
          <w:rPr>
            <w:rStyle w:val="Hyperlink"/>
            <w:bCs/>
            <w:noProof/>
            <w:lang w:val="en-GB"/>
          </w:rPr>
          <w:t>VAT application on temporary workers has changed</w:t>
        </w:r>
        <w:r>
          <w:rPr>
            <w:noProof/>
            <w:webHidden/>
          </w:rPr>
          <w:tab/>
        </w:r>
        <w:r>
          <w:rPr>
            <w:noProof/>
            <w:webHidden/>
          </w:rPr>
          <w:fldChar w:fldCharType="begin"/>
        </w:r>
        <w:r>
          <w:rPr>
            <w:noProof/>
            <w:webHidden/>
          </w:rPr>
          <w:instrText xml:space="preserve"> PAGEREF _Toc536010208 \h </w:instrText>
        </w:r>
        <w:r>
          <w:rPr>
            <w:noProof/>
            <w:webHidden/>
          </w:rPr>
        </w:r>
        <w:r>
          <w:rPr>
            <w:noProof/>
            <w:webHidden/>
          </w:rPr>
          <w:fldChar w:fldCharType="separate"/>
        </w:r>
        <w:r>
          <w:rPr>
            <w:noProof/>
            <w:webHidden/>
          </w:rPr>
          <w:t>10</w:t>
        </w:r>
        <w:r>
          <w:rPr>
            <w:noProof/>
            <w:webHidden/>
          </w:rPr>
          <w:fldChar w:fldCharType="end"/>
        </w:r>
      </w:hyperlink>
    </w:p>
    <w:p w14:paraId="580DB06C" w14:textId="77777777" w:rsidR="007164CA" w:rsidRDefault="007164CA">
      <w:pPr>
        <w:pStyle w:val="Inhopg2"/>
        <w:tabs>
          <w:tab w:val="left" w:pos="1100"/>
          <w:tab w:val="right" w:leader="dot" w:pos="9062"/>
        </w:tabs>
        <w:rPr>
          <w:rFonts w:asciiTheme="minorHAnsi" w:eastAsiaTheme="minorEastAsia" w:hAnsiTheme="minorHAnsi" w:cstheme="minorBidi"/>
          <w:noProof/>
          <w:szCs w:val="22"/>
        </w:rPr>
      </w:pPr>
      <w:hyperlink w:anchor="_Toc536010209" w:history="1">
        <w:r w:rsidRPr="00900022">
          <w:rPr>
            <w:rStyle w:val="Hyperlink"/>
            <w:noProof/>
          </w:rPr>
          <w:t>1.14</w:t>
        </w:r>
        <w:r>
          <w:rPr>
            <w:rFonts w:asciiTheme="minorHAnsi" w:eastAsiaTheme="minorEastAsia" w:hAnsiTheme="minorHAnsi" w:cstheme="minorBidi"/>
            <w:noProof/>
            <w:szCs w:val="22"/>
          </w:rPr>
          <w:tab/>
        </w:r>
        <w:r w:rsidRPr="00900022">
          <w:rPr>
            <w:rStyle w:val="Hyperlink"/>
            <w:bCs/>
            <w:noProof/>
            <w:lang w:val="en-GB"/>
          </w:rPr>
          <w:t>Wkr margin</w:t>
        </w:r>
        <w:r>
          <w:rPr>
            <w:noProof/>
            <w:webHidden/>
          </w:rPr>
          <w:tab/>
        </w:r>
        <w:r>
          <w:rPr>
            <w:noProof/>
            <w:webHidden/>
          </w:rPr>
          <w:fldChar w:fldCharType="begin"/>
        </w:r>
        <w:r>
          <w:rPr>
            <w:noProof/>
            <w:webHidden/>
          </w:rPr>
          <w:instrText xml:space="preserve"> PAGEREF _Toc536010209 \h </w:instrText>
        </w:r>
        <w:r>
          <w:rPr>
            <w:noProof/>
            <w:webHidden/>
          </w:rPr>
        </w:r>
        <w:r>
          <w:rPr>
            <w:noProof/>
            <w:webHidden/>
          </w:rPr>
          <w:fldChar w:fldCharType="separate"/>
        </w:r>
        <w:r>
          <w:rPr>
            <w:noProof/>
            <w:webHidden/>
          </w:rPr>
          <w:t>10</w:t>
        </w:r>
        <w:r>
          <w:rPr>
            <w:noProof/>
            <w:webHidden/>
          </w:rPr>
          <w:fldChar w:fldCharType="end"/>
        </w:r>
      </w:hyperlink>
    </w:p>
    <w:p w14:paraId="20361600" w14:textId="77777777" w:rsidR="007164CA" w:rsidRDefault="007164CA">
      <w:pPr>
        <w:pStyle w:val="Inhopg2"/>
        <w:tabs>
          <w:tab w:val="left" w:pos="1100"/>
          <w:tab w:val="right" w:leader="dot" w:pos="9062"/>
        </w:tabs>
        <w:rPr>
          <w:rFonts w:asciiTheme="minorHAnsi" w:eastAsiaTheme="minorEastAsia" w:hAnsiTheme="minorHAnsi" w:cstheme="minorBidi"/>
          <w:noProof/>
          <w:szCs w:val="22"/>
        </w:rPr>
      </w:pPr>
      <w:hyperlink w:anchor="_Toc536010210" w:history="1">
        <w:r w:rsidRPr="00900022">
          <w:rPr>
            <w:rStyle w:val="Hyperlink"/>
            <w:noProof/>
          </w:rPr>
          <w:t>1.15</w:t>
        </w:r>
        <w:r>
          <w:rPr>
            <w:rFonts w:asciiTheme="minorHAnsi" w:eastAsiaTheme="minorEastAsia" w:hAnsiTheme="minorHAnsi" w:cstheme="minorBidi"/>
            <w:noProof/>
            <w:szCs w:val="22"/>
          </w:rPr>
          <w:tab/>
        </w:r>
        <w:r w:rsidRPr="00900022">
          <w:rPr>
            <w:rStyle w:val="Hyperlink"/>
            <w:bCs/>
            <w:noProof/>
            <w:lang w:val="en-GB"/>
          </w:rPr>
          <w:t>Training deduction 2019</w:t>
        </w:r>
        <w:r>
          <w:rPr>
            <w:noProof/>
            <w:webHidden/>
          </w:rPr>
          <w:tab/>
        </w:r>
        <w:r>
          <w:rPr>
            <w:noProof/>
            <w:webHidden/>
          </w:rPr>
          <w:fldChar w:fldCharType="begin"/>
        </w:r>
        <w:r>
          <w:rPr>
            <w:noProof/>
            <w:webHidden/>
          </w:rPr>
          <w:instrText xml:space="preserve"> PAGEREF _Toc536010210 \h </w:instrText>
        </w:r>
        <w:r>
          <w:rPr>
            <w:noProof/>
            <w:webHidden/>
          </w:rPr>
        </w:r>
        <w:r>
          <w:rPr>
            <w:noProof/>
            <w:webHidden/>
          </w:rPr>
          <w:fldChar w:fldCharType="separate"/>
        </w:r>
        <w:r>
          <w:rPr>
            <w:noProof/>
            <w:webHidden/>
          </w:rPr>
          <w:t>11</w:t>
        </w:r>
        <w:r>
          <w:rPr>
            <w:noProof/>
            <w:webHidden/>
          </w:rPr>
          <w:fldChar w:fldCharType="end"/>
        </w:r>
      </w:hyperlink>
    </w:p>
    <w:p w14:paraId="55F6B91E" w14:textId="77777777" w:rsidR="007164CA" w:rsidRDefault="007164CA">
      <w:pPr>
        <w:pStyle w:val="Inhopg1"/>
        <w:tabs>
          <w:tab w:val="left" w:pos="480"/>
        </w:tabs>
        <w:rPr>
          <w:rFonts w:asciiTheme="minorHAnsi" w:eastAsiaTheme="minorEastAsia" w:hAnsiTheme="minorHAnsi" w:cstheme="minorBidi"/>
          <w:b w:val="0"/>
          <w:sz w:val="22"/>
          <w:szCs w:val="22"/>
        </w:rPr>
      </w:pPr>
      <w:hyperlink w:anchor="_Toc536010211" w:history="1">
        <w:r w:rsidRPr="00900022">
          <w:rPr>
            <w:rStyle w:val="Hyperlink"/>
          </w:rPr>
          <w:t>2</w:t>
        </w:r>
        <w:r>
          <w:rPr>
            <w:rFonts w:asciiTheme="minorHAnsi" w:eastAsiaTheme="minorEastAsia" w:hAnsiTheme="minorHAnsi" w:cstheme="minorBidi"/>
            <w:b w:val="0"/>
            <w:sz w:val="22"/>
            <w:szCs w:val="22"/>
          </w:rPr>
          <w:tab/>
        </w:r>
        <w:r w:rsidRPr="00900022">
          <w:rPr>
            <w:rStyle w:val="Hyperlink"/>
            <w:lang w:val="en-GB"/>
          </w:rPr>
          <w:t>GDPR</w:t>
        </w:r>
        <w:r>
          <w:rPr>
            <w:webHidden/>
          </w:rPr>
          <w:tab/>
        </w:r>
        <w:r>
          <w:rPr>
            <w:webHidden/>
          </w:rPr>
          <w:fldChar w:fldCharType="begin"/>
        </w:r>
        <w:r>
          <w:rPr>
            <w:webHidden/>
          </w:rPr>
          <w:instrText xml:space="preserve"> PAGEREF _Toc536010211 \h </w:instrText>
        </w:r>
        <w:r>
          <w:rPr>
            <w:webHidden/>
          </w:rPr>
        </w:r>
        <w:r>
          <w:rPr>
            <w:webHidden/>
          </w:rPr>
          <w:fldChar w:fldCharType="separate"/>
        </w:r>
        <w:r>
          <w:rPr>
            <w:webHidden/>
          </w:rPr>
          <w:t>11</w:t>
        </w:r>
        <w:r>
          <w:rPr>
            <w:webHidden/>
          </w:rPr>
          <w:fldChar w:fldCharType="end"/>
        </w:r>
      </w:hyperlink>
    </w:p>
    <w:p w14:paraId="752899CC" w14:textId="77777777" w:rsidR="007164CA" w:rsidRDefault="007164CA">
      <w:pPr>
        <w:pStyle w:val="Inhopg2"/>
        <w:tabs>
          <w:tab w:val="left" w:pos="880"/>
          <w:tab w:val="right" w:leader="dot" w:pos="9062"/>
        </w:tabs>
        <w:rPr>
          <w:rFonts w:asciiTheme="minorHAnsi" w:eastAsiaTheme="minorEastAsia" w:hAnsiTheme="minorHAnsi" w:cstheme="minorBidi"/>
          <w:noProof/>
          <w:szCs w:val="22"/>
        </w:rPr>
      </w:pPr>
      <w:hyperlink w:anchor="_Toc536010212" w:history="1">
        <w:r w:rsidRPr="00900022">
          <w:rPr>
            <w:rStyle w:val="Hyperlink"/>
            <w:rFonts w:eastAsia="Calibri"/>
            <w:noProof/>
          </w:rPr>
          <w:t>2.1</w:t>
        </w:r>
        <w:r>
          <w:rPr>
            <w:rFonts w:asciiTheme="minorHAnsi" w:eastAsiaTheme="minorEastAsia" w:hAnsiTheme="minorHAnsi" w:cstheme="minorBidi"/>
            <w:noProof/>
            <w:szCs w:val="22"/>
          </w:rPr>
          <w:tab/>
        </w:r>
        <w:r w:rsidRPr="00900022">
          <w:rPr>
            <w:rStyle w:val="Hyperlink"/>
            <w:rFonts w:eastAsia="Calibri"/>
            <w:bCs/>
            <w:noProof/>
            <w:lang w:val="en-GB"/>
          </w:rPr>
          <w:t>Employees’ rights to personnel data</w:t>
        </w:r>
        <w:r>
          <w:rPr>
            <w:noProof/>
            <w:webHidden/>
          </w:rPr>
          <w:tab/>
        </w:r>
        <w:r>
          <w:rPr>
            <w:noProof/>
            <w:webHidden/>
          </w:rPr>
          <w:fldChar w:fldCharType="begin"/>
        </w:r>
        <w:r>
          <w:rPr>
            <w:noProof/>
            <w:webHidden/>
          </w:rPr>
          <w:instrText xml:space="preserve"> PAGEREF _Toc536010212 \h </w:instrText>
        </w:r>
        <w:r>
          <w:rPr>
            <w:noProof/>
            <w:webHidden/>
          </w:rPr>
        </w:r>
        <w:r>
          <w:rPr>
            <w:noProof/>
            <w:webHidden/>
          </w:rPr>
          <w:fldChar w:fldCharType="separate"/>
        </w:r>
        <w:r>
          <w:rPr>
            <w:noProof/>
            <w:webHidden/>
          </w:rPr>
          <w:t>12</w:t>
        </w:r>
        <w:r>
          <w:rPr>
            <w:noProof/>
            <w:webHidden/>
          </w:rPr>
          <w:fldChar w:fldCharType="end"/>
        </w:r>
      </w:hyperlink>
    </w:p>
    <w:p w14:paraId="31A12883" w14:textId="77777777" w:rsidR="007164CA" w:rsidRDefault="007164CA">
      <w:pPr>
        <w:pStyle w:val="Inhopg2"/>
        <w:tabs>
          <w:tab w:val="left" w:pos="880"/>
          <w:tab w:val="right" w:leader="dot" w:pos="9062"/>
        </w:tabs>
        <w:rPr>
          <w:rFonts w:asciiTheme="minorHAnsi" w:eastAsiaTheme="minorEastAsia" w:hAnsiTheme="minorHAnsi" w:cstheme="minorBidi"/>
          <w:noProof/>
          <w:szCs w:val="22"/>
        </w:rPr>
      </w:pPr>
      <w:hyperlink w:anchor="_Toc536010213" w:history="1">
        <w:r w:rsidRPr="00900022">
          <w:rPr>
            <w:rStyle w:val="Hyperlink"/>
            <w:rFonts w:eastAsia="Calibri"/>
            <w:noProof/>
            <w:lang w:val="en-GB"/>
          </w:rPr>
          <w:t>2.2</w:t>
        </w:r>
        <w:r>
          <w:rPr>
            <w:rFonts w:asciiTheme="minorHAnsi" w:eastAsiaTheme="minorEastAsia" w:hAnsiTheme="minorHAnsi" w:cstheme="minorBidi"/>
            <w:noProof/>
            <w:szCs w:val="22"/>
          </w:rPr>
          <w:tab/>
        </w:r>
        <w:r w:rsidRPr="00900022">
          <w:rPr>
            <w:rStyle w:val="Hyperlink"/>
            <w:rFonts w:eastAsia="Calibri"/>
            <w:bCs/>
            <w:noProof/>
            <w:lang w:val="en-GB"/>
          </w:rPr>
          <w:t>Request permission before using pictures!</w:t>
        </w:r>
        <w:r>
          <w:rPr>
            <w:noProof/>
            <w:webHidden/>
          </w:rPr>
          <w:tab/>
        </w:r>
        <w:r>
          <w:rPr>
            <w:noProof/>
            <w:webHidden/>
          </w:rPr>
          <w:fldChar w:fldCharType="begin"/>
        </w:r>
        <w:r>
          <w:rPr>
            <w:noProof/>
            <w:webHidden/>
          </w:rPr>
          <w:instrText xml:space="preserve"> PAGEREF _Toc536010213 \h </w:instrText>
        </w:r>
        <w:r>
          <w:rPr>
            <w:noProof/>
            <w:webHidden/>
          </w:rPr>
        </w:r>
        <w:r>
          <w:rPr>
            <w:noProof/>
            <w:webHidden/>
          </w:rPr>
          <w:fldChar w:fldCharType="separate"/>
        </w:r>
        <w:r>
          <w:rPr>
            <w:noProof/>
            <w:webHidden/>
          </w:rPr>
          <w:t>12</w:t>
        </w:r>
        <w:r>
          <w:rPr>
            <w:noProof/>
            <w:webHidden/>
          </w:rPr>
          <w:fldChar w:fldCharType="end"/>
        </w:r>
      </w:hyperlink>
    </w:p>
    <w:p w14:paraId="0E9BF7BE" w14:textId="77777777" w:rsidR="007164CA" w:rsidRDefault="007164CA">
      <w:pPr>
        <w:pStyle w:val="Inhopg1"/>
        <w:tabs>
          <w:tab w:val="left" w:pos="480"/>
        </w:tabs>
        <w:rPr>
          <w:rFonts w:asciiTheme="minorHAnsi" w:eastAsiaTheme="minorEastAsia" w:hAnsiTheme="minorHAnsi" w:cstheme="minorBidi"/>
          <w:b w:val="0"/>
          <w:sz w:val="22"/>
          <w:szCs w:val="22"/>
        </w:rPr>
      </w:pPr>
      <w:hyperlink w:anchor="_Toc536010214" w:history="1">
        <w:r w:rsidRPr="00900022">
          <w:rPr>
            <w:rStyle w:val="Hyperlink"/>
          </w:rPr>
          <w:t>3</w:t>
        </w:r>
        <w:r>
          <w:rPr>
            <w:rFonts w:asciiTheme="minorHAnsi" w:eastAsiaTheme="minorEastAsia" w:hAnsiTheme="minorHAnsi" w:cstheme="minorBidi"/>
            <w:b w:val="0"/>
            <w:sz w:val="22"/>
            <w:szCs w:val="22"/>
          </w:rPr>
          <w:tab/>
        </w:r>
        <w:r w:rsidRPr="00900022">
          <w:rPr>
            <w:rStyle w:val="Hyperlink"/>
            <w:lang w:val="en-GB"/>
          </w:rPr>
          <w:t>Labour law and miscellaneous</w:t>
        </w:r>
        <w:r>
          <w:rPr>
            <w:webHidden/>
          </w:rPr>
          <w:tab/>
        </w:r>
        <w:r>
          <w:rPr>
            <w:webHidden/>
          </w:rPr>
          <w:fldChar w:fldCharType="begin"/>
        </w:r>
        <w:r>
          <w:rPr>
            <w:webHidden/>
          </w:rPr>
          <w:instrText xml:space="preserve"> PAGEREF _Toc536010214 \h </w:instrText>
        </w:r>
        <w:r>
          <w:rPr>
            <w:webHidden/>
          </w:rPr>
        </w:r>
        <w:r>
          <w:rPr>
            <w:webHidden/>
          </w:rPr>
          <w:fldChar w:fldCharType="separate"/>
        </w:r>
        <w:r>
          <w:rPr>
            <w:webHidden/>
          </w:rPr>
          <w:t>14</w:t>
        </w:r>
        <w:r>
          <w:rPr>
            <w:webHidden/>
          </w:rPr>
          <w:fldChar w:fldCharType="end"/>
        </w:r>
      </w:hyperlink>
    </w:p>
    <w:p w14:paraId="107BF8D0" w14:textId="77777777" w:rsidR="007164CA" w:rsidRDefault="007164CA">
      <w:pPr>
        <w:pStyle w:val="Inhopg2"/>
        <w:tabs>
          <w:tab w:val="left" w:pos="880"/>
          <w:tab w:val="right" w:leader="dot" w:pos="9062"/>
        </w:tabs>
        <w:rPr>
          <w:rFonts w:asciiTheme="minorHAnsi" w:eastAsiaTheme="minorEastAsia" w:hAnsiTheme="minorHAnsi" w:cstheme="minorBidi"/>
          <w:noProof/>
          <w:szCs w:val="22"/>
        </w:rPr>
      </w:pPr>
      <w:hyperlink w:anchor="_Toc536010215" w:history="1">
        <w:r w:rsidRPr="00900022">
          <w:rPr>
            <w:rStyle w:val="Hyperlink"/>
            <w:rFonts w:eastAsia="Calibri"/>
            <w:noProof/>
            <w:lang w:val="en-GB"/>
          </w:rPr>
          <w:t>3.1</w:t>
        </w:r>
        <w:r>
          <w:rPr>
            <w:rFonts w:asciiTheme="minorHAnsi" w:eastAsiaTheme="minorEastAsia" w:hAnsiTheme="minorHAnsi" w:cstheme="minorBidi"/>
            <w:noProof/>
            <w:szCs w:val="22"/>
          </w:rPr>
          <w:tab/>
        </w:r>
        <w:r w:rsidRPr="00900022">
          <w:rPr>
            <w:rStyle w:val="Hyperlink"/>
            <w:rFonts w:eastAsia="Calibri"/>
            <w:bCs/>
            <w:noProof/>
            <w:lang w:val="en-GB"/>
          </w:rPr>
          <w:t>New rules for compensation of minimum wage overtime</w:t>
        </w:r>
        <w:r>
          <w:rPr>
            <w:noProof/>
            <w:webHidden/>
          </w:rPr>
          <w:tab/>
        </w:r>
        <w:r>
          <w:rPr>
            <w:noProof/>
            <w:webHidden/>
          </w:rPr>
          <w:fldChar w:fldCharType="begin"/>
        </w:r>
        <w:r>
          <w:rPr>
            <w:noProof/>
            <w:webHidden/>
          </w:rPr>
          <w:instrText xml:space="preserve"> PAGEREF _Toc536010215 \h </w:instrText>
        </w:r>
        <w:r>
          <w:rPr>
            <w:noProof/>
            <w:webHidden/>
          </w:rPr>
        </w:r>
        <w:r>
          <w:rPr>
            <w:noProof/>
            <w:webHidden/>
          </w:rPr>
          <w:fldChar w:fldCharType="separate"/>
        </w:r>
        <w:r>
          <w:rPr>
            <w:noProof/>
            <w:webHidden/>
          </w:rPr>
          <w:t>14</w:t>
        </w:r>
        <w:r>
          <w:rPr>
            <w:noProof/>
            <w:webHidden/>
          </w:rPr>
          <w:fldChar w:fldCharType="end"/>
        </w:r>
      </w:hyperlink>
    </w:p>
    <w:p w14:paraId="7F04ED4B" w14:textId="77777777" w:rsidR="007164CA" w:rsidRDefault="007164CA">
      <w:pPr>
        <w:pStyle w:val="Inhopg2"/>
        <w:tabs>
          <w:tab w:val="left" w:pos="880"/>
          <w:tab w:val="right" w:leader="dot" w:pos="9062"/>
        </w:tabs>
        <w:rPr>
          <w:rFonts w:asciiTheme="minorHAnsi" w:eastAsiaTheme="minorEastAsia" w:hAnsiTheme="minorHAnsi" w:cstheme="minorBidi"/>
          <w:noProof/>
          <w:szCs w:val="22"/>
        </w:rPr>
      </w:pPr>
      <w:hyperlink w:anchor="_Toc536010216" w:history="1">
        <w:r w:rsidRPr="00900022">
          <w:rPr>
            <w:rStyle w:val="Hyperlink"/>
            <w:rFonts w:eastAsia="Calibri"/>
            <w:noProof/>
            <w:lang w:val="en-GB"/>
          </w:rPr>
          <w:t>3.2</w:t>
        </w:r>
        <w:r>
          <w:rPr>
            <w:rFonts w:asciiTheme="minorHAnsi" w:eastAsiaTheme="minorEastAsia" w:hAnsiTheme="minorHAnsi" w:cstheme="minorBidi"/>
            <w:noProof/>
            <w:szCs w:val="22"/>
          </w:rPr>
          <w:tab/>
        </w:r>
        <w:r w:rsidRPr="00900022">
          <w:rPr>
            <w:rStyle w:val="Hyperlink"/>
            <w:rFonts w:eastAsia="Calibri"/>
            <w:bCs/>
            <w:noProof/>
            <w:lang w:val="en-GB"/>
          </w:rPr>
          <w:t>Maximum transition allowance higher in 2019</w:t>
        </w:r>
        <w:r>
          <w:rPr>
            <w:noProof/>
            <w:webHidden/>
          </w:rPr>
          <w:tab/>
        </w:r>
        <w:r>
          <w:rPr>
            <w:noProof/>
            <w:webHidden/>
          </w:rPr>
          <w:fldChar w:fldCharType="begin"/>
        </w:r>
        <w:r>
          <w:rPr>
            <w:noProof/>
            <w:webHidden/>
          </w:rPr>
          <w:instrText xml:space="preserve"> PAGEREF _Toc536010216 \h </w:instrText>
        </w:r>
        <w:r>
          <w:rPr>
            <w:noProof/>
            <w:webHidden/>
          </w:rPr>
        </w:r>
        <w:r>
          <w:rPr>
            <w:noProof/>
            <w:webHidden/>
          </w:rPr>
          <w:fldChar w:fldCharType="separate"/>
        </w:r>
        <w:r>
          <w:rPr>
            <w:noProof/>
            <w:webHidden/>
          </w:rPr>
          <w:t>14</w:t>
        </w:r>
        <w:r>
          <w:rPr>
            <w:noProof/>
            <w:webHidden/>
          </w:rPr>
          <w:fldChar w:fldCharType="end"/>
        </w:r>
      </w:hyperlink>
    </w:p>
    <w:p w14:paraId="7B105D1D" w14:textId="77777777" w:rsidR="007164CA" w:rsidRDefault="007164CA">
      <w:pPr>
        <w:pStyle w:val="Inhopg2"/>
        <w:tabs>
          <w:tab w:val="left" w:pos="880"/>
          <w:tab w:val="right" w:leader="dot" w:pos="9062"/>
        </w:tabs>
        <w:rPr>
          <w:rFonts w:asciiTheme="minorHAnsi" w:eastAsiaTheme="minorEastAsia" w:hAnsiTheme="minorHAnsi" w:cstheme="minorBidi"/>
          <w:noProof/>
          <w:szCs w:val="22"/>
        </w:rPr>
      </w:pPr>
      <w:hyperlink w:anchor="_Toc536010217" w:history="1">
        <w:r w:rsidRPr="00900022">
          <w:rPr>
            <w:rStyle w:val="Hyperlink"/>
            <w:rFonts w:eastAsia="Calibri"/>
            <w:noProof/>
            <w:lang w:val="en-GB"/>
          </w:rPr>
          <w:t>3.3</w:t>
        </w:r>
        <w:r>
          <w:rPr>
            <w:rFonts w:asciiTheme="minorHAnsi" w:eastAsiaTheme="minorEastAsia" w:hAnsiTheme="minorHAnsi" w:cstheme="minorBidi"/>
            <w:noProof/>
            <w:szCs w:val="22"/>
          </w:rPr>
          <w:tab/>
        </w:r>
        <w:r w:rsidRPr="00900022">
          <w:rPr>
            <w:rStyle w:val="Hyperlink"/>
            <w:rFonts w:eastAsia="Calibri"/>
            <w:bCs/>
            <w:noProof/>
            <w:lang w:val="en-GB"/>
          </w:rPr>
          <w:t>Change criteria bridging scheme transition allowance</w:t>
        </w:r>
        <w:r>
          <w:rPr>
            <w:noProof/>
            <w:webHidden/>
          </w:rPr>
          <w:tab/>
        </w:r>
        <w:r>
          <w:rPr>
            <w:noProof/>
            <w:webHidden/>
          </w:rPr>
          <w:fldChar w:fldCharType="begin"/>
        </w:r>
        <w:r>
          <w:rPr>
            <w:noProof/>
            <w:webHidden/>
          </w:rPr>
          <w:instrText xml:space="preserve"> PAGEREF _Toc536010217 \h </w:instrText>
        </w:r>
        <w:r>
          <w:rPr>
            <w:noProof/>
            <w:webHidden/>
          </w:rPr>
        </w:r>
        <w:r>
          <w:rPr>
            <w:noProof/>
            <w:webHidden/>
          </w:rPr>
          <w:fldChar w:fldCharType="separate"/>
        </w:r>
        <w:r>
          <w:rPr>
            <w:noProof/>
            <w:webHidden/>
          </w:rPr>
          <w:t>14</w:t>
        </w:r>
        <w:r>
          <w:rPr>
            <w:noProof/>
            <w:webHidden/>
          </w:rPr>
          <w:fldChar w:fldCharType="end"/>
        </w:r>
      </w:hyperlink>
    </w:p>
    <w:p w14:paraId="3DD11FF1" w14:textId="77777777" w:rsidR="007164CA" w:rsidRDefault="007164CA">
      <w:pPr>
        <w:pStyle w:val="Inhopg2"/>
        <w:tabs>
          <w:tab w:val="left" w:pos="880"/>
          <w:tab w:val="right" w:leader="dot" w:pos="9062"/>
        </w:tabs>
        <w:rPr>
          <w:rFonts w:asciiTheme="minorHAnsi" w:eastAsiaTheme="minorEastAsia" w:hAnsiTheme="minorHAnsi" w:cstheme="minorBidi"/>
          <w:noProof/>
          <w:szCs w:val="22"/>
        </w:rPr>
      </w:pPr>
      <w:hyperlink w:anchor="_Toc536010218" w:history="1">
        <w:r w:rsidRPr="00900022">
          <w:rPr>
            <w:rStyle w:val="Hyperlink"/>
            <w:rFonts w:eastAsia="Calibri"/>
            <w:noProof/>
          </w:rPr>
          <w:t>3.4</w:t>
        </w:r>
        <w:r>
          <w:rPr>
            <w:rFonts w:asciiTheme="minorHAnsi" w:eastAsiaTheme="minorEastAsia" w:hAnsiTheme="minorHAnsi" w:cstheme="minorBidi"/>
            <w:noProof/>
            <w:szCs w:val="22"/>
          </w:rPr>
          <w:tab/>
        </w:r>
        <w:r w:rsidRPr="00900022">
          <w:rPr>
            <w:rStyle w:val="Hyperlink"/>
            <w:rFonts w:eastAsia="Calibri"/>
            <w:bCs/>
            <w:noProof/>
            <w:lang w:val="en-GB"/>
          </w:rPr>
          <w:t>Transition allowance and facility?</w:t>
        </w:r>
        <w:r>
          <w:rPr>
            <w:noProof/>
            <w:webHidden/>
          </w:rPr>
          <w:tab/>
        </w:r>
        <w:r>
          <w:rPr>
            <w:noProof/>
            <w:webHidden/>
          </w:rPr>
          <w:fldChar w:fldCharType="begin"/>
        </w:r>
        <w:r>
          <w:rPr>
            <w:noProof/>
            <w:webHidden/>
          </w:rPr>
          <w:instrText xml:space="preserve"> PAGEREF _Toc536010218 \h </w:instrText>
        </w:r>
        <w:r>
          <w:rPr>
            <w:noProof/>
            <w:webHidden/>
          </w:rPr>
        </w:r>
        <w:r>
          <w:rPr>
            <w:noProof/>
            <w:webHidden/>
          </w:rPr>
          <w:fldChar w:fldCharType="separate"/>
        </w:r>
        <w:r>
          <w:rPr>
            <w:noProof/>
            <w:webHidden/>
          </w:rPr>
          <w:t>15</w:t>
        </w:r>
        <w:r>
          <w:rPr>
            <w:noProof/>
            <w:webHidden/>
          </w:rPr>
          <w:fldChar w:fldCharType="end"/>
        </w:r>
      </w:hyperlink>
    </w:p>
    <w:p w14:paraId="1AC32483" w14:textId="77777777" w:rsidR="007164CA" w:rsidRDefault="007164CA">
      <w:pPr>
        <w:pStyle w:val="Inhopg2"/>
        <w:tabs>
          <w:tab w:val="left" w:pos="880"/>
          <w:tab w:val="right" w:leader="dot" w:pos="9062"/>
        </w:tabs>
        <w:rPr>
          <w:rFonts w:asciiTheme="minorHAnsi" w:eastAsiaTheme="minorEastAsia" w:hAnsiTheme="minorHAnsi" w:cstheme="minorBidi"/>
          <w:noProof/>
          <w:szCs w:val="22"/>
        </w:rPr>
      </w:pPr>
      <w:hyperlink w:anchor="_Toc536010219" w:history="1">
        <w:r w:rsidRPr="00900022">
          <w:rPr>
            <w:rStyle w:val="Hyperlink"/>
            <w:rFonts w:eastAsia="Calibri"/>
            <w:noProof/>
            <w:lang w:val="en-GB"/>
          </w:rPr>
          <w:t>3.5</w:t>
        </w:r>
        <w:r>
          <w:rPr>
            <w:rFonts w:asciiTheme="minorHAnsi" w:eastAsiaTheme="minorEastAsia" w:hAnsiTheme="minorHAnsi" w:cstheme="minorBidi"/>
            <w:noProof/>
            <w:szCs w:val="22"/>
          </w:rPr>
          <w:tab/>
        </w:r>
        <w:r w:rsidRPr="00900022">
          <w:rPr>
            <w:rStyle w:val="Hyperlink"/>
            <w:rFonts w:eastAsia="Calibri"/>
            <w:bCs/>
            <w:noProof/>
            <w:lang w:val="en-GB"/>
          </w:rPr>
          <w:t>From 2020 onwards, compensation for transition allowance during sick leave</w:t>
        </w:r>
        <w:r>
          <w:rPr>
            <w:noProof/>
            <w:webHidden/>
          </w:rPr>
          <w:tab/>
        </w:r>
        <w:r>
          <w:rPr>
            <w:noProof/>
            <w:webHidden/>
          </w:rPr>
          <w:fldChar w:fldCharType="begin"/>
        </w:r>
        <w:r>
          <w:rPr>
            <w:noProof/>
            <w:webHidden/>
          </w:rPr>
          <w:instrText xml:space="preserve"> PAGEREF _Toc536010219 \h </w:instrText>
        </w:r>
        <w:r>
          <w:rPr>
            <w:noProof/>
            <w:webHidden/>
          </w:rPr>
        </w:r>
        <w:r>
          <w:rPr>
            <w:noProof/>
            <w:webHidden/>
          </w:rPr>
          <w:fldChar w:fldCharType="separate"/>
        </w:r>
        <w:r>
          <w:rPr>
            <w:noProof/>
            <w:webHidden/>
          </w:rPr>
          <w:t>15</w:t>
        </w:r>
        <w:r>
          <w:rPr>
            <w:noProof/>
            <w:webHidden/>
          </w:rPr>
          <w:fldChar w:fldCharType="end"/>
        </w:r>
      </w:hyperlink>
    </w:p>
    <w:p w14:paraId="4B5C85C3" w14:textId="77777777" w:rsidR="007164CA" w:rsidRDefault="007164CA">
      <w:pPr>
        <w:pStyle w:val="Inhopg2"/>
        <w:tabs>
          <w:tab w:val="left" w:pos="880"/>
          <w:tab w:val="right" w:leader="dot" w:pos="9062"/>
        </w:tabs>
        <w:rPr>
          <w:rFonts w:asciiTheme="minorHAnsi" w:eastAsiaTheme="minorEastAsia" w:hAnsiTheme="minorHAnsi" w:cstheme="minorBidi"/>
          <w:noProof/>
          <w:szCs w:val="22"/>
        </w:rPr>
      </w:pPr>
      <w:hyperlink w:anchor="_Toc536010220" w:history="1">
        <w:r w:rsidRPr="00900022">
          <w:rPr>
            <w:rStyle w:val="Hyperlink"/>
            <w:rFonts w:eastAsia="Calibri"/>
            <w:noProof/>
            <w:lang w:val="en-GB"/>
          </w:rPr>
          <w:t>3.6</w:t>
        </w:r>
        <w:r>
          <w:rPr>
            <w:rFonts w:asciiTheme="minorHAnsi" w:eastAsiaTheme="minorEastAsia" w:hAnsiTheme="minorHAnsi" w:cstheme="minorBidi"/>
            <w:noProof/>
            <w:szCs w:val="22"/>
          </w:rPr>
          <w:tab/>
        </w:r>
        <w:r w:rsidRPr="00900022">
          <w:rPr>
            <w:rStyle w:val="Hyperlink"/>
            <w:rFonts w:eastAsia="Calibri"/>
            <w:bCs/>
            <w:noProof/>
            <w:lang w:val="en-GB"/>
          </w:rPr>
          <w:t>Transition allowance also applies for reduced contractual working hours</w:t>
        </w:r>
        <w:r>
          <w:rPr>
            <w:noProof/>
            <w:webHidden/>
          </w:rPr>
          <w:tab/>
        </w:r>
        <w:r>
          <w:rPr>
            <w:noProof/>
            <w:webHidden/>
          </w:rPr>
          <w:fldChar w:fldCharType="begin"/>
        </w:r>
        <w:r>
          <w:rPr>
            <w:noProof/>
            <w:webHidden/>
          </w:rPr>
          <w:instrText xml:space="preserve"> PAGEREF _Toc536010220 \h </w:instrText>
        </w:r>
        <w:r>
          <w:rPr>
            <w:noProof/>
            <w:webHidden/>
          </w:rPr>
        </w:r>
        <w:r>
          <w:rPr>
            <w:noProof/>
            <w:webHidden/>
          </w:rPr>
          <w:fldChar w:fldCharType="separate"/>
        </w:r>
        <w:r>
          <w:rPr>
            <w:noProof/>
            <w:webHidden/>
          </w:rPr>
          <w:t>16</w:t>
        </w:r>
        <w:r>
          <w:rPr>
            <w:noProof/>
            <w:webHidden/>
          </w:rPr>
          <w:fldChar w:fldCharType="end"/>
        </w:r>
      </w:hyperlink>
    </w:p>
    <w:p w14:paraId="37847151" w14:textId="77777777" w:rsidR="007164CA" w:rsidRDefault="007164CA">
      <w:pPr>
        <w:pStyle w:val="Inhopg2"/>
        <w:tabs>
          <w:tab w:val="left" w:pos="880"/>
          <w:tab w:val="right" w:leader="dot" w:pos="9062"/>
        </w:tabs>
        <w:rPr>
          <w:rFonts w:asciiTheme="minorHAnsi" w:eastAsiaTheme="minorEastAsia" w:hAnsiTheme="minorHAnsi" w:cstheme="minorBidi"/>
          <w:noProof/>
          <w:szCs w:val="22"/>
        </w:rPr>
      </w:pPr>
      <w:hyperlink w:anchor="_Toc536010221" w:history="1">
        <w:r w:rsidRPr="00900022">
          <w:rPr>
            <w:rStyle w:val="Hyperlink"/>
            <w:rFonts w:eastAsia="Calibri"/>
            <w:noProof/>
            <w:lang w:val="en-GB"/>
          </w:rPr>
          <w:t>3.7</w:t>
        </w:r>
        <w:r>
          <w:rPr>
            <w:rFonts w:asciiTheme="minorHAnsi" w:eastAsiaTheme="minorEastAsia" w:hAnsiTheme="minorHAnsi" w:cstheme="minorBidi"/>
            <w:noProof/>
            <w:szCs w:val="22"/>
          </w:rPr>
          <w:tab/>
        </w:r>
        <w:r w:rsidRPr="00900022">
          <w:rPr>
            <w:rStyle w:val="Hyperlink"/>
            <w:rFonts w:eastAsia="Calibri"/>
            <w:bCs/>
            <w:noProof/>
            <w:lang w:val="en-GB"/>
          </w:rPr>
          <w:t>Significant reform of legislation regarding termination of employment</w:t>
        </w:r>
        <w:r>
          <w:rPr>
            <w:noProof/>
            <w:webHidden/>
          </w:rPr>
          <w:tab/>
        </w:r>
        <w:r>
          <w:rPr>
            <w:noProof/>
            <w:webHidden/>
          </w:rPr>
          <w:fldChar w:fldCharType="begin"/>
        </w:r>
        <w:r>
          <w:rPr>
            <w:noProof/>
            <w:webHidden/>
          </w:rPr>
          <w:instrText xml:space="preserve"> PAGEREF _Toc536010221 \h </w:instrText>
        </w:r>
        <w:r>
          <w:rPr>
            <w:noProof/>
            <w:webHidden/>
          </w:rPr>
        </w:r>
        <w:r>
          <w:rPr>
            <w:noProof/>
            <w:webHidden/>
          </w:rPr>
          <w:fldChar w:fldCharType="separate"/>
        </w:r>
        <w:r>
          <w:rPr>
            <w:noProof/>
            <w:webHidden/>
          </w:rPr>
          <w:t>17</w:t>
        </w:r>
        <w:r>
          <w:rPr>
            <w:noProof/>
            <w:webHidden/>
          </w:rPr>
          <w:fldChar w:fldCharType="end"/>
        </w:r>
      </w:hyperlink>
    </w:p>
    <w:p w14:paraId="6EFC0458" w14:textId="77777777" w:rsidR="007164CA" w:rsidRDefault="007164CA">
      <w:pPr>
        <w:pStyle w:val="Inhopg2"/>
        <w:tabs>
          <w:tab w:val="left" w:pos="880"/>
          <w:tab w:val="right" w:leader="dot" w:pos="9062"/>
        </w:tabs>
        <w:rPr>
          <w:rFonts w:asciiTheme="minorHAnsi" w:eastAsiaTheme="minorEastAsia" w:hAnsiTheme="minorHAnsi" w:cstheme="minorBidi"/>
          <w:noProof/>
          <w:szCs w:val="22"/>
        </w:rPr>
      </w:pPr>
      <w:hyperlink w:anchor="_Toc536010222" w:history="1">
        <w:r w:rsidRPr="00900022">
          <w:rPr>
            <w:rStyle w:val="Hyperlink"/>
            <w:rFonts w:eastAsia="Calibri"/>
            <w:noProof/>
          </w:rPr>
          <w:t>3.8</w:t>
        </w:r>
        <w:r>
          <w:rPr>
            <w:rFonts w:asciiTheme="minorHAnsi" w:eastAsiaTheme="minorEastAsia" w:hAnsiTheme="minorHAnsi" w:cstheme="minorBidi"/>
            <w:noProof/>
            <w:szCs w:val="22"/>
          </w:rPr>
          <w:tab/>
        </w:r>
        <w:r w:rsidRPr="00900022">
          <w:rPr>
            <w:rStyle w:val="Hyperlink"/>
            <w:rFonts w:eastAsia="Calibri"/>
            <w:bCs/>
            <w:noProof/>
            <w:lang w:val="en-GB"/>
          </w:rPr>
          <w:t>More partner leave for childbirth</w:t>
        </w:r>
        <w:r>
          <w:rPr>
            <w:noProof/>
            <w:webHidden/>
          </w:rPr>
          <w:tab/>
        </w:r>
        <w:r>
          <w:rPr>
            <w:noProof/>
            <w:webHidden/>
          </w:rPr>
          <w:fldChar w:fldCharType="begin"/>
        </w:r>
        <w:r>
          <w:rPr>
            <w:noProof/>
            <w:webHidden/>
          </w:rPr>
          <w:instrText xml:space="preserve"> PAGEREF _Toc536010222 \h </w:instrText>
        </w:r>
        <w:r>
          <w:rPr>
            <w:noProof/>
            <w:webHidden/>
          </w:rPr>
        </w:r>
        <w:r>
          <w:rPr>
            <w:noProof/>
            <w:webHidden/>
          </w:rPr>
          <w:fldChar w:fldCharType="separate"/>
        </w:r>
        <w:r>
          <w:rPr>
            <w:noProof/>
            <w:webHidden/>
          </w:rPr>
          <w:t>17</w:t>
        </w:r>
        <w:r>
          <w:rPr>
            <w:noProof/>
            <w:webHidden/>
          </w:rPr>
          <w:fldChar w:fldCharType="end"/>
        </w:r>
      </w:hyperlink>
    </w:p>
    <w:p w14:paraId="553F8E97" w14:textId="77777777" w:rsidR="007164CA" w:rsidRDefault="007164CA">
      <w:pPr>
        <w:pStyle w:val="Inhopg2"/>
        <w:tabs>
          <w:tab w:val="left" w:pos="880"/>
          <w:tab w:val="right" w:leader="dot" w:pos="9062"/>
        </w:tabs>
        <w:rPr>
          <w:rFonts w:asciiTheme="minorHAnsi" w:eastAsiaTheme="minorEastAsia" w:hAnsiTheme="minorHAnsi" w:cstheme="minorBidi"/>
          <w:noProof/>
          <w:szCs w:val="22"/>
        </w:rPr>
      </w:pPr>
      <w:hyperlink w:anchor="_Toc536010223" w:history="1">
        <w:r w:rsidRPr="00900022">
          <w:rPr>
            <w:rStyle w:val="Hyperlink"/>
            <w:rFonts w:eastAsia="Calibri"/>
            <w:noProof/>
            <w:lang w:val="en-GB"/>
          </w:rPr>
          <w:t>3.9</w:t>
        </w:r>
        <w:r>
          <w:rPr>
            <w:rFonts w:asciiTheme="minorHAnsi" w:eastAsiaTheme="minorEastAsia" w:hAnsiTheme="minorHAnsi" w:cstheme="minorBidi"/>
            <w:noProof/>
            <w:szCs w:val="22"/>
          </w:rPr>
          <w:tab/>
        </w:r>
        <w:r w:rsidRPr="00900022">
          <w:rPr>
            <w:rStyle w:val="Hyperlink"/>
            <w:rFonts w:eastAsia="Calibri"/>
            <w:bCs/>
            <w:noProof/>
            <w:lang w:val="en-GB"/>
          </w:rPr>
          <w:t>What changed in the Termination of Employment Implementation Rules?</w:t>
        </w:r>
        <w:r>
          <w:rPr>
            <w:noProof/>
            <w:webHidden/>
          </w:rPr>
          <w:tab/>
        </w:r>
        <w:r>
          <w:rPr>
            <w:noProof/>
            <w:webHidden/>
          </w:rPr>
          <w:fldChar w:fldCharType="begin"/>
        </w:r>
        <w:r>
          <w:rPr>
            <w:noProof/>
            <w:webHidden/>
          </w:rPr>
          <w:instrText xml:space="preserve"> PAGEREF _Toc536010223 \h </w:instrText>
        </w:r>
        <w:r>
          <w:rPr>
            <w:noProof/>
            <w:webHidden/>
          </w:rPr>
        </w:r>
        <w:r>
          <w:rPr>
            <w:noProof/>
            <w:webHidden/>
          </w:rPr>
          <w:fldChar w:fldCharType="separate"/>
        </w:r>
        <w:r>
          <w:rPr>
            <w:noProof/>
            <w:webHidden/>
          </w:rPr>
          <w:t>18</w:t>
        </w:r>
        <w:r>
          <w:rPr>
            <w:noProof/>
            <w:webHidden/>
          </w:rPr>
          <w:fldChar w:fldCharType="end"/>
        </w:r>
      </w:hyperlink>
    </w:p>
    <w:p w14:paraId="024E22FB" w14:textId="77777777" w:rsidR="007164CA" w:rsidRDefault="007164CA">
      <w:pPr>
        <w:pStyle w:val="Inhopg2"/>
        <w:tabs>
          <w:tab w:val="left" w:pos="1100"/>
          <w:tab w:val="right" w:leader="dot" w:pos="9062"/>
        </w:tabs>
        <w:rPr>
          <w:rFonts w:asciiTheme="minorHAnsi" w:eastAsiaTheme="minorEastAsia" w:hAnsiTheme="minorHAnsi" w:cstheme="minorBidi"/>
          <w:noProof/>
          <w:szCs w:val="22"/>
        </w:rPr>
      </w:pPr>
      <w:hyperlink w:anchor="_Toc536010224" w:history="1">
        <w:r w:rsidRPr="00900022">
          <w:rPr>
            <w:rStyle w:val="Hyperlink"/>
            <w:rFonts w:eastAsia="Calibri"/>
            <w:noProof/>
            <w:lang w:val="en-GB"/>
          </w:rPr>
          <w:t>3.10</w:t>
        </w:r>
        <w:r>
          <w:rPr>
            <w:rFonts w:asciiTheme="minorHAnsi" w:eastAsiaTheme="minorEastAsia" w:hAnsiTheme="minorHAnsi" w:cstheme="minorBidi"/>
            <w:noProof/>
            <w:szCs w:val="22"/>
          </w:rPr>
          <w:tab/>
        </w:r>
        <w:r w:rsidRPr="00900022">
          <w:rPr>
            <w:rStyle w:val="Hyperlink"/>
            <w:rFonts w:eastAsia="Calibri"/>
            <w:bCs/>
            <w:noProof/>
            <w:lang w:val="en-GB"/>
          </w:rPr>
          <w:t>Continued payment of wage during sick leave</w:t>
        </w:r>
        <w:r>
          <w:rPr>
            <w:noProof/>
            <w:webHidden/>
          </w:rPr>
          <w:tab/>
        </w:r>
        <w:r>
          <w:rPr>
            <w:noProof/>
            <w:webHidden/>
          </w:rPr>
          <w:fldChar w:fldCharType="begin"/>
        </w:r>
        <w:r>
          <w:rPr>
            <w:noProof/>
            <w:webHidden/>
          </w:rPr>
          <w:instrText xml:space="preserve"> PAGEREF _Toc536010224 \h </w:instrText>
        </w:r>
        <w:r>
          <w:rPr>
            <w:noProof/>
            <w:webHidden/>
          </w:rPr>
        </w:r>
        <w:r>
          <w:rPr>
            <w:noProof/>
            <w:webHidden/>
          </w:rPr>
          <w:fldChar w:fldCharType="separate"/>
        </w:r>
        <w:r>
          <w:rPr>
            <w:noProof/>
            <w:webHidden/>
          </w:rPr>
          <w:t>19</w:t>
        </w:r>
        <w:r>
          <w:rPr>
            <w:noProof/>
            <w:webHidden/>
          </w:rPr>
          <w:fldChar w:fldCharType="end"/>
        </w:r>
      </w:hyperlink>
    </w:p>
    <w:p w14:paraId="0AA0AEC9" w14:textId="77777777" w:rsidR="007164CA" w:rsidRDefault="007164CA">
      <w:pPr>
        <w:pStyle w:val="Inhopg2"/>
        <w:tabs>
          <w:tab w:val="left" w:pos="1100"/>
          <w:tab w:val="right" w:leader="dot" w:pos="9062"/>
        </w:tabs>
        <w:rPr>
          <w:rFonts w:asciiTheme="minorHAnsi" w:eastAsiaTheme="minorEastAsia" w:hAnsiTheme="minorHAnsi" w:cstheme="minorBidi"/>
          <w:noProof/>
          <w:szCs w:val="22"/>
        </w:rPr>
      </w:pPr>
      <w:hyperlink w:anchor="_Toc536010225" w:history="1">
        <w:r w:rsidRPr="00900022">
          <w:rPr>
            <w:rStyle w:val="Hyperlink"/>
            <w:rFonts w:eastAsia="Calibri"/>
            <w:noProof/>
            <w:lang w:val="en-GB"/>
          </w:rPr>
          <w:t>3.11</w:t>
        </w:r>
        <w:r>
          <w:rPr>
            <w:rFonts w:asciiTheme="minorHAnsi" w:eastAsiaTheme="minorEastAsia" w:hAnsiTheme="minorHAnsi" w:cstheme="minorBidi"/>
            <w:noProof/>
            <w:szCs w:val="22"/>
          </w:rPr>
          <w:tab/>
        </w:r>
        <w:r w:rsidRPr="00900022">
          <w:rPr>
            <w:rStyle w:val="Hyperlink"/>
            <w:rFonts w:eastAsia="Calibri"/>
            <w:bCs/>
            <w:noProof/>
            <w:lang w:val="en-GB"/>
          </w:rPr>
          <w:t>Employees with occupational limitations continue to be entitled to a minimum wage</w:t>
        </w:r>
        <w:r>
          <w:rPr>
            <w:noProof/>
            <w:webHidden/>
          </w:rPr>
          <w:tab/>
        </w:r>
        <w:r>
          <w:rPr>
            <w:noProof/>
            <w:webHidden/>
          </w:rPr>
          <w:fldChar w:fldCharType="begin"/>
        </w:r>
        <w:r>
          <w:rPr>
            <w:noProof/>
            <w:webHidden/>
          </w:rPr>
          <w:instrText xml:space="preserve"> PAGEREF _Toc536010225 \h </w:instrText>
        </w:r>
        <w:r>
          <w:rPr>
            <w:noProof/>
            <w:webHidden/>
          </w:rPr>
        </w:r>
        <w:r>
          <w:rPr>
            <w:noProof/>
            <w:webHidden/>
          </w:rPr>
          <w:fldChar w:fldCharType="separate"/>
        </w:r>
        <w:r>
          <w:rPr>
            <w:noProof/>
            <w:webHidden/>
          </w:rPr>
          <w:t>19</w:t>
        </w:r>
        <w:r>
          <w:rPr>
            <w:noProof/>
            <w:webHidden/>
          </w:rPr>
          <w:fldChar w:fldCharType="end"/>
        </w:r>
      </w:hyperlink>
    </w:p>
    <w:p w14:paraId="515DFFF4" w14:textId="77777777" w:rsidR="007164CA" w:rsidRDefault="007164CA">
      <w:pPr>
        <w:pStyle w:val="Inhopg1"/>
        <w:tabs>
          <w:tab w:val="left" w:pos="480"/>
        </w:tabs>
        <w:rPr>
          <w:rFonts w:asciiTheme="minorHAnsi" w:eastAsiaTheme="minorEastAsia" w:hAnsiTheme="minorHAnsi" w:cstheme="minorBidi"/>
          <w:b w:val="0"/>
          <w:sz w:val="22"/>
          <w:szCs w:val="22"/>
        </w:rPr>
      </w:pPr>
      <w:hyperlink w:anchor="_Toc536010226" w:history="1">
        <w:r w:rsidRPr="00900022">
          <w:rPr>
            <w:rStyle w:val="Hyperlink"/>
          </w:rPr>
          <w:t>4</w:t>
        </w:r>
        <w:r>
          <w:rPr>
            <w:rFonts w:asciiTheme="minorHAnsi" w:eastAsiaTheme="minorEastAsia" w:hAnsiTheme="minorHAnsi" w:cstheme="minorBidi"/>
            <w:b w:val="0"/>
            <w:sz w:val="22"/>
            <w:szCs w:val="22"/>
          </w:rPr>
          <w:tab/>
        </w:r>
        <w:r w:rsidRPr="00900022">
          <w:rPr>
            <w:rStyle w:val="Hyperlink"/>
            <w:lang w:val="en-GB"/>
          </w:rPr>
          <w:t>Salary Costs (Incentive Allowances) Act</w:t>
        </w:r>
        <w:r>
          <w:rPr>
            <w:webHidden/>
          </w:rPr>
          <w:tab/>
        </w:r>
        <w:r>
          <w:rPr>
            <w:webHidden/>
          </w:rPr>
          <w:fldChar w:fldCharType="begin"/>
        </w:r>
        <w:r>
          <w:rPr>
            <w:webHidden/>
          </w:rPr>
          <w:instrText xml:space="preserve"> PAGEREF _Toc536010226 \h </w:instrText>
        </w:r>
        <w:r>
          <w:rPr>
            <w:webHidden/>
          </w:rPr>
        </w:r>
        <w:r>
          <w:rPr>
            <w:webHidden/>
          </w:rPr>
          <w:fldChar w:fldCharType="separate"/>
        </w:r>
        <w:r>
          <w:rPr>
            <w:webHidden/>
          </w:rPr>
          <w:t>19</w:t>
        </w:r>
        <w:r>
          <w:rPr>
            <w:webHidden/>
          </w:rPr>
          <w:fldChar w:fldCharType="end"/>
        </w:r>
      </w:hyperlink>
    </w:p>
    <w:p w14:paraId="1E31278C" w14:textId="77777777" w:rsidR="007164CA" w:rsidRDefault="007164CA">
      <w:pPr>
        <w:pStyle w:val="Inhopg2"/>
        <w:tabs>
          <w:tab w:val="left" w:pos="880"/>
          <w:tab w:val="right" w:leader="dot" w:pos="9062"/>
        </w:tabs>
        <w:rPr>
          <w:rFonts w:asciiTheme="minorHAnsi" w:eastAsiaTheme="minorEastAsia" w:hAnsiTheme="minorHAnsi" w:cstheme="minorBidi"/>
          <w:noProof/>
          <w:szCs w:val="22"/>
        </w:rPr>
      </w:pPr>
      <w:hyperlink w:anchor="_Toc536010227" w:history="1">
        <w:r w:rsidRPr="00900022">
          <w:rPr>
            <w:rStyle w:val="Hyperlink"/>
            <w:noProof/>
          </w:rPr>
          <w:t>4.1</w:t>
        </w:r>
        <w:r>
          <w:rPr>
            <w:rFonts w:asciiTheme="minorHAnsi" w:eastAsiaTheme="minorEastAsia" w:hAnsiTheme="minorHAnsi" w:cstheme="minorBidi"/>
            <w:noProof/>
            <w:szCs w:val="22"/>
          </w:rPr>
          <w:tab/>
        </w:r>
        <w:r w:rsidRPr="00900022">
          <w:rPr>
            <w:rStyle w:val="Hyperlink"/>
            <w:bCs/>
            <w:noProof/>
            <w:lang w:val="en-GB"/>
          </w:rPr>
          <w:t>Paying out allowances</w:t>
        </w:r>
        <w:r>
          <w:rPr>
            <w:noProof/>
            <w:webHidden/>
          </w:rPr>
          <w:tab/>
        </w:r>
        <w:r>
          <w:rPr>
            <w:noProof/>
            <w:webHidden/>
          </w:rPr>
          <w:fldChar w:fldCharType="begin"/>
        </w:r>
        <w:r>
          <w:rPr>
            <w:noProof/>
            <w:webHidden/>
          </w:rPr>
          <w:instrText xml:space="preserve"> PAGEREF _Toc536010227 \h </w:instrText>
        </w:r>
        <w:r>
          <w:rPr>
            <w:noProof/>
            <w:webHidden/>
          </w:rPr>
        </w:r>
        <w:r>
          <w:rPr>
            <w:noProof/>
            <w:webHidden/>
          </w:rPr>
          <w:fldChar w:fldCharType="separate"/>
        </w:r>
        <w:r>
          <w:rPr>
            <w:noProof/>
            <w:webHidden/>
          </w:rPr>
          <w:t>20</w:t>
        </w:r>
        <w:r>
          <w:rPr>
            <w:noProof/>
            <w:webHidden/>
          </w:rPr>
          <w:fldChar w:fldCharType="end"/>
        </w:r>
      </w:hyperlink>
    </w:p>
    <w:p w14:paraId="5EC6F056" w14:textId="77777777" w:rsidR="007164CA" w:rsidRDefault="007164CA">
      <w:pPr>
        <w:pStyle w:val="Inhopg2"/>
        <w:tabs>
          <w:tab w:val="left" w:pos="880"/>
          <w:tab w:val="right" w:leader="dot" w:pos="9062"/>
        </w:tabs>
        <w:rPr>
          <w:rFonts w:asciiTheme="minorHAnsi" w:eastAsiaTheme="minorEastAsia" w:hAnsiTheme="minorHAnsi" w:cstheme="minorBidi"/>
          <w:noProof/>
          <w:szCs w:val="22"/>
        </w:rPr>
      </w:pPr>
      <w:hyperlink w:anchor="_Toc536010228" w:history="1">
        <w:r w:rsidRPr="00900022">
          <w:rPr>
            <w:rStyle w:val="Hyperlink"/>
            <w:rFonts w:eastAsia="Calibri"/>
            <w:noProof/>
            <w:lang w:val="en-GB"/>
          </w:rPr>
          <w:t>4.2</w:t>
        </w:r>
        <w:r>
          <w:rPr>
            <w:rFonts w:asciiTheme="minorHAnsi" w:eastAsiaTheme="minorEastAsia" w:hAnsiTheme="minorHAnsi" w:cstheme="minorBidi"/>
            <w:noProof/>
            <w:szCs w:val="22"/>
          </w:rPr>
          <w:tab/>
        </w:r>
        <w:r w:rsidRPr="00900022">
          <w:rPr>
            <w:rStyle w:val="Hyperlink"/>
            <w:rFonts w:eastAsia="Calibri"/>
            <w:bCs/>
            <w:noProof/>
            <w:lang w:val="en-GB"/>
          </w:rPr>
          <w:t>The low-income benefit in 2019</w:t>
        </w:r>
        <w:r>
          <w:rPr>
            <w:noProof/>
            <w:webHidden/>
          </w:rPr>
          <w:tab/>
        </w:r>
        <w:r>
          <w:rPr>
            <w:noProof/>
            <w:webHidden/>
          </w:rPr>
          <w:fldChar w:fldCharType="begin"/>
        </w:r>
        <w:r>
          <w:rPr>
            <w:noProof/>
            <w:webHidden/>
          </w:rPr>
          <w:instrText xml:space="preserve"> PAGEREF _Toc536010228 \h </w:instrText>
        </w:r>
        <w:r>
          <w:rPr>
            <w:noProof/>
            <w:webHidden/>
          </w:rPr>
        </w:r>
        <w:r>
          <w:rPr>
            <w:noProof/>
            <w:webHidden/>
          </w:rPr>
          <w:fldChar w:fldCharType="separate"/>
        </w:r>
        <w:r>
          <w:rPr>
            <w:noProof/>
            <w:webHidden/>
          </w:rPr>
          <w:t>20</w:t>
        </w:r>
        <w:r>
          <w:rPr>
            <w:noProof/>
            <w:webHidden/>
          </w:rPr>
          <w:fldChar w:fldCharType="end"/>
        </w:r>
      </w:hyperlink>
    </w:p>
    <w:p w14:paraId="10FF0237" w14:textId="77777777" w:rsidR="007164CA" w:rsidRDefault="007164CA">
      <w:pPr>
        <w:pStyle w:val="Inhopg3"/>
        <w:rPr>
          <w:rFonts w:asciiTheme="minorHAnsi" w:eastAsiaTheme="minorEastAsia" w:hAnsiTheme="minorHAnsi" w:cstheme="minorBidi"/>
          <w:szCs w:val="22"/>
        </w:rPr>
      </w:pPr>
      <w:hyperlink w:anchor="_Toc536010229" w:history="1">
        <w:r w:rsidRPr="00900022">
          <w:rPr>
            <w:rStyle w:val="Hyperlink"/>
            <w:rFonts w:eastAsia="Calibri"/>
          </w:rPr>
          <w:t>4.2.1</w:t>
        </w:r>
        <w:r>
          <w:rPr>
            <w:rFonts w:asciiTheme="minorHAnsi" w:eastAsiaTheme="minorEastAsia" w:hAnsiTheme="minorHAnsi" w:cstheme="minorBidi"/>
            <w:szCs w:val="22"/>
          </w:rPr>
          <w:tab/>
        </w:r>
        <w:r w:rsidRPr="00900022">
          <w:rPr>
            <w:rStyle w:val="Hyperlink"/>
            <w:rFonts w:eastAsia="Calibri"/>
            <w:lang w:val="en-GB"/>
          </w:rPr>
          <w:t>LIV conditions</w:t>
        </w:r>
        <w:r>
          <w:rPr>
            <w:webHidden/>
          </w:rPr>
          <w:tab/>
        </w:r>
        <w:r>
          <w:rPr>
            <w:webHidden/>
          </w:rPr>
          <w:fldChar w:fldCharType="begin"/>
        </w:r>
        <w:r>
          <w:rPr>
            <w:webHidden/>
          </w:rPr>
          <w:instrText xml:space="preserve"> PAGEREF _Toc536010229 \h </w:instrText>
        </w:r>
        <w:r>
          <w:rPr>
            <w:webHidden/>
          </w:rPr>
        </w:r>
        <w:r>
          <w:rPr>
            <w:webHidden/>
          </w:rPr>
          <w:fldChar w:fldCharType="separate"/>
        </w:r>
        <w:r>
          <w:rPr>
            <w:webHidden/>
          </w:rPr>
          <w:t>20</w:t>
        </w:r>
        <w:r>
          <w:rPr>
            <w:webHidden/>
          </w:rPr>
          <w:fldChar w:fldCharType="end"/>
        </w:r>
      </w:hyperlink>
    </w:p>
    <w:p w14:paraId="2204ABD5" w14:textId="77777777" w:rsidR="007164CA" w:rsidRDefault="007164CA">
      <w:pPr>
        <w:pStyle w:val="Inhopg3"/>
        <w:rPr>
          <w:rFonts w:asciiTheme="minorHAnsi" w:eastAsiaTheme="minorEastAsia" w:hAnsiTheme="minorHAnsi" w:cstheme="minorBidi"/>
          <w:szCs w:val="22"/>
        </w:rPr>
      </w:pPr>
      <w:hyperlink w:anchor="_Toc536010230" w:history="1">
        <w:r w:rsidRPr="00900022">
          <w:rPr>
            <w:rStyle w:val="Hyperlink"/>
            <w:rFonts w:eastAsia="Calibri"/>
          </w:rPr>
          <w:t>4.2.2</w:t>
        </w:r>
        <w:r>
          <w:rPr>
            <w:rFonts w:asciiTheme="minorHAnsi" w:eastAsiaTheme="minorEastAsia" w:hAnsiTheme="minorHAnsi" w:cstheme="minorBidi"/>
            <w:szCs w:val="22"/>
          </w:rPr>
          <w:tab/>
        </w:r>
        <w:r w:rsidRPr="00900022">
          <w:rPr>
            <w:rStyle w:val="Hyperlink"/>
            <w:rFonts w:eastAsia="Calibri"/>
            <w:lang w:val="en-GB"/>
          </w:rPr>
          <w:t>2019 LIV amounts</w:t>
        </w:r>
        <w:r>
          <w:rPr>
            <w:webHidden/>
          </w:rPr>
          <w:tab/>
        </w:r>
        <w:r>
          <w:rPr>
            <w:webHidden/>
          </w:rPr>
          <w:fldChar w:fldCharType="begin"/>
        </w:r>
        <w:r>
          <w:rPr>
            <w:webHidden/>
          </w:rPr>
          <w:instrText xml:space="preserve"> PAGEREF _Toc536010230 \h </w:instrText>
        </w:r>
        <w:r>
          <w:rPr>
            <w:webHidden/>
          </w:rPr>
        </w:r>
        <w:r>
          <w:rPr>
            <w:webHidden/>
          </w:rPr>
          <w:fldChar w:fldCharType="separate"/>
        </w:r>
        <w:r>
          <w:rPr>
            <w:webHidden/>
          </w:rPr>
          <w:t>20</w:t>
        </w:r>
        <w:r>
          <w:rPr>
            <w:webHidden/>
          </w:rPr>
          <w:fldChar w:fldCharType="end"/>
        </w:r>
      </w:hyperlink>
    </w:p>
    <w:p w14:paraId="2840D888" w14:textId="77777777" w:rsidR="007164CA" w:rsidRDefault="007164CA">
      <w:pPr>
        <w:pStyle w:val="Inhopg2"/>
        <w:tabs>
          <w:tab w:val="left" w:pos="880"/>
          <w:tab w:val="right" w:leader="dot" w:pos="9062"/>
        </w:tabs>
        <w:rPr>
          <w:rFonts w:asciiTheme="minorHAnsi" w:eastAsiaTheme="minorEastAsia" w:hAnsiTheme="minorHAnsi" w:cstheme="minorBidi"/>
          <w:noProof/>
          <w:szCs w:val="22"/>
        </w:rPr>
      </w:pPr>
      <w:hyperlink w:anchor="_Toc536010231" w:history="1">
        <w:r w:rsidRPr="00900022">
          <w:rPr>
            <w:rStyle w:val="Hyperlink"/>
            <w:rFonts w:eastAsia="Calibri"/>
            <w:noProof/>
          </w:rPr>
          <w:t>4.3</w:t>
        </w:r>
        <w:r>
          <w:rPr>
            <w:rFonts w:asciiTheme="minorHAnsi" w:eastAsiaTheme="minorEastAsia" w:hAnsiTheme="minorHAnsi" w:cstheme="minorBidi"/>
            <w:noProof/>
            <w:szCs w:val="22"/>
          </w:rPr>
          <w:tab/>
        </w:r>
        <w:r w:rsidRPr="00900022">
          <w:rPr>
            <w:rStyle w:val="Hyperlink"/>
            <w:rFonts w:eastAsia="Calibri"/>
            <w:bCs/>
            <w:noProof/>
            <w:lang w:val="en-GB"/>
          </w:rPr>
          <w:t>Youth low-income benefit 2019</w:t>
        </w:r>
        <w:r>
          <w:rPr>
            <w:noProof/>
            <w:webHidden/>
          </w:rPr>
          <w:tab/>
        </w:r>
        <w:r>
          <w:rPr>
            <w:noProof/>
            <w:webHidden/>
          </w:rPr>
          <w:fldChar w:fldCharType="begin"/>
        </w:r>
        <w:r>
          <w:rPr>
            <w:noProof/>
            <w:webHidden/>
          </w:rPr>
          <w:instrText xml:space="preserve"> PAGEREF _Toc536010231 \h </w:instrText>
        </w:r>
        <w:r>
          <w:rPr>
            <w:noProof/>
            <w:webHidden/>
          </w:rPr>
        </w:r>
        <w:r>
          <w:rPr>
            <w:noProof/>
            <w:webHidden/>
          </w:rPr>
          <w:fldChar w:fldCharType="separate"/>
        </w:r>
        <w:r>
          <w:rPr>
            <w:noProof/>
            <w:webHidden/>
          </w:rPr>
          <w:t>21</w:t>
        </w:r>
        <w:r>
          <w:rPr>
            <w:noProof/>
            <w:webHidden/>
          </w:rPr>
          <w:fldChar w:fldCharType="end"/>
        </w:r>
      </w:hyperlink>
    </w:p>
    <w:p w14:paraId="5ABF9E30" w14:textId="77777777" w:rsidR="007164CA" w:rsidRDefault="007164CA">
      <w:pPr>
        <w:pStyle w:val="Inhopg3"/>
        <w:rPr>
          <w:rFonts w:asciiTheme="minorHAnsi" w:eastAsiaTheme="minorEastAsia" w:hAnsiTheme="minorHAnsi" w:cstheme="minorBidi"/>
          <w:szCs w:val="22"/>
        </w:rPr>
      </w:pPr>
      <w:hyperlink w:anchor="_Toc536010232" w:history="1">
        <w:r w:rsidRPr="00900022">
          <w:rPr>
            <w:rStyle w:val="Hyperlink"/>
          </w:rPr>
          <w:t>4.3.1</w:t>
        </w:r>
        <w:r>
          <w:rPr>
            <w:rFonts w:asciiTheme="minorHAnsi" w:eastAsiaTheme="minorEastAsia" w:hAnsiTheme="minorHAnsi" w:cstheme="minorBidi"/>
            <w:szCs w:val="22"/>
          </w:rPr>
          <w:tab/>
        </w:r>
        <w:r w:rsidRPr="00900022">
          <w:rPr>
            <w:rStyle w:val="Hyperlink"/>
            <w:lang w:val="en-GB"/>
          </w:rPr>
          <w:t>Youth LIV conditions</w:t>
        </w:r>
        <w:r>
          <w:rPr>
            <w:webHidden/>
          </w:rPr>
          <w:tab/>
        </w:r>
        <w:r>
          <w:rPr>
            <w:webHidden/>
          </w:rPr>
          <w:fldChar w:fldCharType="begin"/>
        </w:r>
        <w:r>
          <w:rPr>
            <w:webHidden/>
          </w:rPr>
          <w:instrText xml:space="preserve"> PAGEREF _Toc536010232 \h </w:instrText>
        </w:r>
        <w:r>
          <w:rPr>
            <w:webHidden/>
          </w:rPr>
        </w:r>
        <w:r>
          <w:rPr>
            <w:webHidden/>
          </w:rPr>
          <w:fldChar w:fldCharType="separate"/>
        </w:r>
        <w:r>
          <w:rPr>
            <w:webHidden/>
          </w:rPr>
          <w:t>21</w:t>
        </w:r>
        <w:r>
          <w:rPr>
            <w:webHidden/>
          </w:rPr>
          <w:fldChar w:fldCharType="end"/>
        </w:r>
      </w:hyperlink>
    </w:p>
    <w:p w14:paraId="04248DE7" w14:textId="77777777" w:rsidR="007164CA" w:rsidRDefault="007164CA">
      <w:pPr>
        <w:pStyle w:val="Inhopg3"/>
        <w:rPr>
          <w:rFonts w:asciiTheme="minorHAnsi" w:eastAsiaTheme="minorEastAsia" w:hAnsiTheme="minorHAnsi" w:cstheme="minorBidi"/>
          <w:szCs w:val="22"/>
        </w:rPr>
      </w:pPr>
      <w:hyperlink w:anchor="_Toc536010233" w:history="1">
        <w:r w:rsidRPr="00900022">
          <w:rPr>
            <w:rStyle w:val="Hyperlink"/>
          </w:rPr>
          <w:t>4.3.2</w:t>
        </w:r>
        <w:r>
          <w:rPr>
            <w:rFonts w:asciiTheme="minorHAnsi" w:eastAsiaTheme="minorEastAsia" w:hAnsiTheme="minorHAnsi" w:cstheme="minorBidi"/>
            <w:szCs w:val="22"/>
          </w:rPr>
          <w:tab/>
        </w:r>
        <w:r w:rsidRPr="00900022">
          <w:rPr>
            <w:rStyle w:val="Hyperlink"/>
            <w:lang w:val="en-GB"/>
          </w:rPr>
          <w:t>2019 limits to hourly wage</w:t>
        </w:r>
        <w:r>
          <w:rPr>
            <w:webHidden/>
          </w:rPr>
          <w:tab/>
        </w:r>
        <w:r>
          <w:rPr>
            <w:webHidden/>
          </w:rPr>
          <w:fldChar w:fldCharType="begin"/>
        </w:r>
        <w:r>
          <w:rPr>
            <w:webHidden/>
          </w:rPr>
          <w:instrText xml:space="preserve"> PAGEREF _Toc536010233 \h </w:instrText>
        </w:r>
        <w:r>
          <w:rPr>
            <w:webHidden/>
          </w:rPr>
        </w:r>
        <w:r>
          <w:rPr>
            <w:webHidden/>
          </w:rPr>
          <w:fldChar w:fldCharType="separate"/>
        </w:r>
        <w:r>
          <w:rPr>
            <w:webHidden/>
          </w:rPr>
          <w:t>21</w:t>
        </w:r>
        <w:r>
          <w:rPr>
            <w:webHidden/>
          </w:rPr>
          <w:fldChar w:fldCharType="end"/>
        </w:r>
      </w:hyperlink>
    </w:p>
    <w:p w14:paraId="09649111" w14:textId="77777777" w:rsidR="007164CA" w:rsidRDefault="007164CA">
      <w:pPr>
        <w:pStyle w:val="Inhopg3"/>
        <w:rPr>
          <w:rFonts w:asciiTheme="minorHAnsi" w:eastAsiaTheme="minorEastAsia" w:hAnsiTheme="minorHAnsi" w:cstheme="minorBidi"/>
          <w:szCs w:val="22"/>
        </w:rPr>
      </w:pPr>
      <w:hyperlink w:anchor="_Toc536010234" w:history="1">
        <w:r w:rsidRPr="00900022">
          <w:rPr>
            <w:rStyle w:val="Hyperlink"/>
          </w:rPr>
          <w:t>4.3.3</w:t>
        </w:r>
        <w:r>
          <w:rPr>
            <w:rFonts w:asciiTheme="minorHAnsi" w:eastAsiaTheme="minorEastAsia" w:hAnsiTheme="minorHAnsi" w:cstheme="minorBidi"/>
            <w:szCs w:val="22"/>
          </w:rPr>
          <w:tab/>
        </w:r>
        <w:r w:rsidRPr="00900022">
          <w:rPr>
            <w:rStyle w:val="Hyperlink"/>
            <w:lang w:val="en-GB"/>
          </w:rPr>
          <w:t>2019 youth LIV amounts</w:t>
        </w:r>
        <w:r>
          <w:rPr>
            <w:webHidden/>
          </w:rPr>
          <w:tab/>
        </w:r>
        <w:r>
          <w:rPr>
            <w:webHidden/>
          </w:rPr>
          <w:fldChar w:fldCharType="begin"/>
        </w:r>
        <w:r>
          <w:rPr>
            <w:webHidden/>
          </w:rPr>
          <w:instrText xml:space="preserve"> PAGEREF _Toc536010234 \h </w:instrText>
        </w:r>
        <w:r>
          <w:rPr>
            <w:webHidden/>
          </w:rPr>
        </w:r>
        <w:r>
          <w:rPr>
            <w:webHidden/>
          </w:rPr>
          <w:fldChar w:fldCharType="separate"/>
        </w:r>
        <w:r>
          <w:rPr>
            <w:webHidden/>
          </w:rPr>
          <w:t>21</w:t>
        </w:r>
        <w:r>
          <w:rPr>
            <w:webHidden/>
          </w:rPr>
          <w:fldChar w:fldCharType="end"/>
        </w:r>
      </w:hyperlink>
    </w:p>
    <w:p w14:paraId="721DEADA" w14:textId="77777777" w:rsidR="007164CA" w:rsidRDefault="007164CA">
      <w:pPr>
        <w:pStyle w:val="Inhopg2"/>
        <w:tabs>
          <w:tab w:val="left" w:pos="880"/>
          <w:tab w:val="right" w:leader="dot" w:pos="9062"/>
        </w:tabs>
        <w:rPr>
          <w:rFonts w:asciiTheme="minorHAnsi" w:eastAsiaTheme="minorEastAsia" w:hAnsiTheme="minorHAnsi" w:cstheme="minorBidi"/>
          <w:noProof/>
          <w:szCs w:val="22"/>
        </w:rPr>
      </w:pPr>
      <w:hyperlink w:anchor="_Toc536010235" w:history="1">
        <w:r w:rsidRPr="00900022">
          <w:rPr>
            <w:rStyle w:val="Hyperlink"/>
            <w:noProof/>
          </w:rPr>
          <w:t>4.4</w:t>
        </w:r>
        <w:r>
          <w:rPr>
            <w:rFonts w:asciiTheme="minorHAnsi" w:eastAsiaTheme="minorEastAsia" w:hAnsiTheme="minorHAnsi" w:cstheme="minorBidi"/>
            <w:noProof/>
            <w:szCs w:val="22"/>
          </w:rPr>
          <w:tab/>
        </w:r>
        <w:r w:rsidRPr="00900022">
          <w:rPr>
            <w:rStyle w:val="Hyperlink"/>
            <w:bCs/>
            <w:noProof/>
            <w:lang w:val="en-GB"/>
          </w:rPr>
          <w:t>Payroll benefits in 2019</w:t>
        </w:r>
        <w:r>
          <w:rPr>
            <w:noProof/>
            <w:webHidden/>
          </w:rPr>
          <w:tab/>
        </w:r>
        <w:r>
          <w:rPr>
            <w:noProof/>
            <w:webHidden/>
          </w:rPr>
          <w:fldChar w:fldCharType="begin"/>
        </w:r>
        <w:r>
          <w:rPr>
            <w:noProof/>
            <w:webHidden/>
          </w:rPr>
          <w:instrText xml:space="preserve"> PAGEREF _Toc536010235 \h </w:instrText>
        </w:r>
        <w:r>
          <w:rPr>
            <w:noProof/>
            <w:webHidden/>
          </w:rPr>
        </w:r>
        <w:r>
          <w:rPr>
            <w:noProof/>
            <w:webHidden/>
          </w:rPr>
          <w:fldChar w:fldCharType="separate"/>
        </w:r>
        <w:r>
          <w:rPr>
            <w:noProof/>
            <w:webHidden/>
          </w:rPr>
          <w:t>21</w:t>
        </w:r>
        <w:r>
          <w:rPr>
            <w:noProof/>
            <w:webHidden/>
          </w:rPr>
          <w:fldChar w:fldCharType="end"/>
        </w:r>
      </w:hyperlink>
    </w:p>
    <w:p w14:paraId="00C79773" w14:textId="77777777" w:rsidR="007164CA" w:rsidRDefault="007164CA">
      <w:pPr>
        <w:pStyle w:val="Inhopg3"/>
        <w:rPr>
          <w:rFonts w:asciiTheme="minorHAnsi" w:eastAsiaTheme="minorEastAsia" w:hAnsiTheme="minorHAnsi" w:cstheme="minorBidi"/>
          <w:szCs w:val="22"/>
        </w:rPr>
      </w:pPr>
      <w:hyperlink w:anchor="_Toc536010236" w:history="1">
        <w:r w:rsidRPr="00900022">
          <w:rPr>
            <w:rStyle w:val="Hyperlink"/>
          </w:rPr>
          <w:t>4.4.1</w:t>
        </w:r>
        <w:r>
          <w:rPr>
            <w:rFonts w:asciiTheme="minorHAnsi" w:eastAsiaTheme="minorEastAsia" w:hAnsiTheme="minorHAnsi" w:cstheme="minorBidi"/>
            <w:szCs w:val="22"/>
          </w:rPr>
          <w:tab/>
        </w:r>
        <w:r w:rsidRPr="00900022">
          <w:rPr>
            <w:rStyle w:val="Hyperlink"/>
            <w:lang w:val="en-GB"/>
          </w:rPr>
          <w:t>Conditions payroll benefits</w:t>
        </w:r>
        <w:r>
          <w:rPr>
            <w:webHidden/>
          </w:rPr>
          <w:tab/>
        </w:r>
        <w:r>
          <w:rPr>
            <w:webHidden/>
          </w:rPr>
          <w:fldChar w:fldCharType="begin"/>
        </w:r>
        <w:r>
          <w:rPr>
            <w:webHidden/>
          </w:rPr>
          <w:instrText xml:space="preserve"> PAGEREF _Toc536010236 \h </w:instrText>
        </w:r>
        <w:r>
          <w:rPr>
            <w:webHidden/>
          </w:rPr>
        </w:r>
        <w:r>
          <w:rPr>
            <w:webHidden/>
          </w:rPr>
          <w:fldChar w:fldCharType="separate"/>
        </w:r>
        <w:r>
          <w:rPr>
            <w:webHidden/>
          </w:rPr>
          <w:t>22</w:t>
        </w:r>
        <w:r>
          <w:rPr>
            <w:webHidden/>
          </w:rPr>
          <w:fldChar w:fldCharType="end"/>
        </w:r>
      </w:hyperlink>
    </w:p>
    <w:p w14:paraId="0409B9C6" w14:textId="77777777" w:rsidR="007164CA" w:rsidRDefault="007164CA">
      <w:pPr>
        <w:pStyle w:val="Inhopg3"/>
        <w:rPr>
          <w:rFonts w:asciiTheme="minorHAnsi" w:eastAsiaTheme="minorEastAsia" w:hAnsiTheme="minorHAnsi" w:cstheme="minorBidi"/>
          <w:szCs w:val="22"/>
        </w:rPr>
      </w:pPr>
      <w:hyperlink w:anchor="_Toc536010237" w:history="1">
        <w:r w:rsidRPr="00900022">
          <w:rPr>
            <w:rStyle w:val="Hyperlink"/>
          </w:rPr>
          <w:t>4.4.2</w:t>
        </w:r>
        <w:r>
          <w:rPr>
            <w:rFonts w:asciiTheme="minorHAnsi" w:eastAsiaTheme="minorEastAsia" w:hAnsiTheme="minorHAnsi" w:cstheme="minorBidi"/>
            <w:szCs w:val="22"/>
          </w:rPr>
          <w:tab/>
        </w:r>
        <w:r w:rsidRPr="00900022">
          <w:rPr>
            <w:rStyle w:val="Hyperlink"/>
            <w:lang w:val="en-GB"/>
          </w:rPr>
          <w:t>Calendar month</w:t>
        </w:r>
        <w:r>
          <w:rPr>
            <w:webHidden/>
          </w:rPr>
          <w:tab/>
        </w:r>
        <w:r>
          <w:rPr>
            <w:webHidden/>
          </w:rPr>
          <w:fldChar w:fldCharType="begin"/>
        </w:r>
        <w:r>
          <w:rPr>
            <w:webHidden/>
          </w:rPr>
          <w:instrText xml:space="preserve"> PAGEREF _Toc536010237 \h </w:instrText>
        </w:r>
        <w:r>
          <w:rPr>
            <w:webHidden/>
          </w:rPr>
        </w:r>
        <w:r>
          <w:rPr>
            <w:webHidden/>
          </w:rPr>
          <w:fldChar w:fldCharType="separate"/>
        </w:r>
        <w:r>
          <w:rPr>
            <w:webHidden/>
          </w:rPr>
          <w:t>22</w:t>
        </w:r>
        <w:r>
          <w:rPr>
            <w:webHidden/>
          </w:rPr>
          <w:fldChar w:fldCharType="end"/>
        </w:r>
      </w:hyperlink>
    </w:p>
    <w:p w14:paraId="04288DBE" w14:textId="77777777" w:rsidR="007164CA" w:rsidRDefault="007164CA">
      <w:pPr>
        <w:pStyle w:val="Inhopg3"/>
        <w:rPr>
          <w:rFonts w:asciiTheme="minorHAnsi" w:eastAsiaTheme="minorEastAsia" w:hAnsiTheme="minorHAnsi" w:cstheme="minorBidi"/>
          <w:szCs w:val="22"/>
        </w:rPr>
      </w:pPr>
      <w:hyperlink w:anchor="_Toc536010238" w:history="1">
        <w:r w:rsidRPr="00900022">
          <w:rPr>
            <w:rStyle w:val="Hyperlink"/>
          </w:rPr>
          <w:t>4.4.3</w:t>
        </w:r>
        <w:r>
          <w:rPr>
            <w:rFonts w:asciiTheme="minorHAnsi" w:eastAsiaTheme="minorEastAsia" w:hAnsiTheme="minorHAnsi" w:cstheme="minorBidi"/>
            <w:szCs w:val="22"/>
          </w:rPr>
          <w:tab/>
        </w:r>
        <w:r w:rsidRPr="00900022">
          <w:rPr>
            <w:rStyle w:val="Hyperlink"/>
            <w:lang w:val="en-GB"/>
          </w:rPr>
          <w:t>2019 amounts</w:t>
        </w:r>
        <w:r>
          <w:rPr>
            <w:webHidden/>
          </w:rPr>
          <w:tab/>
        </w:r>
        <w:r>
          <w:rPr>
            <w:webHidden/>
          </w:rPr>
          <w:fldChar w:fldCharType="begin"/>
        </w:r>
        <w:r>
          <w:rPr>
            <w:webHidden/>
          </w:rPr>
          <w:instrText xml:space="preserve"> PAGEREF _Toc536010238 \h </w:instrText>
        </w:r>
        <w:r>
          <w:rPr>
            <w:webHidden/>
          </w:rPr>
        </w:r>
        <w:r>
          <w:rPr>
            <w:webHidden/>
          </w:rPr>
          <w:fldChar w:fldCharType="separate"/>
        </w:r>
        <w:r>
          <w:rPr>
            <w:webHidden/>
          </w:rPr>
          <w:t>22</w:t>
        </w:r>
        <w:r>
          <w:rPr>
            <w:webHidden/>
          </w:rPr>
          <w:fldChar w:fldCharType="end"/>
        </w:r>
      </w:hyperlink>
    </w:p>
    <w:p w14:paraId="22D26276" w14:textId="77777777" w:rsidR="007164CA" w:rsidRDefault="007164CA">
      <w:pPr>
        <w:pStyle w:val="Inhopg3"/>
        <w:rPr>
          <w:rFonts w:asciiTheme="minorHAnsi" w:eastAsiaTheme="minorEastAsia" w:hAnsiTheme="minorHAnsi" w:cstheme="minorBidi"/>
          <w:szCs w:val="22"/>
        </w:rPr>
      </w:pPr>
      <w:hyperlink w:anchor="_Toc536010239" w:history="1">
        <w:r w:rsidRPr="00900022">
          <w:rPr>
            <w:rStyle w:val="Hyperlink"/>
            <w:rFonts w:eastAsia="Calibri"/>
            <w:lang w:val="en-GB"/>
          </w:rPr>
          <w:t>4.4.4</w:t>
        </w:r>
        <w:r>
          <w:rPr>
            <w:rFonts w:asciiTheme="minorHAnsi" w:eastAsiaTheme="minorEastAsia" w:hAnsiTheme="minorHAnsi" w:cstheme="minorBidi"/>
            <w:szCs w:val="22"/>
          </w:rPr>
          <w:tab/>
        </w:r>
        <w:r w:rsidRPr="00900022">
          <w:rPr>
            <w:rStyle w:val="Hyperlink"/>
            <w:rFonts w:eastAsia="Calibri"/>
            <w:lang w:val="en-GB"/>
          </w:rPr>
          <w:t>Maximum duration LKV Jobs and Jobs Quota (Work Disabled Persons) Act 2020</w:t>
        </w:r>
        <w:r>
          <w:rPr>
            <w:webHidden/>
          </w:rPr>
          <w:tab/>
        </w:r>
        <w:r>
          <w:rPr>
            <w:webHidden/>
          </w:rPr>
          <w:fldChar w:fldCharType="begin"/>
        </w:r>
        <w:r>
          <w:rPr>
            <w:webHidden/>
          </w:rPr>
          <w:instrText xml:space="preserve"> PAGEREF _Toc536010239 \h </w:instrText>
        </w:r>
        <w:r>
          <w:rPr>
            <w:webHidden/>
          </w:rPr>
        </w:r>
        <w:r>
          <w:rPr>
            <w:webHidden/>
          </w:rPr>
          <w:fldChar w:fldCharType="separate"/>
        </w:r>
        <w:r>
          <w:rPr>
            <w:webHidden/>
          </w:rPr>
          <w:t>23</w:t>
        </w:r>
        <w:r>
          <w:rPr>
            <w:webHidden/>
          </w:rPr>
          <w:fldChar w:fldCharType="end"/>
        </w:r>
      </w:hyperlink>
    </w:p>
    <w:p w14:paraId="7C18186A" w14:textId="77777777" w:rsidR="007164CA" w:rsidRDefault="007164CA">
      <w:pPr>
        <w:pStyle w:val="Inhopg2"/>
        <w:tabs>
          <w:tab w:val="left" w:pos="880"/>
          <w:tab w:val="right" w:leader="dot" w:pos="9062"/>
        </w:tabs>
        <w:rPr>
          <w:rFonts w:asciiTheme="minorHAnsi" w:eastAsiaTheme="minorEastAsia" w:hAnsiTheme="minorHAnsi" w:cstheme="minorBidi"/>
          <w:noProof/>
          <w:szCs w:val="22"/>
        </w:rPr>
      </w:pPr>
      <w:hyperlink w:anchor="_Toc536010240" w:history="1">
        <w:r w:rsidRPr="00900022">
          <w:rPr>
            <w:rStyle w:val="Hyperlink"/>
            <w:noProof/>
          </w:rPr>
          <w:t>4.5</w:t>
        </w:r>
        <w:r>
          <w:rPr>
            <w:rFonts w:asciiTheme="minorHAnsi" w:eastAsiaTheme="minorEastAsia" w:hAnsiTheme="minorHAnsi" w:cstheme="minorBidi"/>
            <w:noProof/>
            <w:szCs w:val="22"/>
          </w:rPr>
          <w:tab/>
        </w:r>
        <w:r w:rsidRPr="00900022">
          <w:rPr>
            <w:rStyle w:val="Hyperlink"/>
            <w:bCs/>
            <w:noProof/>
            <w:lang w:val="en-GB"/>
          </w:rPr>
          <w:t>Wtl and trainees</w:t>
        </w:r>
        <w:r>
          <w:rPr>
            <w:noProof/>
            <w:webHidden/>
          </w:rPr>
          <w:tab/>
        </w:r>
        <w:r>
          <w:rPr>
            <w:noProof/>
            <w:webHidden/>
          </w:rPr>
          <w:fldChar w:fldCharType="begin"/>
        </w:r>
        <w:r>
          <w:rPr>
            <w:noProof/>
            <w:webHidden/>
          </w:rPr>
          <w:instrText xml:space="preserve"> PAGEREF _Toc536010240 \h </w:instrText>
        </w:r>
        <w:r>
          <w:rPr>
            <w:noProof/>
            <w:webHidden/>
          </w:rPr>
        </w:r>
        <w:r>
          <w:rPr>
            <w:noProof/>
            <w:webHidden/>
          </w:rPr>
          <w:fldChar w:fldCharType="separate"/>
        </w:r>
        <w:r>
          <w:rPr>
            <w:noProof/>
            <w:webHidden/>
          </w:rPr>
          <w:t>23</w:t>
        </w:r>
        <w:r>
          <w:rPr>
            <w:noProof/>
            <w:webHidden/>
          </w:rPr>
          <w:fldChar w:fldCharType="end"/>
        </w:r>
      </w:hyperlink>
    </w:p>
    <w:p w14:paraId="436D9730" w14:textId="77777777" w:rsidR="007164CA" w:rsidRDefault="007164CA">
      <w:pPr>
        <w:pStyle w:val="Inhopg1"/>
        <w:tabs>
          <w:tab w:val="left" w:pos="480"/>
        </w:tabs>
        <w:rPr>
          <w:rFonts w:asciiTheme="minorHAnsi" w:eastAsiaTheme="minorEastAsia" w:hAnsiTheme="minorHAnsi" w:cstheme="minorBidi"/>
          <w:b w:val="0"/>
          <w:sz w:val="22"/>
          <w:szCs w:val="22"/>
        </w:rPr>
      </w:pPr>
      <w:hyperlink w:anchor="_Toc536010241" w:history="1">
        <w:r w:rsidRPr="00900022">
          <w:rPr>
            <w:rStyle w:val="Hyperlink"/>
            <w:lang w:val="en-GB"/>
          </w:rPr>
          <w:t>5</w:t>
        </w:r>
        <w:r>
          <w:rPr>
            <w:rFonts w:asciiTheme="minorHAnsi" w:eastAsiaTheme="minorEastAsia" w:hAnsiTheme="minorHAnsi" w:cstheme="minorBidi"/>
            <w:b w:val="0"/>
            <w:sz w:val="22"/>
            <w:szCs w:val="22"/>
          </w:rPr>
          <w:tab/>
        </w:r>
        <w:r w:rsidRPr="00900022">
          <w:rPr>
            <w:rStyle w:val="Hyperlink"/>
            <w:lang w:val="en-GB"/>
          </w:rPr>
          <w:t>DBA (Deregulation of Assessment of Independent Contractor Status) Act</w:t>
        </w:r>
        <w:r>
          <w:rPr>
            <w:webHidden/>
          </w:rPr>
          <w:tab/>
        </w:r>
        <w:r>
          <w:rPr>
            <w:webHidden/>
          </w:rPr>
          <w:fldChar w:fldCharType="begin"/>
        </w:r>
        <w:r>
          <w:rPr>
            <w:webHidden/>
          </w:rPr>
          <w:instrText xml:space="preserve"> PAGEREF _Toc536010241 \h </w:instrText>
        </w:r>
        <w:r>
          <w:rPr>
            <w:webHidden/>
          </w:rPr>
        </w:r>
        <w:r>
          <w:rPr>
            <w:webHidden/>
          </w:rPr>
          <w:fldChar w:fldCharType="separate"/>
        </w:r>
        <w:r>
          <w:rPr>
            <w:webHidden/>
          </w:rPr>
          <w:t>23</w:t>
        </w:r>
        <w:r>
          <w:rPr>
            <w:webHidden/>
          </w:rPr>
          <w:fldChar w:fldCharType="end"/>
        </w:r>
      </w:hyperlink>
    </w:p>
    <w:p w14:paraId="5E4DEFDE" w14:textId="77777777" w:rsidR="007164CA" w:rsidRDefault="007164CA">
      <w:pPr>
        <w:pStyle w:val="Inhopg2"/>
        <w:tabs>
          <w:tab w:val="left" w:pos="880"/>
          <w:tab w:val="right" w:leader="dot" w:pos="9062"/>
        </w:tabs>
        <w:rPr>
          <w:rFonts w:asciiTheme="minorHAnsi" w:eastAsiaTheme="minorEastAsia" w:hAnsiTheme="minorHAnsi" w:cstheme="minorBidi"/>
          <w:noProof/>
          <w:szCs w:val="22"/>
        </w:rPr>
      </w:pPr>
      <w:hyperlink w:anchor="_Toc536010242" w:history="1">
        <w:r w:rsidRPr="00900022">
          <w:rPr>
            <w:rStyle w:val="Hyperlink"/>
            <w:rFonts w:eastAsia="Calibri"/>
            <w:noProof/>
          </w:rPr>
          <w:t>5.1</w:t>
        </w:r>
        <w:r>
          <w:rPr>
            <w:rFonts w:asciiTheme="minorHAnsi" w:eastAsiaTheme="minorEastAsia" w:hAnsiTheme="minorHAnsi" w:cstheme="minorBidi"/>
            <w:noProof/>
            <w:szCs w:val="22"/>
          </w:rPr>
          <w:tab/>
        </w:r>
        <w:r w:rsidRPr="00900022">
          <w:rPr>
            <w:rStyle w:val="Hyperlink"/>
            <w:rFonts w:eastAsia="Calibri"/>
            <w:bCs/>
            <w:noProof/>
            <w:lang w:val="en-GB"/>
          </w:rPr>
          <w:t>Postponement replacement of DBA Act</w:t>
        </w:r>
        <w:r>
          <w:rPr>
            <w:noProof/>
            <w:webHidden/>
          </w:rPr>
          <w:tab/>
        </w:r>
        <w:r>
          <w:rPr>
            <w:noProof/>
            <w:webHidden/>
          </w:rPr>
          <w:fldChar w:fldCharType="begin"/>
        </w:r>
        <w:r>
          <w:rPr>
            <w:noProof/>
            <w:webHidden/>
          </w:rPr>
          <w:instrText xml:space="preserve"> PAGEREF _Toc536010242 \h </w:instrText>
        </w:r>
        <w:r>
          <w:rPr>
            <w:noProof/>
            <w:webHidden/>
          </w:rPr>
        </w:r>
        <w:r>
          <w:rPr>
            <w:noProof/>
            <w:webHidden/>
          </w:rPr>
          <w:fldChar w:fldCharType="separate"/>
        </w:r>
        <w:r>
          <w:rPr>
            <w:noProof/>
            <w:webHidden/>
          </w:rPr>
          <w:t>23</w:t>
        </w:r>
        <w:r>
          <w:rPr>
            <w:noProof/>
            <w:webHidden/>
          </w:rPr>
          <w:fldChar w:fldCharType="end"/>
        </w:r>
      </w:hyperlink>
    </w:p>
    <w:p w14:paraId="6EF7F2E9" w14:textId="77777777" w:rsidR="007164CA" w:rsidRDefault="007164CA">
      <w:pPr>
        <w:pStyle w:val="Inhopg1"/>
        <w:tabs>
          <w:tab w:val="left" w:pos="480"/>
        </w:tabs>
        <w:rPr>
          <w:rFonts w:asciiTheme="minorHAnsi" w:eastAsiaTheme="minorEastAsia" w:hAnsiTheme="minorHAnsi" w:cstheme="minorBidi"/>
          <w:b w:val="0"/>
          <w:sz w:val="22"/>
          <w:szCs w:val="22"/>
        </w:rPr>
      </w:pPr>
      <w:hyperlink w:anchor="_Toc536010243" w:history="1">
        <w:r w:rsidRPr="00900022">
          <w:rPr>
            <w:rStyle w:val="Hyperlink"/>
            <w:rFonts w:eastAsia="Calibri"/>
            <w:lang w:val="en-GB"/>
          </w:rPr>
          <w:t>6</w:t>
        </w:r>
        <w:r>
          <w:rPr>
            <w:rFonts w:asciiTheme="minorHAnsi" w:eastAsiaTheme="minorEastAsia" w:hAnsiTheme="minorHAnsi" w:cstheme="minorBidi"/>
            <w:b w:val="0"/>
            <w:sz w:val="22"/>
            <w:szCs w:val="22"/>
          </w:rPr>
          <w:tab/>
        </w:r>
        <w:r w:rsidRPr="00900022">
          <w:rPr>
            <w:rStyle w:val="Hyperlink"/>
            <w:rFonts w:eastAsia="Calibri"/>
            <w:lang w:val="en-GB"/>
          </w:rPr>
          <w:t>DGA (Director and Major Shareholder): customary wage and self-administered pension</w:t>
        </w:r>
        <w:r>
          <w:rPr>
            <w:webHidden/>
          </w:rPr>
          <w:tab/>
        </w:r>
        <w:r>
          <w:rPr>
            <w:webHidden/>
          </w:rPr>
          <w:fldChar w:fldCharType="begin"/>
        </w:r>
        <w:r>
          <w:rPr>
            <w:webHidden/>
          </w:rPr>
          <w:instrText xml:space="preserve"> PAGEREF _Toc536010243 \h </w:instrText>
        </w:r>
        <w:r>
          <w:rPr>
            <w:webHidden/>
          </w:rPr>
        </w:r>
        <w:r>
          <w:rPr>
            <w:webHidden/>
          </w:rPr>
          <w:fldChar w:fldCharType="separate"/>
        </w:r>
        <w:r>
          <w:rPr>
            <w:webHidden/>
          </w:rPr>
          <w:t>24</w:t>
        </w:r>
        <w:r>
          <w:rPr>
            <w:webHidden/>
          </w:rPr>
          <w:fldChar w:fldCharType="end"/>
        </w:r>
      </w:hyperlink>
    </w:p>
    <w:p w14:paraId="392EB7A0" w14:textId="77777777" w:rsidR="007164CA" w:rsidRDefault="007164CA">
      <w:pPr>
        <w:pStyle w:val="Inhopg2"/>
        <w:tabs>
          <w:tab w:val="left" w:pos="880"/>
          <w:tab w:val="right" w:leader="dot" w:pos="9062"/>
        </w:tabs>
        <w:rPr>
          <w:rFonts w:asciiTheme="minorHAnsi" w:eastAsiaTheme="minorEastAsia" w:hAnsiTheme="minorHAnsi" w:cstheme="minorBidi"/>
          <w:noProof/>
          <w:szCs w:val="22"/>
        </w:rPr>
      </w:pPr>
      <w:hyperlink w:anchor="_Toc536010244" w:history="1">
        <w:r w:rsidRPr="00900022">
          <w:rPr>
            <w:rStyle w:val="Hyperlink"/>
            <w:noProof/>
          </w:rPr>
          <w:t>6.1</w:t>
        </w:r>
        <w:r>
          <w:rPr>
            <w:rFonts w:asciiTheme="minorHAnsi" w:eastAsiaTheme="minorEastAsia" w:hAnsiTheme="minorHAnsi" w:cstheme="minorBidi"/>
            <w:noProof/>
            <w:szCs w:val="22"/>
          </w:rPr>
          <w:tab/>
        </w:r>
        <w:r w:rsidRPr="00900022">
          <w:rPr>
            <w:rStyle w:val="Hyperlink"/>
            <w:bCs/>
            <w:noProof/>
            <w:lang w:val="en-GB"/>
          </w:rPr>
          <w:t>Customary wage of DGA</w:t>
        </w:r>
        <w:r>
          <w:rPr>
            <w:noProof/>
            <w:webHidden/>
          </w:rPr>
          <w:tab/>
        </w:r>
        <w:r>
          <w:rPr>
            <w:noProof/>
            <w:webHidden/>
          </w:rPr>
          <w:fldChar w:fldCharType="begin"/>
        </w:r>
        <w:r>
          <w:rPr>
            <w:noProof/>
            <w:webHidden/>
          </w:rPr>
          <w:instrText xml:space="preserve"> PAGEREF _Toc536010244 \h </w:instrText>
        </w:r>
        <w:r>
          <w:rPr>
            <w:noProof/>
            <w:webHidden/>
          </w:rPr>
        </w:r>
        <w:r>
          <w:rPr>
            <w:noProof/>
            <w:webHidden/>
          </w:rPr>
          <w:fldChar w:fldCharType="separate"/>
        </w:r>
        <w:r>
          <w:rPr>
            <w:noProof/>
            <w:webHidden/>
          </w:rPr>
          <w:t>24</w:t>
        </w:r>
        <w:r>
          <w:rPr>
            <w:noProof/>
            <w:webHidden/>
          </w:rPr>
          <w:fldChar w:fldCharType="end"/>
        </w:r>
      </w:hyperlink>
    </w:p>
    <w:p w14:paraId="50474D04" w14:textId="77777777" w:rsidR="007164CA" w:rsidRDefault="007164CA">
      <w:pPr>
        <w:pStyle w:val="Inhopg2"/>
        <w:tabs>
          <w:tab w:val="left" w:pos="880"/>
          <w:tab w:val="right" w:leader="dot" w:pos="9062"/>
        </w:tabs>
        <w:rPr>
          <w:rFonts w:asciiTheme="minorHAnsi" w:eastAsiaTheme="minorEastAsia" w:hAnsiTheme="minorHAnsi" w:cstheme="minorBidi"/>
          <w:noProof/>
          <w:szCs w:val="22"/>
        </w:rPr>
      </w:pPr>
      <w:hyperlink w:anchor="_Toc536010245" w:history="1">
        <w:r w:rsidRPr="00900022">
          <w:rPr>
            <w:rStyle w:val="Hyperlink"/>
            <w:rFonts w:eastAsia="Calibri"/>
            <w:noProof/>
            <w:lang w:val="en-GB"/>
          </w:rPr>
          <w:t>6.2</w:t>
        </w:r>
        <w:r>
          <w:rPr>
            <w:rFonts w:asciiTheme="minorHAnsi" w:eastAsiaTheme="minorEastAsia" w:hAnsiTheme="minorHAnsi" w:cstheme="minorBidi"/>
            <w:noProof/>
            <w:szCs w:val="22"/>
          </w:rPr>
          <w:tab/>
        </w:r>
        <w:r w:rsidRPr="00900022">
          <w:rPr>
            <w:rStyle w:val="Hyperlink"/>
            <w:rFonts w:eastAsia="Calibri"/>
            <w:bCs/>
            <w:noProof/>
            <w:lang w:val="en-GB"/>
          </w:rPr>
          <w:t>More time for mandatory form commutation DGA pension</w:t>
        </w:r>
        <w:r>
          <w:rPr>
            <w:noProof/>
            <w:webHidden/>
          </w:rPr>
          <w:tab/>
        </w:r>
        <w:r>
          <w:rPr>
            <w:noProof/>
            <w:webHidden/>
          </w:rPr>
          <w:fldChar w:fldCharType="begin"/>
        </w:r>
        <w:r>
          <w:rPr>
            <w:noProof/>
            <w:webHidden/>
          </w:rPr>
          <w:instrText xml:space="preserve"> PAGEREF _Toc536010245 \h </w:instrText>
        </w:r>
        <w:r>
          <w:rPr>
            <w:noProof/>
            <w:webHidden/>
          </w:rPr>
        </w:r>
        <w:r>
          <w:rPr>
            <w:noProof/>
            <w:webHidden/>
          </w:rPr>
          <w:fldChar w:fldCharType="separate"/>
        </w:r>
        <w:r>
          <w:rPr>
            <w:noProof/>
            <w:webHidden/>
          </w:rPr>
          <w:t>25</w:t>
        </w:r>
        <w:r>
          <w:rPr>
            <w:noProof/>
            <w:webHidden/>
          </w:rPr>
          <w:fldChar w:fldCharType="end"/>
        </w:r>
      </w:hyperlink>
    </w:p>
    <w:p w14:paraId="5A626EC3" w14:textId="77777777" w:rsidR="007164CA" w:rsidRDefault="007164CA">
      <w:pPr>
        <w:pStyle w:val="Inhopg2"/>
        <w:tabs>
          <w:tab w:val="left" w:pos="880"/>
          <w:tab w:val="right" w:leader="dot" w:pos="9062"/>
        </w:tabs>
        <w:rPr>
          <w:rFonts w:asciiTheme="minorHAnsi" w:eastAsiaTheme="minorEastAsia" w:hAnsiTheme="minorHAnsi" w:cstheme="minorBidi"/>
          <w:noProof/>
          <w:szCs w:val="22"/>
        </w:rPr>
      </w:pPr>
      <w:hyperlink w:anchor="_Toc536010246" w:history="1">
        <w:r w:rsidRPr="00900022">
          <w:rPr>
            <w:rStyle w:val="Hyperlink"/>
            <w:rFonts w:eastAsia="Calibri"/>
            <w:noProof/>
          </w:rPr>
          <w:t>6.3</w:t>
        </w:r>
        <w:r>
          <w:rPr>
            <w:rFonts w:asciiTheme="minorHAnsi" w:eastAsiaTheme="minorEastAsia" w:hAnsiTheme="minorHAnsi" w:cstheme="minorBidi"/>
            <w:noProof/>
            <w:szCs w:val="22"/>
          </w:rPr>
          <w:tab/>
        </w:r>
        <w:r w:rsidRPr="00900022">
          <w:rPr>
            <w:rStyle w:val="Hyperlink"/>
            <w:rFonts w:eastAsia="Calibri"/>
            <w:bCs/>
            <w:noProof/>
            <w:lang w:val="en-GB"/>
          </w:rPr>
          <w:t>Pension of DGA</w:t>
        </w:r>
        <w:r>
          <w:rPr>
            <w:noProof/>
            <w:webHidden/>
          </w:rPr>
          <w:tab/>
        </w:r>
        <w:r>
          <w:rPr>
            <w:noProof/>
            <w:webHidden/>
          </w:rPr>
          <w:fldChar w:fldCharType="begin"/>
        </w:r>
        <w:r>
          <w:rPr>
            <w:noProof/>
            <w:webHidden/>
          </w:rPr>
          <w:instrText xml:space="preserve"> PAGEREF _Toc536010246 \h </w:instrText>
        </w:r>
        <w:r>
          <w:rPr>
            <w:noProof/>
            <w:webHidden/>
          </w:rPr>
        </w:r>
        <w:r>
          <w:rPr>
            <w:noProof/>
            <w:webHidden/>
          </w:rPr>
          <w:fldChar w:fldCharType="separate"/>
        </w:r>
        <w:r>
          <w:rPr>
            <w:noProof/>
            <w:webHidden/>
          </w:rPr>
          <w:t>25</w:t>
        </w:r>
        <w:r>
          <w:rPr>
            <w:noProof/>
            <w:webHidden/>
          </w:rPr>
          <w:fldChar w:fldCharType="end"/>
        </w:r>
      </w:hyperlink>
    </w:p>
    <w:p w14:paraId="0D4026A7" w14:textId="77777777" w:rsidR="007164CA" w:rsidRDefault="007164CA">
      <w:pPr>
        <w:pStyle w:val="Inhopg2"/>
        <w:tabs>
          <w:tab w:val="left" w:pos="880"/>
          <w:tab w:val="right" w:leader="dot" w:pos="9062"/>
        </w:tabs>
        <w:rPr>
          <w:rFonts w:asciiTheme="minorHAnsi" w:eastAsiaTheme="minorEastAsia" w:hAnsiTheme="minorHAnsi" w:cstheme="minorBidi"/>
          <w:noProof/>
          <w:szCs w:val="22"/>
        </w:rPr>
      </w:pPr>
      <w:hyperlink w:anchor="_Toc536010247" w:history="1">
        <w:r w:rsidRPr="00900022">
          <w:rPr>
            <w:rStyle w:val="Hyperlink"/>
            <w:rFonts w:eastAsia="Calibri"/>
            <w:noProof/>
            <w:lang w:val="en-GB"/>
          </w:rPr>
          <w:t>6.4</w:t>
        </w:r>
        <w:r>
          <w:rPr>
            <w:rFonts w:asciiTheme="minorHAnsi" w:eastAsiaTheme="minorEastAsia" w:hAnsiTheme="minorHAnsi" w:cstheme="minorBidi"/>
            <w:noProof/>
            <w:szCs w:val="22"/>
          </w:rPr>
          <w:tab/>
        </w:r>
        <w:r w:rsidRPr="00900022">
          <w:rPr>
            <w:rStyle w:val="Hyperlink"/>
            <w:rFonts w:eastAsia="Calibri"/>
            <w:bCs/>
            <w:noProof/>
            <w:lang w:val="en-GB"/>
          </w:rPr>
          <w:t>Retirement facility in the company; reserve amount permitted?</w:t>
        </w:r>
        <w:r>
          <w:rPr>
            <w:noProof/>
            <w:webHidden/>
          </w:rPr>
          <w:tab/>
        </w:r>
        <w:r>
          <w:rPr>
            <w:noProof/>
            <w:webHidden/>
          </w:rPr>
          <w:fldChar w:fldCharType="begin"/>
        </w:r>
        <w:r>
          <w:rPr>
            <w:noProof/>
            <w:webHidden/>
          </w:rPr>
          <w:instrText xml:space="preserve"> PAGEREF _Toc536010247 \h </w:instrText>
        </w:r>
        <w:r>
          <w:rPr>
            <w:noProof/>
            <w:webHidden/>
          </w:rPr>
        </w:r>
        <w:r>
          <w:rPr>
            <w:noProof/>
            <w:webHidden/>
          </w:rPr>
          <w:fldChar w:fldCharType="separate"/>
        </w:r>
        <w:r>
          <w:rPr>
            <w:noProof/>
            <w:webHidden/>
          </w:rPr>
          <w:t>26</w:t>
        </w:r>
        <w:r>
          <w:rPr>
            <w:noProof/>
            <w:webHidden/>
          </w:rPr>
          <w:fldChar w:fldCharType="end"/>
        </w:r>
      </w:hyperlink>
    </w:p>
    <w:p w14:paraId="71179926" w14:textId="77777777" w:rsidR="007164CA" w:rsidRDefault="007164CA">
      <w:pPr>
        <w:pStyle w:val="Inhopg1"/>
        <w:tabs>
          <w:tab w:val="left" w:pos="480"/>
        </w:tabs>
        <w:rPr>
          <w:rFonts w:asciiTheme="minorHAnsi" w:eastAsiaTheme="minorEastAsia" w:hAnsiTheme="minorHAnsi" w:cstheme="minorBidi"/>
          <w:b w:val="0"/>
          <w:sz w:val="22"/>
          <w:szCs w:val="22"/>
        </w:rPr>
      </w:pPr>
      <w:hyperlink w:anchor="_Toc536010248" w:history="1">
        <w:r w:rsidRPr="00900022">
          <w:rPr>
            <w:rStyle w:val="Hyperlink"/>
            <w:rFonts w:eastAsia="Calibri"/>
            <w:lang w:val="en-GB"/>
          </w:rPr>
          <w:t>7</w:t>
        </w:r>
        <w:r>
          <w:rPr>
            <w:rFonts w:asciiTheme="minorHAnsi" w:eastAsiaTheme="minorEastAsia" w:hAnsiTheme="minorHAnsi" w:cstheme="minorBidi"/>
            <w:b w:val="0"/>
            <w:sz w:val="22"/>
            <w:szCs w:val="22"/>
          </w:rPr>
          <w:tab/>
        </w:r>
        <w:r w:rsidRPr="00900022">
          <w:rPr>
            <w:rStyle w:val="Hyperlink"/>
            <w:lang w:val="en-GB"/>
          </w:rPr>
          <w:t>Tax addition to income for car</w:t>
        </w:r>
        <w:r>
          <w:rPr>
            <w:webHidden/>
          </w:rPr>
          <w:tab/>
        </w:r>
        <w:r>
          <w:rPr>
            <w:webHidden/>
          </w:rPr>
          <w:fldChar w:fldCharType="begin"/>
        </w:r>
        <w:r>
          <w:rPr>
            <w:webHidden/>
          </w:rPr>
          <w:instrText xml:space="preserve"> PAGEREF _Toc536010248 \h </w:instrText>
        </w:r>
        <w:r>
          <w:rPr>
            <w:webHidden/>
          </w:rPr>
        </w:r>
        <w:r>
          <w:rPr>
            <w:webHidden/>
          </w:rPr>
          <w:fldChar w:fldCharType="separate"/>
        </w:r>
        <w:r>
          <w:rPr>
            <w:webHidden/>
          </w:rPr>
          <w:t>27</w:t>
        </w:r>
        <w:r>
          <w:rPr>
            <w:webHidden/>
          </w:rPr>
          <w:fldChar w:fldCharType="end"/>
        </w:r>
      </w:hyperlink>
    </w:p>
    <w:p w14:paraId="315B47C2" w14:textId="77777777" w:rsidR="007164CA" w:rsidRDefault="007164CA">
      <w:pPr>
        <w:pStyle w:val="Inhopg2"/>
        <w:tabs>
          <w:tab w:val="left" w:pos="880"/>
          <w:tab w:val="right" w:leader="dot" w:pos="9062"/>
        </w:tabs>
        <w:rPr>
          <w:rFonts w:asciiTheme="minorHAnsi" w:eastAsiaTheme="minorEastAsia" w:hAnsiTheme="minorHAnsi" w:cstheme="minorBidi"/>
          <w:noProof/>
          <w:szCs w:val="22"/>
        </w:rPr>
      </w:pPr>
      <w:hyperlink w:anchor="_Toc536010249" w:history="1">
        <w:r w:rsidRPr="00900022">
          <w:rPr>
            <w:rStyle w:val="Hyperlink"/>
            <w:noProof/>
          </w:rPr>
          <w:t>7.1</w:t>
        </w:r>
        <w:r>
          <w:rPr>
            <w:rFonts w:asciiTheme="minorHAnsi" w:eastAsiaTheme="minorEastAsia" w:hAnsiTheme="minorHAnsi" w:cstheme="minorBidi"/>
            <w:noProof/>
            <w:szCs w:val="22"/>
          </w:rPr>
          <w:tab/>
        </w:r>
        <w:r w:rsidRPr="00900022">
          <w:rPr>
            <w:rStyle w:val="Hyperlink"/>
            <w:bCs/>
            <w:noProof/>
            <w:lang w:val="en-GB"/>
          </w:rPr>
          <w:t>2019 tax addition rates</w:t>
        </w:r>
        <w:r>
          <w:rPr>
            <w:noProof/>
            <w:webHidden/>
          </w:rPr>
          <w:tab/>
        </w:r>
        <w:r>
          <w:rPr>
            <w:noProof/>
            <w:webHidden/>
          </w:rPr>
          <w:fldChar w:fldCharType="begin"/>
        </w:r>
        <w:r>
          <w:rPr>
            <w:noProof/>
            <w:webHidden/>
          </w:rPr>
          <w:instrText xml:space="preserve"> PAGEREF _Toc536010249 \h </w:instrText>
        </w:r>
        <w:r>
          <w:rPr>
            <w:noProof/>
            <w:webHidden/>
          </w:rPr>
        </w:r>
        <w:r>
          <w:rPr>
            <w:noProof/>
            <w:webHidden/>
          </w:rPr>
          <w:fldChar w:fldCharType="separate"/>
        </w:r>
        <w:r>
          <w:rPr>
            <w:noProof/>
            <w:webHidden/>
          </w:rPr>
          <w:t>27</w:t>
        </w:r>
        <w:r>
          <w:rPr>
            <w:noProof/>
            <w:webHidden/>
          </w:rPr>
          <w:fldChar w:fldCharType="end"/>
        </w:r>
      </w:hyperlink>
    </w:p>
    <w:p w14:paraId="5E27889C" w14:textId="77777777" w:rsidR="00F272F4" w:rsidRPr="00A14C21" w:rsidRDefault="00F272F4" w:rsidP="004C7AA5">
      <w:pPr>
        <w:rPr>
          <w:rFonts w:ascii="Arial" w:hAnsi="Arial" w:cs="Arial"/>
          <w:sz w:val="20"/>
          <w:szCs w:val="20"/>
        </w:rPr>
      </w:pPr>
      <w:r>
        <w:rPr>
          <w:rFonts w:ascii="Arial" w:hAnsi="Arial" w:cs="Arial"/>
          <w:b/>
          <w:bCs/>
          <w:sz w:val="20"/>
          <w:szCs w:val="20"/>
        </w:rPr>
        <w:fldChar w:fldCharType="end"/>
      </w:r>
    </w:p>
    <w:p w14:paraId="7C67EB57" w14:textId="404C86FA" w:rsidR="00322AD9" w:rsidRPr="008D49E6" w:rsidRDefault="00AB7B10" w:rsidP="00322AD9">
      <w:pPr>
        <w:pStyle w:val="Kop1"/>
        <w:rPr>
          <w:rFonts w:cs="Arial"/>
          <w:lang w:val="en-GB"/>
        </w:rPr>
      </w:pPr>
      <w:bookmarkStart w:id="2" w:name="_GoBack"/>
      <w:bookmarkEnd w:id="1"/>
      <w:bookmarkEnd w:id="2"/>
      <w:r>
        <w:rPr>
          <w:b w:val="0"/>
          <w:bCs w:val="0"/>
          <w:lang w:val="en-GB"/>
        </w:rPr>
        <w:br w:type="page"/>
      </w:r>
      <w:bookmarkStart w:id="3" w:name="_Toc534204725"/>
      <w:bookmarkStart w:id="4" w:name="_Toc536010190"/>
      <w:r>
        <w:rPr>
          <w:lang w:val="en-GB"/>
        </w:rPr>
        <w:lastRenderedPageBreak/>
        <w:t>Various withholding taxes and social insurance contributions</w:t>
      </w:r>
      <w:bookmarkEnd w:id="3"/>
      <w:bookmarkEnd w:id="4"/>
    </w:p>
    <w:p w14:paraId="39BC5268" w14:textId="77777777" w:rsidR="00322AD9" w:rsidRPr="008D49E6" w:rsidRDefault="00322AD9" w:rsidP="00322AD9">
      <w:pPr>
        <w:rPr>
          <w:rFonts w:ascii="Arial" w:hAnsi="Arial" w:cs="Arial"/>
          <w:sz w:val="20"/>
          <w:szCs w:val="20"/>
          <w:lang w:val="en-GB"/>
        </w:rPr>
      </w:pPr>
    </w:p>
    <w:p w14:paraId="08B2258B" w14:textId="77777777" w:rsidR="00322AD9" w:rsidRPr="00BE4865" w:rsidRDefault="00322AD9" w:rsidP="0004786C">
      <w:pPr>
        <w:pStyle w:val="Kop2"/>
        <w:rPr>
          <w:rFonts w:eastAsia="Calibri"/>
        </w:rPr>
      </w:pPr>
      <w:bookmarkStart w:id="5" w:name="_Toc534204772"/>
      <w:bookmarkStart w:id="6" w:name="_Toc534204726"/>
      <w:bookmarkStart w:id="7" w:name="_Toc536010191"/>
      <w:r>
        <w:rPr>
          <w:rFonts w:eastAsia="Calibri"/>
          <w:bCs/>
          <w:iCs w:val="0"/>
          <w:lang w:val="en-GB"/>
        </w:rPr>
        <w:t>Changes to income tax</w:t>
      </w:r>
      <w:bookmarkEnd w:id="5"/>
      <w:bookmarkEnd w:id="7"/>
    </w:p>
    <w:p w14:paraId="3556FD18" w14:textId="77777777" w:rsidR="00322AD9" w:rsidRPr="00BE4865" w:rsidRDefault="00322AD9" w:rsidP="00322AD9">
      <w:pPr>
        <w:rPr>
          <w:rFonts w:ascii="Arial" w:eastAsia="Calibri" w:hAnsi="Arial" w:cs="Arial"/>
          <w:sz w:val="20"/>
          <w:szCs w:val="20"/>
          <w:u w:val="single"/>
        </w:rPr>
      </w:pPr>
    </w:p>
    <w:p w14:paraId="3CD59D5D"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 xml:space="preserve">Changes to the income tax will become effective as per 1 January 2019. In the first place, the income tax rates in box 1 will be reduced for incomes over €20,142 as per 1 January 2019. As from 2021, two tax brackets will be eliminated, leaving just two tax brackets. </w:t>
      </w:r>
    </w:p>
    <w:p w14:paraId="6A02DB9D" w14:textId="77777777" w:rsidR="00322AD9" w:rsidRPr="008D49E6" w:rsidRDefault="00322AD9" w:rsidP="00322AD9">
      <w:pPr>
        <w:rPr>
          <w:rFonts w:ascii="Arial" w:eastAsia="Calibri" w:hAnsi="Arial" w:cs="Arial"/>
          <w:sz w:val="20"/>
          <w:szCs w:val="20"/>
          <w:lang w:val="en-GB"/>
        </w:rPr>
      </w:pPr>
    </w:p>
    <w:p w14:paraId="0AB00648"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2019 rate change</w:t>
      </w:r>
    </w:p>
    <w:p w14:paraId="426DF10F" w14:textId="40462C71"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The rate of the first bracket applied to income up to €20,142 is raised by 0.1 percentage point from 36.55% to 36.65%. The rate of the second and third brackets applied to income between €20,142 and €68,507 is significantly reduced from 40.85% to 38.1%. The current tax rate on income above €68,507 is 51.95%. This will be reduced to 51.75% next year.</w:t>
      </w:r>
    </w:p>
    <w:p w14:paraId="0EC5979B" w14:textId="5F23C99C" w:rsidR="00322AD9" w:rsidRPr="008D49E6" w:rsidRDefault="00322AD9" w:rsidP="00322AD9">
      <w:pPr>
        <w:rPr>
          <w:rFonts w:ascii="Arial" w:eastAsia="Calibri" w:hAnsi="Arial" w:cs="Arial"/>
          <w:sz w:val="20"/>
          <w:szCs w:val="20"/>
          <w:lang w:val="en-GB"/>
        </w:rPr>
      </w:pPr>
    </w:p>
    <w:tbl>
      <w:tblPr>
        <w:tblW w:w="0" w:type="auto"/>
        <w:tblCellMar>
          <w:left w:w="0" w:type="dxa"/>
          <w:right w:w="0" w:type="dxa"/>
        </w:tblCellMar>
        <w:tblLook w:val="04A0" w:firstRow="1" w:lastRow="0" w:firstColumn="1" w:lastColumn="0" w:noHBand="0" w:noVBand="1"/>
      </w:tblPr>
      <w:tblGrid>
        <w:gridCol w:w="505"/>
        <w:gridCol w:w="116"/>
        <w:gridCol w:w="116"/>
        <w:gridCol w:w="1217"/>
        <w:gridCol w:w="116"/>
        <w:gridCol w:w="116"/>
        <w:gridCol w:w="1217"/>
        <w:gridCol w:w="116"/>
        <w:gridCol w:w="116"/>
        <w:gridCol w:w="1217"/>
        <w:gridCol w:w="116"/>
        <w:gridCol w:w="116"/>
        <w:gridCol w:w="956"/>
      </w:tblGrid>
      <w:tr w:rsidR="00322AD9" w:rsidRPr="00BE4865" w14:paraId="00B3F2CB" w14:textId="77777777" w:rsidTr="003D1152">
        <w:trPr>
          <w:gridAfter w:val="1"/>
        </w:trPr>
        <w:tc>
          <w:tcPr>
            <w:tcW w:w="0" w:type="auto"/>
            <w:tcBorders>
              <w:top w:val="single" w:sz="6" w:space="0" w:color="FFFFFF"/>
              <w:left w:val="single" w:sz="6" w:space="0" w:color="FFFFFF"/>
              <w:bottom w:val="single" w:sz="6" w:space="0" w:color="FFFFFF"/>
              <w:right w:val="single" w:sz="6" w:space="0" w:color="FFFFFF"/>
            </w:tcBorders>
            <w:shd w:val="clear" w:color="auto" w:fill="auto"/>
            <w:tcMar>
              <w:top w:w="30" w:type="dxa"/>
              <w:left w:w="30" w:type="dxa"/>
              <w:bottom w:w="30" w:type="dxa"/>
              <w:right w:w="30" w:type="dxa"/>
            </w:tcMar>
            <w:vAlign w:val="center"/>
            <w:hideMark/>
          </w:tcPr>
          <w:p w14:paraId="4D55CFE7" w14:textId="77777777" w:rsidR="00322AD9" w:rsidRPr="008D49E6" w:rsidRDefault="00322AD9" w:rsidP="0004786C">
            <w:pPr>
              <w:rPr>
                <w:rFonts w:ascii="Arial" w:hAnsi="Arial" w:cs="Arial"/>
                <w:sz w:val="20"/>
                <w:szCs w:val="20"/>
                <w:lang w:val="en-GB"/>
              </w:rPr>
            </w:pP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7015AC67" w14:textId="77777777" w:rsidR="00322AD9" w:rsidRPr="008D49E6" w:rsidRDefault="00322AD9" w:rsidP="0004786C">
            <w:pPr>
              <w:rPr>
                <w:rFonts w:ascii="Arial" w:hAnsi="Arial" w:cs="Arial"/>
                <w:color w:val="444444"/>
                <w:sz w:val="20"/>
                <w:szCs w:val="20"/>
                <w:lang w:val="en-GB"/>
              </w:rPr>
            </w:pPr>
            <w:r>
              <w:rPr>
                <w:rFonts w:ascii="Arial" w:hAnsi="Arial" w:cs="Arial"/>
                <w:color w:val="444444"/>
                <w:sz w:val="20"/>
                <w:szCs w:val="20"/>
                <w:lang w:val="en-GB"/>
              </w:rPr>
              <w:t> </w:t>
            </w:r>
          </w:p>
        </w:tc>
        <w:tc>
          <w:tcPr>
            <w:tcW w:w="0" w:type="auto"/>
            <w:gridSpan w:val="10"/>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0A83E34F" w14:textId="77777777" w:rsidR="00322AD9" w:rsidRPr="00BE4865" w:rsidRDefault="00322AD9" w:rsidP="0004786C">
            <w:pPr>
              <w:rPr>
                <w:rFonts w:ascii="Arial" w:hAnsi="Arial" w:cs="Arial"/>
                <w:color w:val="444444"/>
                <w:sz w:val="20"/>
                <w:szCs w:val="20"/>
              </w:rPr>
            </w:pPr>
            <w:r>
              <w:rPr>
                <w:rFonts w:ascii="Arial" w:hAnsi="Arial" w:cs="Arial"/>
                <w:color w:val="444444"/>
                <w:sz w:val="20"/>
                <w:szCs w:val="20"/>
                <w:lang w:val="en-GB"/>
              </w:rPr>
              <w:t>Tax percentage in box 1</w:t>
            </w:r>
          </w:p>
        </w:tc>
      </w:tr>
      <w:tr w:rsidR="00322AD9" w:rsidRPr="00BE4865" w14:paraId="3DB53FA7" w14:textId="77777777" w:rsidTr="003D1152">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127605DA" w14:textId="77777777" w:rsidR="00322AD9" w:rsidRPr="00BE4865" w:rsidRDefault="00322AD9" w:rsidP="0004786C">
            <w:pPr>
              <w:rPr>
                <w:rFonts w:ascii="Arial" w:hAnsi="Arial" w:cs="Arial"/>
                <w:color w:val="444444"/>
                <w:sz w:val="20"/>
                <w:szCs w:val="20"/>
              </w:rPr>
            </w:pPr>
            <w:r>
              <w:rPr>
                <w:rFonts w:ascii="Arial" w:hAnsi="Arial" w:cs="Arial"/>
                <w:color w:val="444444"/>
                <w:sz w:val="20"/>
                <w:szCs w:val="20"/>
                <w:lang w:val="en-GB"/>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54CB4733" w14:textId="77777777" w:rsidR="00322AD9" w:rsidRPr="00BE4865" w:rsidRDefault="00322AD9" w:rsidP="0004786C">
            <w:pPr>
              <w:rPr>
                <w:rFonts w:ascii="Arial" w:hAnsi="Arial" w:cs="Arial"/>
                <w:color w:val="444444"/>
                <w:sz w:val="20"/>
                <w:szCs w:val="20"/>
              </w:rPr>
            </w:pPr>
            <w:r>
              <w:rPr>
                <w:rFonts w:ascii="Arial" w:hAnsi="Arial" w:cs="Arial"/>
                <w:color w:val="444444"/>
                <w:sz w:val="20"/>
                <w:szCs w:val="20"/>
                <w:lang w:val="en-GB"/>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15774E0D" w14:textId="77777777" w:rsidR="00322AD9" w:rsidRPr="00BE4865" w:rsidRDefault="00322AD9" w:rsidP="0004786C">
            <w:pPr>
              <w:rPr>
                <w:rFonts w:ascii="Arial" w:hAnsi="Arial" w:cs="Arial"/>
                <w:color w:val="444444"/>
                <w:sz w:val="20"/>
                <w:szCs w:val="20"/>
              </w:rPr>
            </w:pPr>
            <w:r>
              <w:rPr>
                <w:rFonts w:ascii="Arial" w:hAnsi="Arial" w:cs="Arial"/>
                <w:color w:val="444444"/>
                <w:sz w:val="20"/>
                <w:szCs w:val="20"/>
                <w:lang w:val="en-GB"/>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1CFA14B4" w14:textId="77777777" w:rsidR="00322AD9" w:rsidRPr="00BE4865" w:rsidRDefault="00322AD9" w:rsidP="0004786C">
            <w:pPr>
              <w:rPr>
                <w:rFonts w:ascii="Arial" w:hAnsi="Arial" w:cs="Arial"/>
                <w:color w:val="444444"/>
                <w:sz w:val="20"/>
                <w:szCs w:val="20"/>
              </w:rPr>
            </w:pPr>
            <w:r>
              <w:rPr>
                <w:rFonts w:ascii="Arial" w:hAnsi="Arial" w:cs="Arial"/>
                <w:b/>
                <w:bCs/>
                <w:color w:val="444444"/>
                <w:sz w:val="20"/>
                <w:szCs w:val="20"/>
                <w:lang w:val="en-GB"/>
              </w:rPr>
              <w:t xml:space="preserve">Income max </w:t>
            </w:r>
            <w:r>
              <w:rPr>
                <w:rFonts w:ascii="Arial" w:hAnsi="Arial" w:cs="Arial"/>
                <w:color w:val="444444"/>
                <w:sz w:val="20"/>
                <w:szCs w:val="20"/>
                <w:lang w:val="en-GB"/>
              </w:rPr>
              <w:br/>
            </w:r>
            <w:r>
              <w:rPr>
                <w:rFonts w:ascii="Arial" w:hAnsi="Arial" w:cs="Arial"/>
                <w:b/>
                <w:bCs/>
                <w:color w:val="444444"/>
                <w:sz w:val="20"/>
                <w:szCs w:val="20"/>
                <w:lang w:val="en-GB"/>
              </w:rPr>
              <w:t>€20,142</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40F8F7E9" w14:textId="77777777" w:rsidR="00322AD9" w:rsidRPr="00BE4865" w:rsidRDefault="00322AD9" w:rsidP="0004786C">
            <w:pPr>
              <w:rPr>
                <w:rFonts w:ascii="Arial" w:hAnsi="Arial" w:cs="Arial"/>
                <w:color w:val="444444"/>
                <w:sz w:val="20"/>
                <w:szCs w:val="20"/>
              </w:rPr>
            </w:pPr>
            <w:r>
              <w:rPr>
                <w:rFonts w:ascii="Arial" w:hAnsi="Arial" w:cs="Arial"/>
                <w:color w:val="444444"/>
                <w:sz w:val="20"/>
                <w:szCs w:val="20"/>
                <w:lang w:val="en-GB"/>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2A4B7A2A" w14:textId="77777777" w:rsidR="00322AD9" w:rsidRPr="00BE4865" w:rsidRDefault="00322AD9" w:rsidP="0004786C">
            <w:pPr>
              <w:rPr>
                <w:rFonts w:ascii="Arial" w:hAnsi="Arial" w:cs="Arial"/>
                <w:color w:val="444444"/>
                <w:sz w:val="20"/>
                <w:szCs w:val="20"/>
              </w:rPr>
            </w:pPr>
            <w:r>
              <w:rPr>
                <w:rFonts w:ascii="Arial" w:hAnsi="Arial" w:cs="Arial"/>
                <w:color w:val="444444"/>
                <w:sz w:val="20"/>
                <w:szCs w:val="20"/>
                <w:lang w:val="en-GB"/>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2C9A72E7" w14:textId="77777777" w:rsidR="00322AD9" w:rsidRPr="00BE4865" w:rsidRDefault="00322AD9" w:rsidP="0004786C">
            <w:pPr>
              <w:rPr>
                <w:rFonts w:ascii="Arial" w:hAnsi="Arial" w:cs="Arial"/>
                <w:color w:val="444444"/>
                <w:sz w:val="20"/>
                <w:szCs w:val="20"/>
              </w:rPr>
            </w:pPr>
            <w:r>
              <w:rPr>
                <w:rFonts w:ascii="Arial" w:hAnsi="Arial" w:cs="Arial"/>
                <w:b/>
                <w:bCs/>
                <w:color w:val="444444"/>
                <w:sz w:val="20"/>
                <w:szCs w:val="20"/>
                <w:lang w:val="en-GB"/>
              </w:rPr>
              <w:t xml:space="preserve">Income max </w:t>
            </w:r>
            <w:r>
              <w:rPr>
                <w:rFonts w:ascii="Arial" w:hAnsi="Arial" w:cs="Arial"/>
                <w:color w:val="444444"/>
                <w:sz w:val="20"/>
                <w:szCs w:val="20"/>
                <w:lang w:val="en-GB"/>
              </w:rPr>
              <w:br/>
            </w:r>
            <w:r>
              <w:rPr>
                <w:rFonts w:ascii="Arial" w:hAnsi="Arial" w:cs="Arial"/>
                <w:b/>
                <w:bCs/>
                <w:color w:val="444444"/>
                <w:sz w:val="20"/>
                <w:szCs w:val="20"/>
                <w:lang w:val="en-GB"/>
              </w:rPr>
              <w:t>€34,404</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3C36D2FF" w14:textId="77777777" w:rsidR="00322AD9" w:rsidRPr="00BE4865" w:rsidRDefault="00322AD9" w:rsidP="0004786C">
            <w:pPr>
              <w:rPr>
                <w:rFonts w:ascii="Arial" w:hAnsi="Arial" w:cs="Arial"/>
                <w:color w:val="444444"/>
                <w:sz w:val="20"/>
                <w:szCs w:val="20"/>
              </w:rPr>
            </w:pPr>
            <w:r>
              <w:rPr>
                <w:rFonts w:ascii="Arial" w:hAnsi="Arial" w:cs="Arial"/>
                <w:color w:val="444444"/>
                <w:sz w:val="20"/>
                <w:szCs w:val="20"/>
                <w:lang w:val="en-GB"/>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1E495AA1" w14:textId="77777777" w:rsidR="00322AD9" w:rsidRPr="00BE4865" w:rsidRDefault="00322AD9" w:rsidP="0004786C">
            <w:pPr>
              <w:rPr>
                <w:rFonts w:ascii="Arial" w:hAnsi="Arial" w:cs="Arial"/>
                <w:color w:val="444444"/>
                <w:sz w:val="20"/>
                <w:szCs w:val="20"/>
              </w:rPr>
            </w:pPr>
            <w:r>
              <w:rPr>
                <w:rFonts w:ascii="Arial" w:hAnsi="Arial" w:cs="Arial"/>
                <w:color w:val="444444"/>
                <w:sz w:val="20"/>
                <w:szCs w:val="20"/>
                <w:lang w:val="en-GB"/>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7F268BBB" w14:textId="77777777" w:rsidR="00322AD9" w:rsidRPr="00BE4865" w:rsidRDefault="00322AD9" w:rsidP="0004786C">
            <w:pPr>
              <w:rPr>
                <w:rFonts w:ascii="Arial" w:hAnsi="Arial" w:cs="Arial"/>
                <w:color w:val="444444"/>
                <w:sz w:val="20"/>
                <w:szCs w:val="20"/>
              </w:rPr>
            </w:pPr>
            <w:r>
              <w:rPr>
                <w:rFonts w:ascii="Arial" w:hAnsi="Arial" w:cs="Arial"/>
                <w:b/>
                <w:bCs/>
                <w:color w:val="444444"/>
                <w:sz w:val="20"/>
                <w:szCs w:val="20"/>
                <w:lang w:val="en-GB"/>
              </w:rPr>
              <w:t xml:space="preserve">Income max </w:t>
            </w:r>
            <w:r>
              <w:rPr>
                <w:rFonts w:ascii="Arial" w:hAnsi="Arial" w:cs="Arial"/>
                <w:color w:val="444444"/>
                <w:sz w:val="20"/>
                <w:szCs w:val="20"/>
                <w:lang w:val="en-GB"/>
              </w:rPr>
              <w:br/>
            </w:r>
            <w:r>
              <w:rPr>
                <w:rFonts w:ascii="Arial" w:hAnsi="Arial" w:cs="Arial"/>
                <w:b/>
                <w:bCs/>
                <w:color w:val="444444"/>
                <w:sz w:val="20"/>
                <w:szCs w:val="20"/>
                <w:lang w:val="en-GB"/>
              </w:rPr>
              <w:t>€68,507</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04CB7C73" w14:textId="77777777" w:rsidR="00322AD9" w:rsidRPr="00BE4865" w:rsidRDefault="00322AD9" w:rsidP="0004786C">
            <w:pPr>
              <w:rPr>
                <w:rFonts w:ascii="Arial" w:hAnsi="Arial" w:cs="Arial"/>
                <w:color w:val="444444"/>
                <w:sz w:val="20"/>
                <w:szCs w:val="20"/>
              </w:rPr>
            </w:pPr>
            <w:r>
              <w:rPr>
                <w:rFonts w:ascii="Arial" w:hAnsi="Arial" w:cs="Arial"/>
                <w:color w:val="444444"/>
                <w:sz w:val="20"/>
                <w:szCs w:val="20"/>
                <w:lang w:val="en-GB"/>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0D71F078" w14:textId="77777777" w:rsidR="00322AD9" w:rsidRPr="00BE4865" w:rsidRDefault="00322AD9" w:rsidP="0004786C">
            <w:pPr>
              <w:rPr>
                <w:rFonts w:ascii="Arial" w:hAnsi="Arial" w:cs="Arial"/>
                <w:color w:val="444444"/>
                <w:sz w:val="20"/>
                <w:szCs w:val="20"/>
              </w:rPr>
            </w:pPr>
            <w:r>
              <w:rPr>
                <w:rFonts w:ascii="Arial" w:hAnsi="Arial" w:cs="Arial"/>
                <w:color w:val="444444"/>
                <w:sz w:val="20"/>
                <w:szCs w:val="20"/>
                <w:lang w:val="en-GB"/>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6722D0E8" w14:textId="77777777" w:rsidR="00322AD9" w:rsidRPr="00BE4865" w:rsidRDefault="00322AD9" w:rsidP="0004786C">
            <w:pPr>
              <w:rPr>
                <w:rFonts w:ascii="Arial" w:hAnsi="Arial" w:cs="Arial"/>
                <w:color w:val="444444"/>
                <w:sz w:val="20"/>
                <w:szCs w:val="20"/>
              </w:rPr>
            </w:pPr>
            <w:r>
              <w:rPr>
                <w:rFonts w:ascii="Arial" w:hAnsi="Arial" w:cs="Arial"/>
                <w:b/>
                <w:bCs/>
                <w:color w:val="444444"/>
                <w:sz w:val="20"/>
                <w:szCs w:val="20"/>
                <w:lang w:val="en-GB"/>
              </w:rPr>
              <w:t xml:space="preserve">Income </w:t>
            </w:r>
            <w:r>
              <w:rPr>
                <w:rFonts w:ascii="Arial" w:hAnsi="Arial" w:cs="Arial"/>
                <w:color w:val="444444"/>
                <w:sz w:val="20"/>
                <w:szCs w:val="20"/>
                <w:lang w:val="en-GB"/>
              </w:rPr>
              <w:br/>
            </w:r>
            <w:r>
              <w:rPr>
                <w:rFonts w:ascii="Arial" w:hAnsi="Arial" w:cs="Arial"/>
                <w:b/>
                <w:bCs/>
                <w:color w:val="444444"/>
                <w:sz w:val="20"/>
                <w:szCs w:val="20"/>
                <w:lang w:val="en-GB"/>
              </w:rPr>
              <w:t>&gt; €68,507</w:t>
            </w:r>
          </w:p>
        </w:tc>
      </w:tr>
      <w:tr w:rsidR="00322AD9" w:rsidRPr="00BE4865" w14:paraId="5B5C4022" w14:textId="77777777" w:rsidTr="003D1152">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6D57CEAB" w14:textId="77777777" w:rsidR="00322AD9" w:rsidRPr="00BE4865" w:rsidRDefault="00322AD9" w:rsidP="0004786C">
            <w:pPr>
              <w:rPr>
                <w:rFonts w:ascii="Arial" w:hAnsi="Arial" w:cs="Arial"/>
                <w:color w:val="444444"/>
                <w:sz w:val="20"/>
                <w:szCs w:val="20"/>
              </w:rPr>
            </w:pPr>
            <w:r>
              <w:rPr>
                <w:rFonts w:ascii="Arial" w:hAnsi="Arial" w:cs="Arial"/>
                <w:b/>
                <w:bCs/>
                <w:color w:val="444444"/>
                <w:sz w:val="20"/>
                <w:szCs w:val="20"/>
                <w:lang w:val="en-GB"/>
              </w:rPr>
              <w:t>2018</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5CA070A1" w14:textId="77777777" w:rsidR="00322AD9" w:rsidRPr="00BE4865" w:rsidRDefault="00322AD9" w:rsidP="0004786C">
            <w:pPr>
              <w:rPr>
                <w:rFonts w:ascii="Arial" w:hAnsi="Arial" w:cs="Arial"/>
                <w:color w:val="444444"/>
                <w:sz w:val="20"/>
                <w:szCs w:val="20"/>
              </w:rPr>
            </w:pPr>
            <w:r>
              <w:rPr>
                <w:rFonts w:ascii="Arial" w:hAnsi="Arial" w:cs="Arial"/>
                <w:color w:val="444444"/>
                <w:sz w:val="20"/>
                <w:szCs w:val="20"/>
                <w:lang w:val="en-GB"/>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120DA9BB" w14:textId="77777777" w:rsidR="00322AD9" w:rsidRPr="00BE4865" w:rsidRDefault="00322AD9" w:rsidP="0004786C">
            <w:pPr>
              <w:rPr>
                <w:rFonts w:ascii="Arial" w:hAnsi="Arial" w:cs="Arial"/>
                <w:color w:val="444444"/>
                <w:sz w:val="20"/>
                <w:szCs w:val="20"/>
              </w:rPr>
            </w:pPr>
            <w:r>
              <w:rPr>
                <w:rFonts w:ascii="Arial" w:hAnsi="Arial" w:cs="Arial"/>
                <w:color w:val="444444"/>
                <w:sz w:val="20"/>
                <w:szCs w:val="20"/>
                <w:lang w:val="en-GB"/>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31352B39" w14:textId="77777777" w:rsidR="00322AD9" w:rsidRPr="00BE4865" w:rsidRDefault="00322AD9" w:rsidP="0004786C">
            <w:pPr>
              <w:jc w:val="center"/>
              <w:rPr>
                <w:rFonts w:ascii="Arial" w:hAnsi="Arial" w:cs="Arial"/>
                <w:color w:val="444444"/>
                <w:sz w:val="20"/>
                <w:szCs w:val="20"/>
              </w:rPr>
            </w:pPr>
            <w:r>
              <w:rPr>
                <w:rFonts w:ascii="Arial" w:hAnsi="Arial" w:cs="Arial"/>
                <w:color w:val="444444"/>
                <w:sz w:val="20"/>
                <w:szCs w:val="20"/>
                <w:lang w:val="en-GB"/>
              </w:rPr>
              <w:t>36.55 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5FC7FDB3" w14:textId="77777777" w:rsidR="00322AD9" w:rsidRPr="00BE4865" w:rsidRDefault="00322AD9" w:rsidP="0004786C">
            <w:pPr>
              <w:jc w:val="center"/>
              <w:rPr>
                <w:rFonts w:ascii="Arial" w:hAnsi="Arial" w:cs="Arial"/>
                <w:color w:val="444444"/>
                <w:sz w:val="20"/>
                <w:szCs w:val="20"/>
              </w:rPr>
            </w:pPr>
            <w:r>
              <w:rPr>
                <w:rFonts w:ascii="Arial" w:hAnsi="Arial" w:cs="Arial"/>
                <w:color w:val="444444"/>
                <w:sz w:val="20"/>
                <w:szCs w:val="20"/>
                <w:lang w:val="en-GB"/>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165CAD9F" w14:textId="77777777" w:rsidR="00322AD9" w:rsidRPr="00BE4865" w:rsidRDefault="00322AD9" w:rsidP="0004786C">
            <w:pPr>
              <w:jc w:val="center"/>
              <w:rPr>
                <w:rFonts w:ascii="Arial" w:hAnsi="Arial" w:cs="Arial"/>
                <w:color w:val="444444"/>
                <w:sz w:val="20"/>
                <w:szCs w:val="20"/>
              </w:rPr>
            </w:pPr>
            <w:r>
              <w:rPr>
                <w:rFonts w:ascii="Arial" w:hAnsi="Arial" w:cs="Arial"/>
                <w:color w:val="444444"/>
                <w:sz w:val="20"/>
                <w:szCs w:val="20"/>
                <w:lang w:val="en-GB"/>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7C7D6E52" w14:textId="77777777" w:rsidR="00322AD9" w:rsidRPr="00BE4865" w:rsidRDefault="00322AD9" w:rsidP="0004786C">
            <w:pPr>
              <w:jc w:val="center"/>
              <w:rPr>
                <w:rFonts w:ascii="Arial" w:hAnsi="Arial" w:cs="Arial"/>
                <w:color w:val="444444"/>
                <w:sz w:val="20"/>
                <w:szCs w:val="20"/>
              </w:rPr>
            </w:pPr>
            <w:r>
              <w:rPr>
                <w:rFonts w:ascii="Arial" w:hAnsi="Arial" w:cs="Arial"/>
                <w:color w:val="444444"/>
                <w:sz w:val="20"/>
                <w:szCs w:val="20"/>
                <w:lang w:val="en-GB"/>
              </w:rPr>
              <w:t>40.85</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72FE3D84" w14:textId="77777777" w:rsidR="00322AD9" w:rsidRPr="00BE4865" w:rsidRDefault="00322AD9" w:rsidP="0004786C">
            <w:pPr>
              <w:jc w:val="center"/>
              <w:rPr>
                <w:rFonts w:ascii="Arial" w:hAnsi="Arial" w:cs="Arial"/>
                <w:color w:val="444444"/>
                <w:sz w:val="20"/>
                <w:szCs w:val="20"/>
              </w:rPr>
            </w:pPr>
            <w:r>
              <w:rPr>
                <w:rFonts w:ascii="Arial" w:hAnsi="Arial" w:cs="Arial"/>
                <w:color w:val="444444"/>
                <w:sz w:val="20"/>
                <w:szCs w:val="20"/>
                <w:lang w:val="en-GB"/>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1E8AE95E" w14:textId="77777777" w:rsidR="00322AD9" w:rsidRPr="00BE4865" w:rsidRDefault="00322AD9" w:rsidP="0004786C">
            <w:pPr>
              <w:jc w:val="center"/>
              <w:rPr>
                <w:rFonts w:ascii="Arial" w:hAnsi="Arial" w:cs="Arial"/>
                <w:color w:val="444444"/>
                <w:sz w:val="20"/>
                <w:szCs w:val="20"/>
              </w:rPr>
            </w:pPr>
            <w:r>
              <w:rPr>
                <w:rFonts w:ascii="Arial" w:hAnsi="Arial" w:cs="Arial"/>
                <w:color w:val="444444"/>
                <w:sz w:val="20"/>
                <w:szCs w:val="20"/>
                <w:lang w:val="en-GB"/>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52276ABA" w14:textId="77777777" w:rsidR="00322AD9" w:rsidRPr="00BE4865" w:rsidRDefault="00322AD9" w:rsidP="0004786C">
            <w:pPr>
              <w:jc w:val="center"/>
              <w:rPr>
                <w:rFonts w:ascii="Arial" w:hAnsi="Arial" w:cs="Arial"/>
                <w:color w:val="444444"/>
                <w:sz w:val="20"/>
                <w:szCs w:val="20"/>
              </w:rPr>
            </w:pPr>
            <w:r>
              <w:rPr>
                <w:rFonts w:ascii="Arial" w:hAnsi="Arial" w:cs="Arial"/>
                <w:color w:val="444444"/>
                <w:sz w:val="20"/>
                <w:szCs w:val="20"/>
                <w:lang w:val="en-GB"/>
              </w:rPr>
              <w:t>40.85 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4D364885" w14:textId="77777777" w:rsidR="00322AD9" w:rsidRPr="00BE4865" w:rsidRDefault="00322AD9" w:rsidP="0004786C">
            <w:pPr>
              <w:jc w:val="center"/>
              <w:rPr>
                <w:rFonts w:ascii="Arial" w:hAnsi="Arial" w:cs="Arial"/>
                <w:color w:val="444444"/>
                <w:sz w:val="20"/>
                <w:szCs w:val="20"/>
              </w:rPr>
            </w:pPr>
            <w:r>
              <w:rPr>
                <w:rFonts w:ascii="Arial" w:hAnsi="Arial" w:cs="Arial"/>
                <w:color w:val="444444"/>
                <w:sz w:val="20"/>
                <w:szCs w:val="20"/>
                <w:lang w:val="en-GB"/>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3689062F" w14:textId="77777777" w:rsidR="00322AD9" w:rsidRPr="00BE4865" w:rsidRDefault="00322AD9" w:rsidP="0004786C">
            <w:pPr>
              <w:jc w:val="center"/>
              <w:rPr>
                <w:rFonts w:ascii="Arial" w:hAnsi="Arial" w:cs="Arial"/>
                <w:color w:val="444444"/>
                <w:sz w:val="20"/>
                <w:szCs w:val="20"/>
              </w:rPr>
            </w:pPr>
            <w:r>
              <w:rPr>
                <w:rFonts w:ascii="Arial" w:hAnsi="Arial" w:cs="Arial"/>
                <w:color w:val="444444"/>
                <w:sz w:val="20"/>
                <w:szCs w:val="20"/>
                <w:lang w:val="en-GB"/>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41BF1A2E" w14:textId="77777777" w:rsidR="00322AD9" w:rsidRPr="00BE4865" w:rsidRDefault="00322AD9" w:rsidP="0004786C">
            <w:pPr>
              <w:jc w:val="center"/>
              <w:rPr>
                <w:rFonts w:ascii="Arial" w:hAnsi="Arial" w:cs="Arial"/>
                <w:color w:val="444444"/>
                <w:sz w:val="20"/>
                <w:szCs w:val="20"/>
              </w:rPr>
            </w:pPr>
            <w:r>
              <w:rPr>
                <w:rFonts w:ascii="Arial" w:hAnsi="Arial" w:cs="Arial"/>
                <w:color w:val="444444"/>
                <w:sz w:val="20"/>
                <w:szCs w:val="20"/>
                <w:lang w:val="en-GB"/>
              </w:rPr>
              <w:t>51.95 </w:t>
            </w:r>
          </w:p>
        </w:tc>
      </w:tr>
      <w:tr w:rsidR="00322AD9" w:rsidRPr="00BE4865" w14:paraId="7DA3689E" w14:textId="77777777" w:rsidTr="003D1152">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tcPr>
          <w:p w14:paraId="7D1547FE" w14:textId="77777777" w:rsidR="00322AD9" w:rsidRPr="00BE4865" w:rsidRDefault="00322AD9" w:rsidP="0004786C">
            <w:pPr>
              <w:rPr>
                <w:rFonts w:ascii="Arial" w:hAnsi="Arial" w:cs="Arial"/>
                <w:b/>
                <w:bCs/>
                <w:color w:val="444444"/>
                <w:sz w:val="20"/>
                <w:szCs w:val="20"/>
              </w:rPr>
            </w:pP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tcPr>
          <w:p w14:paraId="3477CDD7" w14:textId="77777777" w:rsidR="00322AD9" w:rsidRPr="00BE4865" w:rsidRDefault="00322AD9" w:rsidP="0004786C">
            <w:pPr>
              <w:rPr>
                <w:rFonts w:ascii="Arial" w:hAnsi="Arial" w:cs="Arial"/>
                <w:color w:val="444444"/>
                <w:sz w:val="20"/>
                <w:szCs w:val="20"/>
              </w:rPr>
            </w:pP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tcPr>
          <w:p w14:paraId="7320809A" w14:textId="77777777" w:rsidR="00322AD9" w:rsidRPr="00BE4865" w:rsidRDefault="00322AD9" w:rsidP="0004786C">
            <w:pPr>
              <w:rPr>
                <w:rFonts w:ascii="Arial" w:hAnsi="Arial" w:cs="Arial"/>
                <w:color w:val="444444"/>
                <w:sz w:val="20"/>
                <w:szCs w:val="20"/>
              </w:rPr>
            </w:pP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tcPr>
          <w:p w14:paraId="40F2896F" w14:textId="77777777" w:rsidR="00322AD9" w:rsidRPr="00BE4865" w:rsidRDefault="00322AD9" w:rsidP="0004786C">
            <w:pPr>
              <w:jc w:val="center"/>
              <w:rPr>
                <w:rFonts w:ascii="Arial" w:hAnsi="Arial" w:cs="Arial"/>
                <w:color w:val="444444"/>
                <w:sz w:val="20"/>
                <w:szCs w:val="20"/>
              </w:rPr>
            </w:pPr>
            <w:r>
              <w:rPr>
                <w:rFonts w:ascii="Arial" w:hAnsi="Arial" w:cs="Arial"/>
                <w:b/>
                <w:bCs/>
                <w:color w:val="444444"/>
                <w:sz w:val="20"/>
                <w:szCs w:val="20"/>
                <w:lang w:val="en-GB"/>
              </w:rPr>
              <w:t xml:space="preserve">Income max </w:t>
            </w:r>
            <w:r>
              <w:rPr>
                <w:rFonts w:ascii="Arial" w:hAnsi="Arial" w:cs="Arial"/>
                <w:color w:val="444444"/>
                <w:sz w:val="20"/>
                <w:szCs w:val="20"/>
                <w:lang w:val="en-GB"/>
              </w:rPr>
              <w:br/>
            </w:r>
            <w:r>
              <w:rPr>
                <w:rFonts w:ascii="Arial" w:hAnsi="Arial" w:cs="Arial"/>
                <w:b/>
                <w:bCs/>
                <w:color w:val="444444"/>
                <w:sz w:val="20"/>
                <w:szCs w:val="20"/>
                <w:lang w:val="en-GB"/>
              </w:rPr>
              <w:t>€20,384</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tcPr>
          <w:p w14:paraId="338F39F9" w14:textId="77777777" w:rsidR="00322AD9" w:rsidRPr="00BE4865" w:rsidRDefault="00322AD9" w:rsidP="0004786C">
            <w:pPr>
              <w:jc w:val="center"/>
              <w:rPr>
                <w:rFonts w:ascii="Arial" w:hAnsi="Arial" w:cs="Arial"/>
                <w:color w:val="444444"/>
                <w:sz w:val="20"/>
                <w:szCs w:val="20"/>
              </w:rPr>
            </w:pPr>
            <w:r>
              <w:rPr>
                <w:rFonts w:ascii="Arial" w:hAnsi="Arial" w:cs="Arial"/>
                <w:color w:val="444444"/>
                <w:sz w:val="20"/>
                <w:szCs w:val="20"/>
                <w:lang w:val="en-GB"/>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tcPr>
          <w:p w14:paraId="18AFC659" w14:textId="77777777" w:rsidR="00322AD9" w:rsidRPr="00BE4865" w:rsidRDefault="00322AD9" w:rsidP="0004786C">
            <w:pPr>
              <w:jc w:val="center"/>
              <w:rPr>
                <w:rFonts w:ascii="Arial" w:hAnsi="Arial" w:cs="Arial"/>
                <w:color w:val="444444"/>
                <w:sz w:val="20"/>
                <w:szCs w:val="20"/>
              </w:rPr>
            </w:pPr>
            <w:r>
              <w:rPr>
                <w:rFonts w:ascii="Arial" w:hAnsi="Arial" w:cs="Arial"/>
                <w:color w:val="444444"/>
                <w:sz w:val="20"/>
                <w:szCs w:val="20"/>
                <w:lang w:val="en-GB"/>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tcPr>
          <w:p w14:paraId="2A590359" w14:textId="77777777" w:rsidR="00322AD9" w:rsidRPr="00BE4865" w:rsidRDefault="00322AD9" w:rsidP="0004786C">
            <w:pPr>
              <w:jc w:val="center"/>
              <w:rPr>
                <w:rFonts w:ascii="Arial" w:hAnsi="Arial" w:cs="Arial"/>
                <w:color w:val="444444"/>
                <w:sz w:val="20"/>
                <w:szCs w:val="20"/>
              </w:rPr>
            </w:pPr>
            <w:r>
              <w:rPr>
                <w:rFonts w:ascii="Arial" w:hAnsi="Arial" w:cs="Arial"/>
                <w:b/>
                <w:bCs/>
                <w:color w:val="444444"/>
                <w:sz w:val="20"/>
                <w:szCs w:val="20"/>
                <w:lang w:val="en-GB"/>
              </w:rPr>
              <w:t xml:space="preserve">Income max </w:t>
            </w:r>
            <w:r>
              <w:rPr>
                <w:rFonts w:ascii="Arial" w:hAnsi="Arial" w:cs="Arial"/>
                <w:color w:val="444444"/>
                <w:sz w:val="20"/>
                <w:szCs w:val="20"/>
                <w:lang w:val="en-GB"/>
              </w:rPr>
              <w:br/>
            </w:r>
            <w:r>
              <w:rPr>
                <w:rFonts w:ascii="Arial" w:hAnsi="Arial" w:cs="Arial"/>
                <w:b/>
                <w:bCs/>
                <w:color w:val="444444"/>
                <w:sz w:val="20"/>
                <w:szCs w:val="20"/>
                <w:lang w:val="en-GB"/>
              </w:rPr>
              <w:t>€34,300</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tcPr>
          <w:p w14:paraId="33E23DF5" w14:textId="77777777" w:rsidR="00322AD9" w:rsidRPr="00BE4865" w:rsidRDefault="00322AD9" w:rsidP="0004786C">
            <w:pPr>
              <w:jc w:val="center"/>
              <w:rPr>
                <w:rFonts w:ascii="Arial" w:hAnsi="Arial" w:cs="Arial"/>
                <w:color w:val="444444"/>
                <w:sz w:val="20"/>
                <w:szCs w:val="20"/>
              </w:rPr>
            </w:pPr>
            <w:r>
              <w:rPr>
                <w:rFonts w:ascii="Arial" w:hAnsi="Arial" w:cs="Arial"/>
                <w:color w:val="444444"/>
                <w:sz w:val="20"/>
                <w:szCs w:val="20"/>
                <w:lang w:val="en-GB"/>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tcPr>
          <w:p w14:paraId="096FA491" w14:textId="77777777" w:rsidR="00322AD9" w:rsidRPr="00BE4865" w:rsidRDefault="00322AD9" w:rsidP="0004786C">
            <w:pPr>
              <w:jc w:val="center"/>
              <w:rPr>
                <w:rFonts w:ascii="Arial" w:hAnsi="Arial" w:cs="Arial"/>
                <w:color w:val="444444"/>
                <w:sz w:val="20"/>
                <w:szCs w:val="20"/>
              </w:rPr>
            </w:pPr>
            <w:r>
              <w:rPr>
                <w:rFonts w:ascii="Arial" w:hAnsi="Arial" w:cs="Arial"/>
                <w:color w:val="444444"/>
                <w:sz w:val="20"/>
                <w:szCs w:val="20"/>
                <w:lang w:val="en-GB"/>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tcPr>
          <w:p w14:paraId="1B0909DF" w14:textId="77777777" w:rsidR="00322AD9" w:rsidRPr="00BE4865" w:rsidRDefault="00322AD9" w:rsidP="0004786C">
            <w:pPr>
              <w:jc w:val="center"/>
              <w:rPr>
                <w:rFonts w:ascii="Arial" w:hAnsi="Arial" w:cs="Arial"/>
                <w:color w:val="444444"/>
                <w:sz w:val="20"/>
                <w:szCs w:val="20"/>
              </w:rPr>
            </w:pPr>
            <w:r>
              <w:rPr>
                <w:rFonts w:ascii="Arial" w:hAnsi="Arial" w:cs="Arial"/>
                <w:b/>
                <w:bCs/>
                <w:color w:val="444444"/>
                <w:sz w:val="20"/>
                <w:szCs w:val="20"/>
                <w:lang w:val="en-GB"/>
              </w:rPr>
              <w:t xml:space="preserve">Income max </w:t>
            </w:r>
            <w:r>
              <w:rPr>
                <w:rFonts w:ascii="Arial" w:hAnsi="Arial" w:cs="Arial"/>
                <w:color w:val="444444"/>
                <w:sz w:val="20"/>
                <w:szCs w:val="20"/>
                <w:lang w:val="en-GB"/>
              </w:rPr>
              <w:br/>
            </w:r>
            <w:r>
              <w:rPr>
                <w:rFonts w:ascii="Arial" w:hAnsi="Arial" w:cs="Arial"/>
                <w:b/>
                <w:bCs/>
                <w:color w:val="444444"/>
                <w:sz w:val="20"/>
                <w:szCs w:val="20"/>
                <w:lang w:val="en-GB"/>
              </w:rPr>
              <w:t>€68,507</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tcPr>
          <w:p w14:paraId="44CC7685" w14:textId="77777777" w:rsidR="00322AD9" w:rsidRPr="00BE4865" w:rsidRDefault="00322AD9" w:rsidP="0004786C">
            <w:pPr>
              <w:jc w:val="center"/>
              <w:rPr>
                <w:rFonts w:ascii="Arial" w:hAnsi="Arial" w:cs="Arial"/>
                <w:color w:val="444444"/>
                <w:sz w:val="20"/>
                <w:szCs w:val="20"/>
              </w:rPr>
            </w:pPr>
            <w:r>
              <w:rPr>
                <w:rFonts w:ascii="Arial" w:hAnsi="Arial" w:cs="Arial"/>
                <w:color w:val="444444"/>
                <w:sz w:val="20"/>
                <w:szCs w:val="20"/>
                <w:lang w:val="en-GB"/>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tcPr>
          <w:p w14:paraId="72EBA33B" w14:textId="77777777" w:rsidR="00322AD9" w:rsidRPr="00BE4865" w:rsidRDefault="00322AD9" w:rsidP="0004786C">
            <w:pPr>
              <w:jc w:val="center"/>
              <w:rPr>
                <w:rFonts w:ascii="Arial" w:hAnsi="Arial" w:cs="Arial"/>
                <w:color w:val="444444"/>
                <w:sz w:val="20"/>
                <w:szCs w:val="20"/>
              </w:rPr>
            </w:pPr>
            <w:r>
              <w:rPr>
                <w:rFonts w:ascii="Arial" w:hAnsi="Arial" w:cs="Arial"/>
                <w:color w:val="444444"/>
                <w:sz w:val="20"/>
                <w:szCs w:val="20"/>
                <w:lang w:val="en-GB"/>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tcPr>
          <w:p w14:paraId="54E2033F" w14:textId="77777777" w:rsidR="00322AD9" w:rsidRPr="00BE4865" w:rsidRDefault="00322AD9" w:rsidP="0004786C">
            <w:pPr>
              <w:jc w:val="center"/>
              <w:rPr>
                <w:rFonts w:ascii="Arial" w:hAnsi="Arial" w:cs="Arial"/>
                <w:color w:val="444444"/>
                <w:sz w:val="20"/>
                <w:szCs w:val="20"/>
              </w:rPr>
            </w:pPr>
            <w:r>
              <w:rPr>
                <w:rFonts w:ascii="Arial" w:hAnsi="Arial" w:cs="Arial"/>
                <w:b/>
                <w:bCs/>
                <w:color w:val="444444"/>
                <w:sz w:val="20"/>
                <w:szCs w:val="20"/>
                <w:lang w:val="en-GB"/>
              </w:rPr>
              <w:t xml:space="preserve">Income </w:t>
            </w:r>
            <w:r>
              <w:rPr>
                <w:rFonts w:ascii="Arial" w:hAnsi="Arial" w:cs="Arial"/>
                <w:color w:val="444444"/>
                <w:sz w:val="20"/>
                <w:szCs w:val="20"/>
                <w:lang w:val="en-GB"/>
              </w:rPr>
              <w:br/>
            </w:r>
            <w:r>
              <w:rPr>
                <w:rFonts w:ascii="Arial" w:hAnsi="Arial" w:cs="Arial"/>
                <w:b/>
                <w:bCs/>
                <w:color w:val="444444"/>
                <w:sz w:val="20"/>
                <w:szCs w:val="20"/>
                <w:lang w:val="en-GB"/>
              </w:rPr>
              <w:t>&gt; €68,507</w:t>
            </w:r>
          </w:p>
        </w:tc>
      </w:tr>
      <w:tr w:rsidR="00322AD9" w:rsidRPr="00BE4865" w14:paraId="6538BC83" w14:textId="77777777" w:rsidTr="003D1152">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00F16259" w14:textId="77777777" w:rsidR="00322AD9" w:rsidRPr="00BE4865" w:rsidRDefault="00322AD9" w:rsidP="0004786C">
            <w:pPr>
              <w:rPr>
                <w:rFonts w:ascii="Arial" w:hAnsi="Arial" w:cs="Arial"/>
                <w:color w:val="444444"/>
                <w:sz w:val="20"/>
                <w:szCs w:val="20"/>
              </w:rPr>
            </w:pPr>
            <w:r>
              <w:rPr>
                <w:rFonts w:ascii="Arial" w:hAnsi="Arial" w:cs="Arial"/>
                <w:b/>
                <w:bCs/>
                <w:color w:val="444444"/>
                <w:sz w:val="20"/>
                <w:szCs w:val="20"/>
                <w:lang w:val="en-GB"/>
              </w:rPr>
              <w:t>2019</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4756A801" w14:textId="77777777" w:rsidR="00322AD9" w:rsidRPr="00BE4865" w:rsidRDefault="00322AD9" w:rsidP="0004786C">
            <w:pPr>
              <w:rPr>
                <w:rFonts w:ascii="Arial" w:hAnsi="Arial" w:cs="Arial"/>
                <w:color w:val="444444"/>
                <w:sz w:val="20"/>
                <w:szCs w:val="20"/>
              </w:rPr>
            </w:pPr>
            <w:r>
              <w:rPr>
                <w:rFonts w:ascii="Arial" w:hAnsi="Arial" w:cs="Arial"/>
                <w:color w:val="444444"/>
                <w:sz w:val="20"/>
                <w:szCs w:val="20"/>
                <w:lang w:val="en-GB"/>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627806A1" w14:textId="77777777" w:rsidR="00322AD9" w:rsidRPr="00BE4865" w:rsidRDefault="00322AD9" w:rsidP="0004786C">
            <w:pPr>
              <w:rPr>
                <w:rFonts w:ascii="Arial" w:hAnsi="Arial" w:cs="Arial"/>
                <w:color w:val="444444"/>
                <w:sz w:val="20"/>
                <w:szCs w:val="20"/>
              </w:rPr>
            </w:pPr>
            <w:r>
              <w:rPr>
                <w:rFonts w:ascii="Arial" w:hAnsi="Arial" w:cs="Arial"/>
                <w:color w:val="444444"/>
                <w:sz w:val="20"/>
                <w:szCs w:val="20"/>
                <w:lang w:val="en-GB"/>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31A332BE" w14:textId="77777777" w:rsidR="00322AD9" w:rsidRPr="00BE4865" w:rsidRDefault="00322AD9" w:rsidP="0004786C">
            <w:pPr>
              <w:jc w:val="center"/>
              <w:rPr>
                <w:rFonts w:ascii="Arial" w:hAnsi="Arial" w:cs="Arial"/>
                <w:color w:val="444444"/>
                <w:sz w:val="20"/>
                <w:szCs w:val="20"/>
              </w:rPr>
            </w:pPr>
            <w:r>
              <w:rPr>
                <w:rFonts w:ascii="Arial" w:hAnsi="Arial" w:cs="Arial"/>
                <w:color w:val="444444"/>
                <w:sz w:val="20"/>
                <w:szCs w:val="20"/>
                <w:lang w:val="en-GB"/>
              </w:rPr>
              <w:t>36.65 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5CDE7E36" w14:textId="77777777" w:rsidR="00322AD9" w:rsidRPr="00BE4865" w:rsidRDefault="00322AD9" w:rsidP="0004786C">
            <w:pPr>
              <w:jc w:val="center"/>
              <w:rPr>
                <w:rFonts w:ascii="Arial" w:hAnsi="Arial" w:cs="Arial"/>
                <w:color w:val="444444"/>
                <w:sz w:val="20"/>
                <w:szCs w:val="20"/>
              </w:rPr>
            </w:pPr>
            <w:r>
              <w:rPr>
                <w:rFonts w:ascii="Arial" w:hAnsi="Arial" w:cs="Arial"/>
                <w:color w:val="444444"/>
                <w:sz w:val="20"/>
                <w:szCs w:val="20"/>
                <w:lang w:val="en-GB"/>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5E9CB9A1" w14:textId="77777777" w:rsidR="00322AD9" w:rsidRPr="00BE4865" w:rsidRDefault="00322AD9" w:rsidP="0004786C">
            <w:pPr>
              <w:jc w:val="center"/>
              <w:rPr>
                <w:rFonts w:ascii="Arial" w:hAnsi="Arial" w:cs="Arial"/>
                <w:color w:val="444444"/>
                <w:sz w:val="20"/>
                <w:szCs w:val="20"/>
              </w:rPr>
            </w:pPr>
            <w:r>
              <w:rPr>
                <w:rFonts w:ascii="Arial" w:hAnsi="Arial" w:cs="Arial"/>
                <w:color w:val="444444"/>
                <w:sz w:val="20"/>
                <w:szCs w:val="20"/>
                <w:lang w:val="en-GB"/>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3D8A316D" w14:textId="77777777" w:rsidR="00322AD9" w:rsidRPr="00BE4865" w:rsidRDefault="00322AD9" w:rsidP="0004786C">
            <w:pPr>
              <w:jc w:val="center"/>
              <w:rPr>
                <w:rFonts w:ascii="Arial" w:hAnsi="Arial" w:cs="Arial"/>
                <w:color w:val="444444"/>
                <w:sz w:val="20"/>
                <w:szCs w:val="20"/>
              </w:rPr>
            </w:pPr>
            <w:r>
              <w:rPr>
                <w:rFonts w:ascii="Arial" w:hAnsi="Arial" w:cs="Arial"/>
                <w:color w:val="444444"/>
                <w:sz w:val="20"/>
                <w:szCs w:val="20"/>
                <w:lang w:val="en-GB"/>
              </w:rPr>
              <w:t>38.10 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7996F790" w14:textId="77777777" w:rsidR="00322AD9" w:rsidRPr="00BE4865" w:rsidRDefault="00322AD9" w:rsidP="0004786C">
            <w:pPr>
              <w:jc w:val="center"/>
              <w:rPr>
                <w:rFonts w:ascii="Arial" w:hAnsi="Arial" w:cs="Arial"/>
                <w:color w:val="444444"/>
                <w:sz w:val="20"/>
                <w:szCs w:val="20"/>
              </w:rPr>
            </w:pPr>
            <w:r>
              <w:rPr>
                <w:rFonts w:ascii="Arial" w:hAnsi="Arial" w:cs="Arial"/>
                <w:color w:val="444444"/>
                <w:sz w:val="20"/>
                <w:szCs w:val="20"/>
                <w:lang w:val="en-GB"/>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2FA44EC4" w14:textId="77777777" w:rsidR="00322AD9" w:rsidRPr="00BE4865" w:rsidRDefault="00322AD9" w:rsidP="0004786C">
            <w:pPr>
              <w:jc w:val="center"/>
              <w:rPr>
                <w:rFonts w:ascii="Arial" w:hAnsi="Arial" w:cs="Arial"/>
                <w:color w:val="444444"/>
                <w:sz w:val="20"/>
                <w:szCs w:val="20"/>
              </w:rPr>
            </w:pPr>
            <w:r>
              <w:rPr>
                <w:rFonts w:ascii="Arial" w:hAnsi="Arial" w:cs="Arial"/>
                <w:color w:val="444444"/>
                <w:sz w:val="20"/>
                <w:szCs w:val="20"/>
                <w:lang w:val="en-GB"/>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4D6E8DFE" w14:textId="77777777" w:rsidR="00322AD9" w:rsidRPr="00BE4865" w:rsidRDefault="00322AD9" w:rsidP="0004786C">
            <w:pPr>
              <w:jc w:val="center"/>
              <w:rPr>
                <w:rFonts w:ascii="Arial" w:hAnsi="Arial" w:cs="Arial"/>
                <w:color w:val="444444"/>
                <w:sz w:val="20"/>
                <w:szCs w:val="20"/>
              </w:rPr>
            </w:pPr>
            <w:r>
              <w:rPr>
                <w:rFonts w:ascii="Arial" w:hAnsi="Arial" w:cs="Arial"/>
                <w:color w:val="444444"/>
                <w:sz w:val="20"/>
                <w:szCs w:val="20"/>
                <w:lang w:val="en-GB"/>
              </w:rPr>
              <w:t>38.10 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254A2C7B" w14:textId="77777777" w:rsidR="00322AD9" w:rsidRPr="00BE4865" w:rsidRDefault="00322AD9" w:rsidP="0004786C">
            <w:pPr>
              <w:jc w:val="center"/>
              <w:rPr>
                <w:rFonts w:ascii="Arial" w:hAnsi="Arial" w:cs="Arial"/>
                <w:color w:val="444444"/>
                <w:sz w:val="20"/>
                <w:szCs w:val="20"/>
              </w:rPr>
            </w:pPr>
            <w:r>
              <w:rPr>
                <w:rFonts w:ascii="Arial" w:hAnsi="Arial" w:cs="Arial"/>
                <w:color w:val="444444"/>
                <w:sz w:val="20"/>
                <w:szCs w:val="20"/>
                <w:lang w:val="en-GB"/>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2999310B" w14:textId="77777777" w:rsidR="00322AD9" w:rsidRPr="00BE4865" w:rsidRDefault="00322AD9" w:rsidP="0004786C">
            <w:pPr>
              <w:jc w:val="center"/>
              <w:rPr>
                <w:rFonts w:ascii="Arial" w:hAnsi="Arial" w:cs="Arial"/>
                <w:color w:val="444444"/>
                <w:sz w:val="20"/>
                <w:szCs w:val="20"/>
              </w:rPr>
            </w:pPr>
            <w:r>
              <w:rPr>
                <w:rFonts w:ascii="Arial" w:hAnsi="Arial" w:cs="Arial"/>
                <w:color w:val="444444"/>
                <w:sz w:val="20"/>
                <w:szCs w:val="20"/>
                <w:lang w:val="en-GB"/>
              </w:rPr>
              <w:t> </w:t>
            </w:r>
          </w:p>
        </w:tc>
        <w:tc>
          <w:tcPr>
            <w:tcW w:w="0" w:type="auto"/>
            <w:tcBorders>
              <w:top w:val="single" w:sz="2" w:space="0" w:color="FFFFFF"/>
              <w:left w:val="single" w:sz="2" w:space="0" w:color="FFFFFF"/>
              <w:bottom w:val="single" w:sz="2" w:space="0" w:color="FFFFFF"/>
              <w:right w:val="single" w:sz="2" w:space="0" w:color="FFFFFF"/>
            </w:tcBorders>
            <w:shd w:val="clear" w:color="auto" w:fill="auto"/>
            <w:tcMar>
              <w:top w:w="30" w:type="dxa"/>
              <w:left w:w="30" w:type="dxa"/>
              <w:bottom w:w="30" w:type="dxa"/>
              <w:right w:w="30" w:type="dxa"/>
            </w:tcMar>
            <w:vAlign w:val="center"/>
            <w:hideMark/>
          </w:tcPr>
          <w:p w14:paraId="74FB3BF9" w14:textId="77777777" w:rsidR="00322AD9" w:rsidRPr="00BE4865" w:rsidRDefault="00322AD9" w:rsidP="0004786C">
            <w:pPr>
              <w:jc w:val="center"/>
              <w:rPr>
                <w:rFonts w:ascii="Arial" w:hAnsi="Arial" w:cs="Arial"/>
                <w:color w:val="444444"/>
                <w:sz w:val="20"/>
                <w:szCs w:val="20"/>
              </w:rPr>
            </w:pPr>
            <w:r>
              <w:rPr>
                <w:rFonts w:ascii="Arial" w:hAnsi="Arial" w:cs="Arial"/>
                <w:color w:val="444444"/>
                <w:sz w:val="20"/>
                <w:szCs w:val="20"/>
                <w:lang w:val="en-GB"/>
              </w:rPr>
              <w:t>51.75 </w:t>
            </w:r>
          </w:p>
        </w:tc>
      </w:tr>
    </w:tbl>
    <w:p w14:paraId="4CA4CD93" w14:textId="77777777" w:rsidR="00322AD9" w:rsidRDefault="00322AD9" w:rsidP="00322AD9">
      <w:pPr>
        <w:rPr>
          <w:rFonts w:ascii="Arial" w:eastAsia="Calibri" w:hAnsi="Arial" w:cs="Arial"/>
          <w:sz w:val="20"/>
          <w:szCs w:val="20"/>
        </w:rPr>
      </w:pPr>
    </w:p>
    <w:p w14:paraId="39231601" w14:textId="77777777" w:rsidR="0004786C" w:rsidRPr="00A14C21" w:rsidRDefault="0004786C" w:rsidP="0004786C">
      <w:pPr>
        <w:pStyle w:val="Default"/>
        <w:rPr>
          <w:sz w:val="20"/>
          <w:szCs w:val="20"/>
        </w:rPr>
      </w:pPr>
    </w:p>
    <w:p w14:paraId="09B7ACA7" w14:textId="32BC5E18" w:rsidR="0004786C" w:rsidRPr="008D49E6" w:rsidRDefault="0004786C" w:rsidP="0004786C">
      <w:pPr>
        <w:shd w:val="clear" w:color="auto" w:fill="D9D9D9"/>
        <w:rPr>
          <w:rFonts w:ascii="Arial" w:hAnsi="Arial" w:cs="Arial"/>
          <w:sz w:val="20"/>
          <w:szCs w:val="20"/>
          <w:lang w:val="en-GB"/>
        </w:rPr>
      </w:pPr>
      <w:r>
        <w:rPr>
          <w:rFonts w:ascii="Arial" w:hAnsi="Arial" w:cs="Arial"/>
          <w:b/>
          <w:bCs/>
          <w:sz w:val="20"/>
          <w:szCs w:val="20"/>
          <w:lang w:val="en-GB"/>
        </w:rPr>
        <w:t>Please note!</w:t>
      </w:r>
      <w:r>
        <w:rPr>
          <w:rFonts w:ascii="Arial" w:hAnsi="Arial" w:cs="Arial"/>
          <w:sz w:val="20"/>
          <w:szCs w:val="20"/>
          <w:lang w:val="en-GB"/>
        </w:rPr>
        <w:br/>
        <w:t xml:space="preserve">The change to two tax brackets in box 1 applies to persons not yet entitled to AOW state pension. Other rates apply to persons entitled to AOW state pension. The three brackets will continue to apply to this group. </w:t>
      </w:r>
    </w:p>
    <w:p w14:paraId="274EC161" w14:textId="77777777" w:rsidR="00322AD9" w:rsidRPr="008D49E6" w:rsidRDefault="00322AD9" w:rsidP="00322AD9">
      <w:pPr>
        <w:rPr>
          <w:rFonts w:ascii="Arial" w:eastAsia="Calibri" w:hAnsi="Arial" w:cs="Arial"/>
          <w:sz w:val="20"/>
          <w:szCs w:val="20"/>
          <w:lang w:val="en-GB"/>
        </w:rPr>
      </w:pPr>
    </w:p>
    <w:p w14:paraId="135D5DEA"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Top rate applied at a lower limit</w:t>
      </w:r>
    </w:p>
    <w:p w14:paraId="7FE88BE8" w14:textId="77777777" w:rsidR="00322AD9" w:rsidRPr="00BE4865" w:rsidRDefault="00322AD9" w:rsidP="00322AD9">
      <w:pPr>
        <w:rPr>
          <w:rFonts w:ascii="Arial" w:eastAsia="Calibri" w:hAnsi="Arial" w:cs="Arial"/>
          <w:sz w:val="20"/>
          <w:szCs w:val="20"/>
        </w:rPr>
      </w:pPr>
      <w:r>
        <w:rPr>
          <w:rFonts w:ascii="Arial" w:eastAsia="Calibri" w:hAnsi="Arial" w:cs="Arial"/>
          <w:sz w:val="20"/>
          <w:szCs w:val="20"/>
          <w:lang w:val="en-GB"/>
        </w:rPr>
        <w:t>The rates are annually indexed for inflation and other factors. Up to 2024, this will not apply to the entry level of the top rate. This is frozen at the current level of €68,507. This means that tax payers will reach the top rate sooner. The expectation is that about 7% of all tax payers pay the top rate. Without this freeze, this would have been limited to 5.5%.</w:t>
      </w:r>
    </w:p>
    <w:p w14:paraId="174C4270" w14:textId="77777777" w:rsidR="00322AD9" w:rsidRPr="0088055B" w:rsidRDefault="00322AD9" w:rsidP="0088055B">
      <w:pPr>
        <w:rPr>
          <w:rFonts w:ascii="Arial" w:eastAsia="Calibri" w:hAnsi="Arial" w:cs="Arial"/>
          <w:sz w:val="20"/>
        </w:rPr>
      </w:pPr>
    </w:p>
    <w:p w14:paraId="639D7F9A" w14:textId="77777777" w:rsidR="00322AD9" w:rsidRPr="008D49E6" w:rsidRDefault="00322AD9" w:rsidP="0004786C">
      <w:pPr>
        <w:pStyle w:val="Kop2"/>
        <w:rPr>
          <w:rFonts w:eastAsia="Calibri"/>
          <w:lang w:val="en-GB"/>
        </w:rPr>
      </w:pPr>
      <w:bookmarkStart w:id="8" w:name="_Toc536010192"/>
      <w:r>
        <w:rPr>
          <w:rFonts w:eastAsia="Calibri"/>
          <w:bCs/>
          <w:iCs w:val="0"/>
          <w:lang w:val="en-GB"/>
        </w:rPr>
        <w:t>Minimum wage up slightly in 2019</w:t>
      </w:r>
      <w:bookmarkEnd w:id="6"/>
      <w:bookmarkEnd w:id="8"/>
    </w:p>
    <w:p w14:paraId="2C352AA3" w14:textId="77777777" w:rsidR="00322AD9" w:rsidRPr="008D49E6" w:rsidRDefault="00322AD9" w:rsidP="00322AD9">
      <w:pPr>
        <w:rPr>
          <w:rFonts w:ascii="Arial" w:eastAsia="Calibri" w:hAnsi="Arial" w:cs="Arial"/>
          <w:sz w:val="20"/>
          <w:szCs w:val="20"/>
          <w:lang w:val="en-GB"/>
        </w:rPr>
      </w:pPr>
    </w:p>
    <w:p w14:paraId="0EB17414"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The statutory minimum wage will be raised by 1.34% as per 1 January 2019. This takes the minimum monthly wage to €1,615.80. The minimum wage applies to employees age 22 and up. The minimum wage applies to a full working week. The contractual weekly working hours vary for each sector. Generally, this is 40 hours per week, although some sectors apply a shorter working week. This is why no fixed minimum hourly wage exists.</w:t>
      </w:r>
    </w:p>
    <w:p w14:paraId="48BED3F8" w14:textId="77777777" w:rsidR="00322AD9" w:rsidRPr="008D49E6" w:rsidRDefault="00322AD9" w:rsidP="00322AD9">
      <w:pPr>
        <w:rPr>
          <w:rFonts w:ascii="Arial" w:eastAsia="Calibri" w:hAnsi="Arial" w:cs="Arial"/>
          <w:sz w:val="20"/>
          <w:szCs w:val="20"/>
          <w:lang w:val="en-GB"/>
        </w:rPr>
      </w:pPr>
    </w:p>
    <w:p w14:paraId="5BD6AD7B"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Minimum youth wages also increase</w:t>
      </w:r>
    </w:p>
    <w:p w14:paraId="55CA2019"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The minimum wage for young employees is derived from the minimum wage, which is why this also increases by 1.34%. For an employee age 21, this amounts to 85% of the minimum wage. The table below sets out the applicable statutory minimum wage for each age bracket as per 1 January 2019.</w:t>
      </w:r>
    </w:p>
    <w:p w14:paraId="00DA2F7E" w14:textId="77777777" w:rsidR="003D1152" w:rsidRPr="008D49E6" w:rsidRDefault="003D1152" w:rsidP="00322AD9">
      <w:pPr>
        <w:rPr>
          <w:rFonts w:ascii="Arial" w:eastAsia="Calibri" w:hAnsi="Arial" w:cs="Arial"/>
          <w:sz w:val="20"/>
          <w:szCs w:val="20"/>
          <w:lang w:val="en-GB"/>
        </w:rPr>
      </w:pPr>
    </w:p>
    <w:tbl>
      <w:tblPr>
        <w:tblStyle w:val="Tabelraster"/>
        <w:tblW w:w="10200" w:type="dxa"/>
        <w:tblLook w:val="04A0" w:firstRow="1" w:lastRow="0" w:firstColumn="1" w:lastColumn="0" w:noHBand="0" w:noVBand="1"/>
      </w:tblPr>
      <w:tblGrid>
        <w:gridCol w:w="2679"/>
        <w:gridCol w:w="2319"/>
        <w:gridCol w:w="1942"/>
        <w:gridCol w:w="1747"/>
        <w:gridCol w:w="1513"/>
      </w:tblGrid>
      <w:tr w:rsidR="00322AD9" w:rsidRPr="00BB5C57" w14:paraId="6AB371DB" w14:textId="77777777" w:rsidTr="0004786C">
        <w:tc>
          <w:tcPr>
            <w:tcW w:w="0" w:type="auto"/>
            <w:hideMark/>
          </w:tcPr>
          <w:p w14:paraId="5E08F129" w14:textId="77777777" w:rsidR="00322AD9" w:rsidRPr="00BB5C57" w:rsidRDefault="00322AD9" w:rsidP="0004786C">
            <w:pPr>
              <w:rPr>
                <w:rFonts w:ascii="Arial" w:eastAsia="Calibri" w:hAnsi="Arial" w:cs="Arial"/>
                <w:b/>
                <w:sz w:val="20"/>
                <w:szCs w:val="20"/>
              </w:rPr>
            </w:pPr>
            <w:r>
              <w:rPr>
                <w:rFonts w:ascii="Arial" w:eastAsia="Calibri" w:hAnsi="Arial" w:cs="Arial"/>
                <w:b/>
                <w:bCs/>
                <w:sz w:val="20"/>
                <w:szCs w:val="20"/>
                <w:lang w:val="en-GB"/>
              </w:rPr>
              <w:t>Age</w:t>
            </w:r>
          </w:p>
        </w:tc>
        <w:tc>
          <w:tcPr>
            <w:tcW w:w="0" w:type="auto"/>
            <w:hideMark/>
          </w:tcPr>
          <w:p w14:paraId="18189F5E" w14:textId="77777777" w:rsidR="00322AD9" w:rsidRPr="00BB5C57" w:rsidRDefault="00322AD9" w:rsidP="0004786C">
            <w:pPr>
              <w:rPr>
                <w:rFonts w:ascii="Arial" w:eastAsia="Calibri" w:hAnsi="Arial" w:cs="Arial"/>
                <w:b/>
                <w:sz w:val="20"/>
                <w:szCs w:val="20"/>
              </w:rPr>
            </w:pPr>
            <w:r>
              <w:rPr>
                <w:rFonts w:ascii="Arial" w:eastAsia="Calibri" w:hAnsi="Arial" w:cs="Arial"/>
                <w:b/>
                <w:bCs/>
                <w:sz w:val="20"/>
                <w:szCs w:val="20"/>
                <w:lang w:val="en-GB"/>
              </w:rPr>
              <w:t>Sliding scale</w:t>
            </w:r>
          </w:p>
        </w:tc>
        <w:tc>
          <w:tcPr>
            <w:tcW w:w="0" w:type="auto"/>
            <w:hideMark/>
          </w:tcPr>
          <w:p w14:paraId="03A69B17" w14:textId="77777777" w:rsidR="00322AD9" w:rsidRPr="00BB5C57" w:rsidRDefault="00322AD9" w:rsidP="0004786C">
            <w:pPr>
              <w:rPr>
                <w:rFonts w:ascii="Arial" w:eastAsia="Calibri" w:hAnsi="Arial" w:cs="Arial"/>
                <w:b/>
                <w:sz w:val="20"/>
                <w:szCs w:val="20"/>
              </w:rPr>
            </w:pPr>
            <w:r>
              <w:rPr>
                <w:rFonts w:ascii="Arial" w:eastAsia="Calibri" w:hAnsi="Arial" w:cs="Arial"/>
                <w:b/>
                <w:bCs/>
                <w:sz w:val="20"/>
                <w:szCs w:val="20"/>
                <w:lang w:val="en-GB"/>
              </w:rPr>
              <w:t>Per month</w:t>
            </w:r>
          </w:p>
        </w:tc>
        <w:tc>
          <w:tcPr>
            <w:tcW w:w="0" w:type="auto"/>
            <w:hideMark/>
          </w:tcPr>
          <w:p w14:paraId="29986ED7" w14:textId="77777777" w:rsidR="00322AD9" w:rsidRPr="00BB5C57" w:rsidRDefault="00322AD9" w:rsidP="0004786C">
            <w:pPr>
              <w:rPr>
                <w:rFonts w:ascii="Arial" w:eastAsia="Calibri" w:hAnsi="Arial" w:cs="Arial"/>
                <w:b/>
                <w:sz w:val="20"/>
                <w:szCs w:val="20"/>
              </w:rPr>
            </w:pPr>
            <w:r>
              <w:rPr>
                <w:rFonts w:ascii="Arial" w:eastAsia="Calibri" w:hAnsi="Arial" w:cs="Arial"/>
                <w:b/>
                <w:bCs/>
                <w:sz w:val="20"/>
                <w:szCs w:val="20"/>
                <w:lang w:val="en-GB"/>
              </w:rPr>
              <w:t>Per week</w:t>
            </w:r>
          </w:p>
        </w:tc>
        <w:tc>
          <w:tcPr>
            <w:tcW w:w="0" w:type="auto"/>
            <w:hideMark/>
          </w:tcPr>
          <w:p w14:paraId="57E0EB65" w14:textId="77777777" w:rsidR="00322AD9" w:rsidRPr="00BB5C57" w:rsidRDefault="00322AD9" w:rsidP="0004786C">
            <w:pPr>
              <w:rPr>
                <w:rFonts w:ascii="Arial" w:eastAsia="Calibri" w:hAnsi="Arial" w:cs="Arial"/>
                <w:b/>
                <w:sz w:val="20"/>
                <w:szCs w:val="20"/>
              </w:rPr>
            </w:pPr>
            <w:r>
              <w:rPr>
                <w:rFonts w:ascii="Arial" w:eastAsia="Calibri" w:hAnsi="Arial" w:cs="Arial"/>
                <w:b/>
                <w:bCs/>
                <w:sz w:val="20"/>
                <w:szCs w:val="20"/>
                <w:lang w:val="en-GB"/>
              </w:rPr>
              <w:t>Per day</w:t>
            </w:r>
          </w:p>
        </w:tc>
      </w:tr>
      <w:tr w:rsidR="00322AD9" w:rsidRPr="00BB5C57" w14:paraId="6D9A6FD3" w14:textId="77777777" w:rsidTr="0004786C">
        <w:tc>
          <w:tcPr>
            <w:tcW w:w="0" w:type="auto"/>
            <w:hideMark/>
          </w:tcPr>
          <w:p w14:paraId="0123DB8B"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age 22 and over</w:t>
            </w:r>
          </w:p>
        </w:tc>
        <w:tc>
          <w:tcPr>
            <w:tcW w:w="0" w:type="auto"/>
            <w:hideMark/>
          </w:tcPr>
          <w:p w14:paraId="57AA1612"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100%</w:t>
            </w:r>
          </w:p>
        </w:tc>
        <w:tc>
          <w:tcPr>
            <w:tcW w:w="0" w:type="auto"/>
            <w:hideMark/>
          </w:tcPr>
          <w:p w14:paraId="331DA1AF"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€1,615.80</w:t>
            </w:r>
          </w:p>
        </w:tc>
        <w:tc>
          <w:tcPr>
            <w:tcW w:w="0" w:type="auto"/>
            <w:hideMark/>
          </w:tcPr>
          <w:p w14:paraId="12D08028"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€372.90</w:t>
            </w:r>
          </w:p>
        </w:tc>
        <w:tc>
          <w:tcPr>
            <w:tcW w:w="0" w:type="auto"/>
            <w:hideMark/>
          </w:tcPr>
          <w:p w14:paraId="63D1403E"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€74.58</w:t>
            </w:r>
          </w:p>
        </w:tc>
      </w:tr>
      <w:tr w:rsidR="00322AD9" w:rsidRPr="00BB5C57" w14:paraId="0457E81D" w14:textId="77777777" w:rsidTr="0004786C">
        <w:tc>
          <w:tcPr>
            <w:tcW w:w="0" w:type="auto"/>
            <w:hideMark/>
          </w:tcPr>
          <w:p w14:paraId="58C0E1AB"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age 21</w:t>
            </w:r>
          </w:p>
        </w:tc>
        <w:tc>
          <w:tcPr>
            <w:tcW w:w="0" w:type="auto"/>
            <w:hideMark/>
          </w:tcPr>
          <w:p w14:paraId="7A9E4C3D"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85%</w:t>
            </w:r>
          </w:p>
        </w:tc>
        <w:tc>
          <w:tcPr>
            <w:tcW w:w="0" w:type="auto"/>
            <w:hideMark/>
          </w:tcPr>
          <w:p w14:paraId="25DFA850"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€1,373.45</w:t>
            </w:r>
          </w:p>
        </w:tc>
        <w:tc>
          <w:tcPr>
            <w:tcW w:w="0" w:type="auto"/>
            <w:hideMark/>
          </w:tcPr>
          <w:p w14:paraId="1048CB20"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€316.95</w:t>
            </w:r>
          </w:p>
        </w:tc>
        <w:tc>
          <w:tcPr>
            <w:tcW w:w="0" w:type="auto"/>
            <w:hideMark/>
          </w:tcPr>
          <w:p w14:paraId="53A537BB"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€63.39</w:t>
            </w:r>
          </w:p>
        </w:tc>
      </w:tr>
      <w:tr w:rsidR="00322AD9" w:rsidRPr="00BB5C57" w14:paraId="7F76C104" w14:textId="77777777" w:rsidTr="0004786C">
        <w:tc>
          <w:tcPr>
            <w:tcW w:w="0" w:type="auto"/>
            <w:hideMark/>
          </w:tcPr>
          <w:p w14:paraId="3B705895"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age 20</w:t>
            </w:r>
          </w:p>
        </w:tc>
        <w:tc>
          <w:tcPr>
            <w:tcW w:w="0" w:type="auto"/>
            <w:hideMark/>
          </w:tcPr>
          <w:p w14:paraId="600320DF"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70%</w:t>
            </w:r>
          </w:p>
        </w:tc>
        <w:tc>
          <w:tcPr>
            <w:tcW w:w="0" w:type="auto"/>
            <w:hideMark/>
          </w:tcPr>
          <w:p w14:paraId="7310F58F"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€1,131.05</w:t>
            </w:r>
          </w:p>
        </w:tc>
        <w:tc>
          <w:tcPr>
            <w:tcW w:w="0" w:type="auto"/>
            <w:hideMark/>
          </w:tcPr>
          <w:p w14:paraId="6CA95406"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€261.05</w:t>
            </w:r>
          </w:p>
        </w:tc>
        <w:tc>
          <w:tcPr>
            <w:tcW w:w="0" w:type="auto"/>
            <w:hideMark/>
          </w:tcPr>
          <w:p w14:paraId="37096BBB"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€52.21</w:t>
            </w:r>
          </w:p>
        </w:tc>
      </w:tr>
      <w:tr w:rsidR="00322AD9" w:rsidRPr="00BB5C57" w14:paraId="6AB919B7" w14:textId="77777777" w:rsidTr="0004786C">
        <w:tc>
          <w:tcPr>
            <w:tcW w:w="0" w:type="auto"/>
            <w:hideMark/>
          </w:tcPr>
          <w:p w14:paraId="09D7BFBA"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age 19</w:t>
            </w:r>
          </w:p>
        </w:tc>
        <w:tc>
          <w:tcPr>
            <w:tcW w:w="0" w:type="auto"/>
            <w:hideMark/>
          </w:tcPr>
          <w:p w14:paraId="34E2ED0E"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55%</w:t>
            </w:r>
          </w:p>
        </w:tc>
        <w:tc>
          <w:tcPr>
            <w:tcW w:w="0" w:type="auto"/>
            <w:hideMark/>
          </w:tcPr>
          <w:p w14:paraId="00AD0B8E"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€888.70</w:t>
            </w:r>
          </w:p>
        </w:tc>
        <w:tc>
          <w:tcPr>
            <w:tcW w:w="0" w:type="auto"/>
            <w:hideMark/>
          </w:tcPr>
          <w:p w14:paraId="09A0F56B"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€205.10</w:t>
            </w:r>
          </w:p>
        </w:tc>
        <w:tc>
          <w:tcPr>
            <w:tcW w:w="0" w:type="auto"/>
            <w:hideMark/>
          </w:tcPr>
          <w:p w14:paraId="7EF3D180"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€41.02</w:t>
            </w:r>
          </w:p>
        </w:tc>
      </w:tr>
      <w:tr w:rsidR="00322AD9" w:rsidRPr="00BB5C57" w14:paraId="01E07D18" w14:textId="77777777" w:rsidTr="0004786C">
        <w:tc>
          <w:tcPr>
            <w:tcW w:w="0" w:type="auto"/>
            <w:hideMark/>
          </w:tcPr>
          <w:p w14:paraId="5A1C6D9A"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age 18</w:t>
            </w:r>
          </w:p>
        </w:tc>
        <w:tc>
          <w:tcPr>
            <w:tcW w:w="0" w:type="auto"/>
            <w:hideMark/>
          </w:tcPr>
          <w:p w14:paraId="0FA58AE9"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47.50%</w:t>
            </w:r>
          </w:p>
        </w:tc>
        <w:tc>
          <w:tcPr>
            <w:tcW w:w="0" w:type="auto"/>
            <w:hideMark/>
          </w:tcPr>
          <w:p w14:paraId="5CCEB794"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€767.50</w:t>
            </w:r>
          </w:p>
        </w:tc>
        <w:tc>
          <w:tcPr>
            <w:tcW w:w="0" w:type="auto"/>
            <w:hideMark/>
          </w:tcPr>
          <w:p w14:paraId="016585AE"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€177.15</w:t>
            </w:r>
          </w:p>
        </w:tc>
        <w:tc>
          <w:tcPr>
            <w:tcW w:w="0" w:type="auto"/>
            <w:hideMark/>
          </w:tcPr>
          <w:p w14:paraId="2EC620AE"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€35.43</w:t>
            </w:r>
          </w:p>
        </w:tc>
      </w:tr>
      <w:tr w:rsidR="00322AD9" w:rsidRPr="00BB5C57" w14:paraId="2F8A950F" w14:textId="77777777" w:rsidTr="0004786C">
        <w:tc>
          <w:tcPr>
            <w:tcW w:w="0" w:type="auto"/>
            <w:hideMark/>
          </w:tcPr>
          <w:p w14:paraId="1C2BC472"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age 17</w:t>
            </w:r>
          </w:p>
        </w:tc>
        <w:tc>
          <w:tcPr>
            <w:tcW w:w="0" w:type="auto"/>
            <w:hideMark/>
          </w:tcPr>
          <w:p w14:paraId="561C0685"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39.50%</w:t>
            </w:r>
          </w:p>
        </w:tc>
        <w:tc>
          <w:tcPr>
            <w:tcW w:w="0" w:type="auto"/>
            <w:hideMark/>
          </w:tcPr>
          <w:p w14:paraId="0C32FEE3"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€638.25</w:t>
            </w:r>
          </w:p>
        </w:tc>
        <w:tc>
          <w:tcPr>
            <w:tcW w:w="0" w:type="auto"/>
            <w:hideMark/>
          </w:tcPr>
          <w:p w14:paraId="1B690F1A"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€147.30</w:t>
            </w:r>
          </w:p>
        </w:tc>
        <w:tc>
          <w:tcPr>
            <w:tcW w:w="0" w:type="auto"/>
            <w:hideMark/>
          </w:tcPr>
          <w:p w14:paraId="28751A9C"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€29.46</w:t>
            </w:r>
          </w:p>
        </w:tc>
      </w:tr>
      <w:tr w:rsidR="00322AD9" w:rsidRPr="00BB5C57" w14:paraId="727ECA95" w14:textId="77777777" w:rsidTr="0004786C">
        <w:tc>
          <w:tcPr>
            <w:tcW w:w="0" w:type="auto"/>
            <w:hideMark/>
          </w:tcPr>
          <w:p w14:paraId="728537BD"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age 16</w:t>
            </w:r>
          </w:p>
        </w:tc>
        <w:tc>
          <w:tcPr>
            <w:tcW w:w="0" w:type="auto"/>
            <w:hideMark/>
          </w:tcPr>
          <w:p w14:paraId="7BB83EF3"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34.50%</w:t>
            </w:r>
          </w:p>
        </w:tc>
        <w:tc>
          <w:tcPr>
            <w:tcW w:w="0" w:type="auto"/>
            <w:hideMark/>
          </w:tcPr>
          <w:p w14:paraId="6653E2B1"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€557.45</w:t>
            </w:r>
          </w:p>
        </w:tc>
        <w:tc>
          <w:tcPr>
            <w:tcW w:w="0" w:type="auto"/>
            <w:hideMark/>
          </w:tcPr>
          <w:p w14:paraId="3B2C883A"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€128.65</w:t>
            </w:r>
          </w:p>
        </w:tc>
        <w:tc>
          <w:tcPr>
            <w:tcW w:w="0" w:type="auto"/>
            <w:hideMark/>
          </w:tcPr>
          <w:p w14:paraId="3672F070"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€25.73</w:t>
            </w:r>
          </w:p>
        </w:tc>
      </w:tr>
      <w:tr w:rsidR="00322AD9" w:rsidRPr="00BB5C57" w14:paraId="62CEB70E" w14:textId="77777777" w:rsidTr="0004786C">
        <w:tc>
          <w:tcPr>
            <w:tcW w:w="0" w:type="auto"/>
            <w:hideMark/>
          </w:tcPr>
          <w:p w14:paraId="052EA46D"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age 15</w:t>
            </w:r>
          </w:p>
        </w:tc>
        <w:tc>
          <w:tcPr>
            <w:tcW w:w="0" w:type="auto"/>
            <w:hideMark/>
          </w:tcPr>
          <w:p w14:paraId="6966AB75"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30%</w:t>
            </w:r>
          </w:p>
        </w:tc>
        <w:tc>
          <w:tcPr>
            <w:tcW w:w="0" w:type="auto"/>
            <w:hideMark/>
          </w:tcPr>
          <w:p w14:paraId="22CC9ABF"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€484.75</w:t>
            </w:r>
          </w:p>
        </w:tc>
        <w:tc>
          <w:tcPr>
            <w:tcW w:w="0" w:type="auto"/>
            <w:hideMark/>
          </w:tcPr>
          <w:p w14:paraId="1E5952CD"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€111.85</w:t>
            </w:r>
          </w:p>
        </w:tc>
        <w:tc>
          <w:tcPr>
            <w:tcW w:w="0" w:type="auto"/>
            <w:hideMark/>
          </w:tcPr>
          <w:p w14:paraId="63CA4BE7"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€22.37</w:t>
            </w:r>
          </w:p>
        </w:tc>
      </w:tr>
    </w:tbl>
    <w:p w14:paraId="2F5181A2" w14:textId="77777777" w:rsidR="00322AD9" w:rsidRPr="00BE4865" w:rsidRDefault="00322AD9" w:rsidP="00322AD9">
      <w:pPr>
        <w:rPr>
          <w:rFonts w:ascii="Arial" w:eastAsia="Calibri" w:hAnsi="Arial" w:cs="Arial"/>
          <w:sz w:val="20"/>
          <w:szCs w:val="20"/>
        </w:rPr>
      </w:pPr>
    </w:p>
    <w:p w14:paraId="64E6ECC1" w14:textId="77777777" w:rsidR="00322AD9" w:rsidRPr="00BB5C57" w:rsidRDefault="00322AD9" w:rsidP="00322AD9">
      <w:pPr>
        <w:rPr>
          <w:rFonts w:ascii="Arial" w:eastAsia="Calibri" w:hAnsi="Arial" w:cs="Arial"/>
          <w:b/>
          <w:sz w:val="20"/>
          <w:szCs w:val="20"/>
        </w:rPr>
      </w:pPr>
      <w:r>
        <w:rPr>
          <w:rFonts w:ascii="Arial" w:eastAsia="Calibri" w:hAnsi="Arial" w:cs="Arial"/>
          <w:b/>
          <w:bCs/>
          <w:sz w:val="20"/>
          <w:szCs w:val="20"/>
          <w:lang w:val="en-GB"/>
        </w:rPr>
        <w:t>Trade and crafts apprenticeships</w:t>
      </w:r>
    </w:p>
    <w:p w14:paraId="0A159E34"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A lower minimum wage for young workers applies to employees between ages 18 and 20 working in the context of trade and crafts apprenticeships (TCA). For example, an employee age 19 is entitled to 52.5% of the statutory minimum wage, rather than 55%. The table below sets out the percentages for each age.</w:t>
      </w:r>
    </w:p>
    <w:p w14:paraId="7A62EE8E" w14:textId="77777777" w:rsidR="00322AD9" w:rsidRPr="008D49E6" w:rsidRDefault="00322AD9" w:rsidP="00322AD9">
      <w:pPr>
        <w:rPr>
          <w:rFonts w:ascii="Arial" w:eastAsia="Calibri" w:hAnsi="Arial" w:cs="Arial"/>
          <w:sz w:val="20"/>
          <w:szCs w:val="20"/>
          <w:lang w:val="en-GB"/>
        </w:rPr>
      </w:pPr>
    </w:p>
    <w:tbl>
      <w:tblPr>
        <w:tblStyle w:val="Tabelraster"/>
        <w:tblW w:w="10200" w:type="dxa"/>
        <w:tblLook w:val="04A0" w:firstRow="1" w:lastRow="0" w:firstColumn="1" w:lastColumn="0" w:noHBand="0" w:noVBand="1"/>
      </w:tblPr>
      <w:tblGrid>
        <w:gridCol w:w="1416"/>
        <w:gridCol w:w="3261"/>
        <w:gridCol w:w="2062"/>
        <w:gridCol w:w="1855"/>
        <w:gridCol w:w="1606"/>
      </w:tblGrid>
      <w:tr w:rsidR="00322AD9" w:rsidRPr="00BB5C57" w14:paraId="7625792B" w14:textId="77777777" w:rsidTr="0004786C">
        <w:tc>
          <w:tcPr>
            <w:tcW w:w="0" w:type="auto"/>
            <w:hideMark/>
          </w:tcPr>
          <w:p w14:paraId="4066AA3B" w14:textId="77777777" w:rsidR="00322AD9" w:rsidRPr="00BB5C57" w:rsidRDefault="00322AD9" w:rsidP="0004786C">
            <w:pPr>
              <w:rPr>
                <w:rFonts w:ascii="Arial" w:eastAsia="Calibri" w:hAnsi="Arial" w:cs="Arial"/>
                <w:b/>
                <w:sz w:val="20"/>
                <w:szCs w:val="20"/>
              </w:rPr>
            </w:pPr>
            <w:r>
              <w:rPr>
                <w:rFonts w:ascii="Arial" w:eastAsia="Calibri" w:hAnsi="Arial" w:cs="Arial"/>
                <w:b/>
                <w:bCs/>
                <w:sz w:val="20"/>
                <w:szCs w:val="20"/>
                <w:lang w:val="en-GB"/>
              </w:rPr>
              <w:t>Age</w:t>
            </w:r>
          </w:p>
        </w:tc>
        <w:tc>
          <w:tcPr>
            <w:tcW w:w="0" w:type="auto"/>
            <w:hideMark/>
          </w:tcPr>
          <w:p w14:paraId="3D9D81F6" w14:textId="77777777" w:rsidR="00322AD9" w:rsidRPr="00BB5C57" w:rsidRDefault="00322AD9" w:rsidP="0004786C">
            <w:pPr>
              <w:rPr>
                <w:rFonts w:ascii="Arial" w:eastAsia="Calibri" w:hAnsi="Arial" w:cs="Arial"/>
                <w:b/>
                <w:sz w:val="20"/>
                <w:szCs w:val="20"/>
              </w:rPr>
            </w:pPr>
            <w:r>
              <w:rPr>
                <w:rFonts w:ascii="Arial" w:eastAsia="Calibri" w:hAnsi="Arial" w:cs="Arial"/>
                <w:b/>
                <w:bCs/>
                <w:sz w:val="20"/>
                <w:szCs w:val="20"/>
                <w:lang w:val="en-GB"/>
              </w:rPr>
              <w:t>Sliding scale TCA</w:t>
            </w:r>
          </w:p>
        </w:tc>
        <w:tc>
          <w:tcPr>
            <w:tcW w:w="0" w:type="auto"/>
            <w:hideMark/>
          </w:tcPr>
          <w:p w14:paraId="5E8F7CC1" w14:textId="77777777" w:rsidR="00322AD9" w:rsidRPr="00BB5C57" w:rsidRDefault="00322AD9" w:rsidP="0004786C">
            <w:pPr>
              <w:rPr>
                <w:rFonts w:ascii="Arial" w:eastAsia="Calibri" w:hAnsi="Arial" w:cs="Arial"/>
                <w:b/>
                <w:sz w:val="20"/>
                <w:szCs w:val="20"/>
              </w:rPr>
            </w:pPr>
            <w:r>
              <w:rPr>
                <w:rFonts w:ascii="Arial" w:eastAsia="Calibri" w:hAnsi="Arial" w:cs="Arial"/>
                <w:b/>
                <w:bCs/>
                <w:sz w:val="20"/>
                <w:szCs w:val="20"/>
                <w:lang w:val="en-GB"/>
              </w:rPr>
              <w:t>Per month</w:t>
            </w:r>
          </w:p>
        </w:tc>
        <w:tc>
          <w:tcPr>
            <w:tcW w:w="0" w:type="auto"/>
            <w:hideMark/>
          </w:tcPr>
          <w:p w14:paraId="41B1CF68" w14:textId="77777777" w:rsidR="00322AD9" w:rsidRPr="00BB5C57" w:rsidRDefault="00322AD9" w:rsidP="0004786C">
            <w:pPr>
              <w:rPr>
                <w:rFonts w:ascii="Arial" w:eastAsia="Calibri" w:hAnsi="Arial" w:cs="Arial"/>
                <w:b/>
                <w:sz w:val="20"/>
                <w:szCs w:val="20"/>
              </w:rPr>
            </w:pPr>
            <w:r>
              <w:rPr>
                <w:rFonts w:ascii="Arial" w:eastAsia="Calibri" w:hAnsi="Arial" w:cs="Arial"/>
                <w:b/>
                <w:bCs/>
                <w:sz w:val="20"/>
                <w:szCs w:val="20"/>
                <w:lang w:val="en-GB"/>
              </w:rPr>
              <w:t>Per week</w:t>
            </w:r>
          </w:p>
        </w:tc>
        <w:tc>
          <w:tcPr>
            <w:tcW w:w="0" w:type="auto"/>
            <w:hideMark/>
          </w:tcPr>
          <w:p w14:paraId="5D6E93B5" w14:textId="77777777" w:rsidR="00322AD9" w:rsidRPr="00BB5C57" w:rsidRDefault="00322AD9" w:rsidP="0004786C">
            <w:pPr>
              <w:rPr>
                <w:rFonts w:ascii="Arial" w:eastAsia="Calibri" w:hAnsi="Arial" w:cs="Arial"/>
                <w:b/>
                <w:sz w:val="20"/>
                <w:szCs w:val="20"/>
              </w:rPr>
            </w:pPr>
            <w:r>
              <w:rPr>
                <w:rFonts w:ascii="Arial" w:eastAsia="Calibri" w:hAnsi="Arial" w:cs="Arial"/>
                <w:b/>
                <w:bCs/>
                <w:sz w:val="20"/>
                <w:szCs w:val="20"/>
                <w:lang w:val="en-GB"/>
              </w:rPr>
              <w:t>Per day</w:t>
            </w:r>
          </w:p>
        </w:tc>
      </w:tr>
      <w:tr w:rsidR="00322AD9" w:rsidRPr="00BB5C57" w14:paraId="22C4D87E" w14:textId="77777777" w:rsidTr="0004786C">
        <w:tc>
          <w:tcPr>
            <w:tcW w:w="0" w:type="auto"/>
            <w:hideMark/>
          </w:tcPr>
          <w:p w14:paraId="16A64E79"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age 20</w:t>
            </w:r>
          </w:p>
        </w:tc>
        <w:tc>
          <w:tcPr>
            <w:tcW w:w="0" w:type="auto"/>
            <w:hideMark/>
          </w:tcPr>
          <w:p w14:paraId="051D4882"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61.50%</w:t>
            </w:r>
          </w:p>
        </w:tc>
        <w:tc>
          <w:tcPr>
            <w:tcW w:w="0" w:type="auto"/>
            <w:hideMark/>
          </w:tcPr>
          <w:p w14:paraId="4F7360D1"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€993.70</w:t>
            </w:r>
          </w:p>
        </w:tc>
        <w:tc>
          <w:tcPr>
            <w:tcW w:w="0" w:type="auto"/>
            <w:hideMark/>
          </w:tcPr>
          <w:p w14:paraId="1856179B"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€229.35</w:t>
            </w:r>
          </w:p>
        </w:tc>
        <w:tc>
          <w:tcPr>
            <w:tcW w:w="0" w:type="auto"/>
            <w:hideMark/>
          </w:tcPr>
          <w:p w14:paraId="39D45B71"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€45.87</w:t>
            </w:r>
          </w:p>
        </w:tc>
      </w:tr>
      <w:tr w:rsidR="00322AD9" w:rsidRPr="00BB5C57" w14:paraId="242218D8" w14:textId="77777777" w:rsidTr="0004786C">
        <w:tc>
          <w:tcPr>
            <w:tcW w:w="0" w:type="auto"/>
            <w:hideMark/>
          </w:tcPr>
          <w:p w14:paraId="74B21676"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age 19</w:t>
            </w:r>
          </w:p>
        </w:tc>
        <w:tc>
          <w:tcPr>
            <w:tcW w:w="0" w:type="auto"/>
            <w:hideMark/>
          </w:tcPr>
          <w:p w14:paraId="6F14B203"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52.50%</w:t>
            </w:r>
          </w:p>
        </w:tc>
        <w:tc>
          <w:tcPr>
            <w:tcW w:w="0" w:type="auto"/>
            <w:hideMark/>
          </w:tcPr>
          <w:p w14:paraId="07FE14C1"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€848.30</w:t>
            </w:r>
          </w:p>
        </w:tc>
        <w:tc>
          <w:tcPr>
            <w:tcW w:w="0" w:type="auto"/>
            <w:hideMark/>
          </w:tcPr>
          <w:p w14:paraId="396EE6BD"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€195.75</w:t>
            </w:r>
          </w:p>
        </w:tc>
        <w:tc>
          <w:tcPr>
            <w:tcW w:w="0" w:type="auto"/>
            <w:hideMark/>
          </w:tcPr>
          <w:p w14:paraId="6E96A418"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€39.15</w:t>
            </w:r>
          </w:p>
        </w:tc>
      </w:tr>
      <w:tr w:rsidR="00322AD9" w:rsidRPr="00BB5C57" w14:paraId="4CF244CE" w14:textId="77777777" w:rsidTr="0004786C">
        <w:tc>
          <w:tcPr>
            <w:tcW w:w="0" w:type="auto"/>
            <w:hideMark/>
          </w:tcPr>
          <w:p w14:paraId="4B1FCE24"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age 18</w:t>
            </w:r>
          </w:p>
        </w:tc>
        <w:tc>
          <w:tcPr>
            <w:tcW w:w="0" w:type="auto"/>
            <w:hideMark/>
          </w:tcPr>
          <w:p w14:paraId="1E341359"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45.50%</w:t>
            </w:r>
          </w:p>
        </w:tc>
        <w:tc>
          <w:tcPr>
            <w:tcW w:w="0" w:type="auto"/>
            <w:hideMark/>
          </w:tcPr>
          <w:p w14:paraId="4ED6EFC2"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€735.20</w:t>
            </w:r>
          </w:p>
        </w:tc>
        <w:tc>
          <w:tcPr>
            <w:tcW w:w="0" w:type="auto"/>
            <w:hideMark/>
          </w:tcPr>
          <w:p w14:paraId="26B8C8AF"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€169.65</w:t>
            </w:r>
          </w:p>
        </w:tc>
        <w:tc>
          <w:tcPr>
            <w:tcW w:w="0" w:type="auto"/>
            <w:hideMark/>
          </w:tcPr>
          <w:p w14:paraId="19F7A7EF" w14:textId="77777777" w:rsidR="00322AD9" w:rsidRPr="00BB5C57" w:rsidRDefault="00322AD9" w:rsidP="0004786C">
            <w:pPr>
              <w:rPr>
                <w:rFonts w:ascii="Arial" w:eastAsia="Calibri" w:hAnsi="Arial" w:cs="Arial"/>
                <w:sz w:val="20"/>
                <w:szCs w:val="20"/>
              </w:rPr>
            </w:pPr>
            <w:r>
              <w:rPr>
                <w:rFonts w:ascii="Arial" w:eastAsia="Calibri" w:hAnsi="Arial" w:cs="Arial"/>
                <w:sz w:val="20"/>
                <w:szCs w:val="20"/>
                <w:lang w:val="en-GB"/>
              </w:rPr>
              <w:t>€33.93</w:t>
            </w:r>
          </w:p>
        </w:tc>
      </w:tr>
    </w:tbl>
    <w:p w14:paraId="05466988" w14:textId="77777777" w:rsidR="00322AD9" w:rsidRPr="00BE4865" w:rsidRDefault="00322AD9" w:rsidP="00322AD9">
      <w:pPr>
        <w:rPr>
          <w:rFonts w:ascii="Arial" w:eastAsia="Calibri" w:hAnsi="Arial" w:cs="Arial"/>
          <w:sz w:val="20"/>
          <w:szCs w:val="20"/>
        </w:rPr>
      </w:pPr>
    </w:p>
    <w:p w14:paraId="794B3FF3" w14:textId="77777777" w:rsidR="00322AD9" w:rsidRPr="00BB5C57" w:rsidRDefault="00322AD9" w:rsidP="00322AD9">
      <w:pPr>
        <w:rPr>
          <w:rFonts w:ascii="Arial" w:eastAsia="Calibri" w:hAnsi="Arial" w:cs="Arial"/>
          <w:b/>
          <w:sz w:val="20"/>
          <w:szCs w:val="20"/>
        </w:rPr>
      </w:pPr>
      <w:r>
        <w:rPr>
          <w:rFonts w:ascii="Arial" w:eastAsia="Calibri" w:hAnsi="Arial" w:cs="Arial"/>
          <w:b/>
          <w:bCs/>
          <w:sz w:val="20"/>
          <w:szCs w:val="20"/>
          <w:lang w:val="en-GB"/>
        </w:rPr>
        <w:t>Decrease age limit</w:t>
      </w:r>
    </w:p>
    <w:p w14:paraId="56E13A4C"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The age limit for minimum wage will be decreased from age 22 to age 21 as from 1 July 2019. Employees age 21 are then entitled to 100% of the minimum wage. This means that the sliding scale and the statutory minimum wage will be applied as from that date. On 1 July 2017, this age was decreased from age 23 to age 22. Employers receive a compensation from the Tax and Customs Administration for this decrease in the form of the so-called Youth LIV.</w:t>
      </w:r>
    </w:p>
    <w:p w14:paraId="19865A8A" w14:textId="77777777" w:rsidR="00322AD9" w:rsidRPr="008D49E6" w:rsidRDefault="00322AD9" w:rsidP="00322AD9">
      <w:pPr>
        <w:rPr>
          <w:rFonts w:ascii="Arial" w:eastAsia="Calibri" w:hAnsi="Arial" w:cs="Arial"/>
          <w:sz w:val="20"/>
          <w:szCs w:val="20"/>
          <w:lang w:val="en-GB"/>
        </w:rPr>
      </w:pPr>
    </w:p>
    <w:p w14:paraId="524C2D4F"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Liabilities</w:t>
      </w:r>
    </w:p>
    <w:p w14:paraId="4F730CFC"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 xml:space="preserve">The statutory minimum wage applies as the minimum wage for your employees. This may be different if a CLA applies. Please ensure that you do not underpay your employees, as this is a punishable offence carrying high penalties. </w:t>
      </w:r>
    </w:p>
    <w:p w14:paraId="3CE324B1" w14:textId="77777777" w:rsidR="003D1152" w:rsidRPr="008D49E6" w:rsidRDefault="003D1152" w:rsidP="003D1152">
      <w:pPr>
        <w:pStyle w:val="Default"/>
        <w:rPr>
          <w:sz w:val="20"/>
          <w:szCs w:val="20"/>
          <w:lang w:val="en-GB"/>
        </w:rPr>
      </w:pPr>
    </w:p>
    <w:p w14:paraId="2BED41DD" w14:textId="1C5E5663" w:rsidR="003D1152" w:rsidRPr="008D49E6" w:rsidRDefault="003D1152" w:rsidP="003D1152">
      <w:pPr>
        <w:shd w:val="clear" w:color="auto" w:fill="D9D9D9"/>
        <w:rPr>
          <w:rFonts w:ascii="Arial" w:hAnsi="Arial" w:cs="Arial"/>
          <w:sz w:val="20"/>
          <w:szCs w:val="20"/>
          <w:lang w:val="en-GB"/>
        </w:rPr>
      </w:pPr>
      <w:r>
        <w:rPr>
          <w:rFonts w:ascii="Arial" w:hAnsi="Arial" w:cs="Arial"/>
          <w:b/>
          <w:bCs/>
          <w:sz w:val="20"/>
          <w:szCs w:val="20"/>
          <w:lang w:val="en-GB"/>
        </w:rPr>
        <w:t>Please note!</w:t>
      </w:r>
      <w:r>
        <w:rPr>
          <w:rFonts w:ascii="Arial" w:hAnsi="Arial" w:cs="Arial"/>
          <w:sz w:val="20"/>
          <w:szCs w:val="20"/>
          <w:lang w:val="en-GB"/>
        </w:rPr>
        <w:br/>
        <w:t>Since 1 January 2016, a mandatory bank payment of at least the net statutory minimum wage applies. The applicable minimum wage is also a mandatory note on the pay slips.</w:t>
      </w:r>
    </w:p>
    <w:p w14:paraId="0C93AAA8" w14:textId="77777777" w:rsidR="003D1152" w:rsidRPr="008D49E6" w:rsidRDefault="003D1152" w:rsidP="003D1152">
      <w:pPr>
        <w:pStyle w:val="Default"/>
        <w:rPr>
          <w:sz w:val="20"/>
          <w:szCs w:val="20"/>
          <w:lang w:val="en-GB"/>
        </w:rPr>
      </w:pPr>
    </w:p>
    <w:p w14:paraId="5D3C5156" w14:textId="27020530" w:rsidR="00322AD9" w:rsidRPr="008D49E6" w:rsidRDefault="003D1152" w:rsidP="003D1152">
      <w:pPr>
        <w:shd w:val="clear" w:color="auto" w:fill="D9D9D9"/>
        <w:rPr>
          <w:rFonts w:ascii="Arial" w:hAnsi="Arial" w:cs="Arial"/>
          <w:sz w:val="20"/>
          <w:szCs w:val="20"/>
          <w:lang w:val="en-GB"/>
        </w:rPr>
      </w:pPr>
      <w:r>
        <w:rPr>
          <w:rFonts w:ascii="Arial" w:hAnsi="Arial" w:cs="Arial"/>
          <w:b/>
          <w:bCs/>
          <w:sz w:val="20"/>
          <w:szCs w:val="20"/>
          <w:lang w:val="en-GB"/>
        </w:rPr>
        <w:t>Please note!</w:t>
      </w:r>
      <w:r>
        <w:rPr>
          <w:rFonts w:ascii="Arial" w:hAnsi="Arial" w:cs="Arial"/>
          <w:sz w:val="20"/>
          <w:szCs w:val="20"/>
          <w:lang w:val="en-GB"/>
        </w:rPr>
        <w:br/>
        <w:t>Since 1 January 2017, you may no longer deduct or settle amounts from the minimum wage. This withholding prohibition does not apply to statutory withholding amounts, housing costs and the cost of healthcare insurance. You may still withhold such costs from the minimum wage subject to certain conditions and limitations.</w:t>
      </w:r>
    </w:p>
    <w:p w14:paraId="6E092775" w14:textId="77777777" w:rsidR="00322AD9" w:rsidRPr="008D49E6" w:rsidRDefault="00322AD9" w:rsidP="00322AD9">
      <w:pPr>
        <w:rPr>
          <w:rFonts w:ascii="Arial" w:eastAsia="Calibri" w:hAnsi="Arial" w:cs="Arial"/>
          <w:sz w:val="20"/>
          <w:szCs w:val="20"/>
          <w:lang w:val="en-GB"/>
        </w:rPr>
      </w:pPr>
    </w:p>
    <w:p w14:paraId="703B9DD3" w14:textId="77777777" w:rsidR="00322AD9" w:rsidRPr="00BE4865" w:rsidRDefault="00322AD9" w:rsidP="003D1152">
      <w:pPr>
        <w:pStyle w:val="Kop2"/>
        <w:rPr>
          <w:rFonts w:eastAsia="Calibri"/>
        </w:rPr>
      </w:pPr>
      <w:bookmarkStart w:id="9" w:name="_Toc534204727"/>
      <w:bookmarkStart w:id="10" w:name="_Toc536010193"/>
      <w:r>
        <w:rPr>
          <w:rFonts w:eastAsia="Calibri"/>
          <w:bCs/>
          <w:iCs w:val="0"/>
          <w:lang w:val="en-GB"/>
        </w:rPr>
        <w:t>2019 premium rates employee insurance</w:t>
      </w:r>
      <w:bookmarkEnd w:id="9"/>
      <w:bookmarkEnd w:id="10"/>
    </w:p>
    <w:p w14:paraId="3A229E44" w14:textId="77777777" w:rsidR="00322AD9" w:rsidRPr="00BE4865" w:rsidRDefault="00322AD9" w:rsidP="00322AD9">
      <w:pPr>
        <w:rPr>
          <w:rFonts w:ascii="Arial" w:eastAsia="Calibri" w:hAnsi="Arial" w:cs="Arial"/>
          <w:sz w:val="20"/>
          <w:szCs w:val="20"/>
        </w:rPr>
      </w:pPr>
    </w:p>
    <w:p w14:paraId="5D1E5EDC"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The new rates for the 2019 employee insurance premiums have been determined. The Unemployment Act (WW) sector premiums will be significantly reduced in 2019. The average 2018 premium rate was 1.28%. In 2019 the average will be 0.77%. On the other hand, the Awf and Aof premiums will increase. The AOW, Anw, Ufo and Whk premiums will not change. The same applies to the allowance for childcare expenses. The average premium for sector funds will significantly decrease. Please find an overview of these premiums in the table below.</w:t>
      </w:r>
    </w:p>
    <w:p w14:paraId="7129F4B0" w14:textId="77777777" w:rsidR="00322AD9" w:rsidRPr="008D49E6" w:rsidRDefault="00322AD9" w:rsidP="00322AD9">
      <w:pPr>
        <w:rPr>
          <w:rFonts w:ascii="Arial" w:eastAsia="Calibri" w:hAnsi="Arial" w:cs="Arial"/>
          <w:sz w:val="20"/>
          <w:szCs w:val="20"/>
          <w:lang w:val="en-GB"/>
        </w:rPr>
      </w:pPr>
    </w:p>
    <w:tbl>
      <w:tblPr>
        <w:tblStyle w:val="Tabelraster"/>
        <w:tblW w:w="7287" w:type="dxa"/>
        <w:tblLook w:val="04A0" w:firstRow="1" w:lastRow="0" w:firstColumn="1" w:lastColumn="0" w:noHBand="0" w:noVBand="1"/>
      </w:tblPr>
      <w:tblGrid>
        <w:gridCol w:w="5411"/>
        <w:gridCol w:w="938"/>
        <w:gridCol w:w="938"/>
      </w:tblGrid>
      <w:tr w:rsidR="00322AD9" w:rsidRPr="00501FA4" w14:paraId="66ADD587" w14:textId="77777777" w:rsidTr="0004786C">
        <w:tc>
          <w:tcPr>
            <w:tcW w:w="0" w:type="auto"/>
            <w:hideMark/>
          </w:tcPr>
          <w:p w14:paraId="719CEAD0" w14:textId="77777777" w:rsidR="00322AD9" w:rsidRPr="00501FA4" w:rsidRDefault="00322AD9" w:rsidP="0004786C">
            <w:pPr>
              <w:rPr>
                <w:rFonts w:ascii="Arial" w:eastAsia="Calibri" w:hAnsi="Arial" w:cs="Arial"/>
                <w:b/>
                <w:sz w:val="20"/>
                <w:szCs w:val="20"/>
              </w:rPr>
            </w:pPr>
            <w:r>
              <w:rPr>
                <w:rFonts w:ascii="Arial" w:eastAsia="Calibri" w:hAnsi="Arial" w:cs="Arial"/>
                <w:b/>
                <w:bCs/>
                <w:sz w:val="20"/>
                <w:szCs w:val="20"/>
                <w:lang w:val="en-GB"/>
              </w:rPr>
              <w:t>Premium</w:t>
            </w:r>
          </w:p>
        </w:tc>
        <w:tc>
          <w:tcPr>
            <w:tcW w:w="0" w:type="auto"/>
            <w:hideMark/>
          </w:tcPr>
          <w:p w14:paraId="2BE9168A" w14:textId="77777777" w:rsidR="00322AD9" w:rsidRPr="00501FA4" w:rsidRDefault="00322AD9" w:rsidP="0004786C">
            <w:pPr>
              <w:rPr>
                <w:rFonts w:ascii="Arial" w:eastAsia="Calibri" w:hAnsi="Arial" w:cs="Arial"/>
                <w:b/>
                <w:sz w:val="20"/>
                <w:szCs w:val="20"/>
              </w:rPr>
            </w:pPr>
            <w:r>
              <w:rPr>
                <w:rFonts w:ascii="Arial" w:eastAsia="Calibri" w:hAnsi="Arial" w:cs="Arial"/>
                <w:b/>
                <w:bCs/>
                <w:sz w:val="20"/>
                <w:szCs w:val="20"/>
                <w:lang w:val="en-GB"/>
              </w:rPr>
              <w:t>2018</w:t>
            </w:r>
          </w:p>
        </w:tc>
        <w:tc>
          <w:tcPr>
            <w:tcW w:w="0" w:type="auto"/>
            <w:hideMark/>
          </w:tcPr>
          <w:p w14:paraId="2812720B" w14:textId="77777777" w:rsidR="00322AD9" w:rsidRPr="00501FA4" w:rsidRDefault="00322AD9" w:rsidP="0004786C">
            <w:pPr>
              <w:rPr>
                <w:rFonts w:ascii="Arial" w:eastAsia="Calibri" w:hAnsi="Arial" w:cs="Arial"/>
                <w:b/>
                <w:sz w:val="20"/>
                <w:szCs w:val="20"/>
              </w:rPr>
            </w:pPr>
            <w:r>
              <w:rPr>
                <w:rFonts w:ascii="Arial" w:eastAsia="Calibri" w:hAnsi="Arial" w:cs="Arial"/>
                <w:b/>
                <w:bCs/>
                <w:sz w:val="20"/>
                <w:szCs w:val="20"/>
                <w:lang w:val="en-GB"/>
              </w:rPr>
              <w:t>2019</w:t>
            </w:r>
          </w:p>
        </w:tc>
      </w:tr>
      <w:tr w:rsidR="00322AD9" w:rsidRPr="004903F7" w14:paraId="1EE1536A" w14:textId="77777777" w:rsidTr="0004786C">
        <w:tc>
          <w:tcPr>
            <w:tcW w:w="0" w:type="auto"/>
          </w:tcPr>
          <w:p w14:paraId="35E58B76" w14:textId="77777777" w:rsidR="00322AD9" w:rsidRDefault="00322AD9" w:rsidP="0004786C">
            <w:pPr>
              <w:rPr>
                <w:rFonts w:ascii="Arial" w:eastAsia="Calibri" w:hAnsi="Arial" w:cs="Arial"/>
                <w:sz w:val="20"/>
                <w:szCs w:val="20"/>
              </w:rPr>
            </w:pPr>
            <w:r>
              <w:rPr>
                <w:rFonts w:ascii="Arial" w:eastAsia="Calibri" w:hAnsi="Arial" w:cs="Arial"/>
                <w:sz w:val="20"/>
                <w:szCs w:val="20"/>
                <w:lang w:val="en-GB"/>
              </w:rPr>
              <w:t>WW - Unemployment Act</w:t>
            </w:r>
          </w:p>
        </w:tc>
        <w:tc>
          <w:tcPr>
            <w:tcW w:w="0" w:type="auto"/>
          </w:tcPr>
          <w:p w14:paraId="42240B87" w14:textId="77777777" w:rsidR="00322AD9" w:rsidRDefault="00322AD9" w:rsidP="0004786C">
            <w:pPr>
              <w:rPr>
                <w:rFonts w:ascii="Arial" w:eastAsia="Calibri" w:hAnsi="Arial" w:cs="Arial"/>
                <w:sz w:val="20"/>
                <w:szCs w:val="20"/>
              </w:rPr>
            </w:pPr>
            <w:r>
              <w:rPr>
                <w:rFonts w:ascii="Arial" w:eastAsia="Calibri" w:hAnsi="Arial" w:cs="Arial"/>
                <w:sz w:val="20"/>
                <w:szCs w:val="20"/>
                <w:lang w:val="en-GB"/>
              </w:rPr>
              <w:t>1.28</w:t>
            </w:r>
          </w:p>
        </w:tc>
        <w:tc>
          <w:tcPr>
            <w:tcW w:w="0" w:type="auto"/>
          </w:tcPr>
          <w:p w14:paraId="7BDB15D4" w14:textId="77777777" w:rsidR="00322AD9" w:rsidRDefault="00322AD9" w:rsidP="0004786C">
            <w:pPr>
              <w:rPr>
                <w:rFonts w:ascii="Arial" w:eastAsia="Calibri" w:hAnsi="Arial" w:cs="Arial"/>
                <w:sz w:val="20"/>
                <w:szCs w:val="20"/>
              </w:rPr>
            </w:pPr>
            <w:r>
              <w:rPr>
                <w:rFonts w:ascii="Arial" w:eastAsia="Calibri" w:hAnsi="Arial" w:cs="Arial"/>
                <w:sz w:val="20"/>
                <w:szCs w:val="20"/>
                <w:lang w:val="en-GB"/>
              </w:rPr>
              <w:t>0.77%</w:t>
            </w:r>
          </w:p>
        </w:tc>
      </w:tr>
      <w:tr w:rsidR="00322AD9" w:rsidRPr="004903F7" w14:paraId="29C620CD" w14:textId="77777777" w:rsidTr="0004786C">
        <w:tc>
          <w:tcPr>
            <w:tcW w:w="0" w:type="auto"/>
            <w:hideMark/>
          </w:tcPr>
          <w:p w14:paraId="4549C47A" w14:textId="77777777" w:rsidR="00322AD9" w:rsidRPr="004903F7" w:rsidRDefault="00322AD9" w:rsidP="0004786C">
            <w:pPr>
              <w:rPr>
                <w:rFonts w:ascii="Arial" w:eastAsia="Calibri" w:hAnsi="Arial" w:cs="Arial"/>
                <w:sz w:val="20"/>
                <w:szCs w:val="20"/>
              </w:rPr>
            </w:pPr>
            <w:r>
              <w:rPr>
                <w:rFonts w:ascii="Arial" w:eastAsia="Calibri" w:hAnsi="Arial" w:cs="Arial"/>
                <w:sz w:val="20"/>
                <w:szCs w:val="20"/>
                <w:lang w:val="en-GB"/>
              </w:rPr>
              <w:t>AOW retirement pension fund</w:t>
            </w:r>
          </w:p>
        </w:tc>
        <w:tc>
          <w:tcPr>
            <w:tcW w:w="0" w:type="auto"/>
            <w:hideMark/>
          </w:tcPr>
          <w:p w14:paraId="3A035449" w14:textId="77777777" w:rsidR="00322AD9" w:rsidRPr="004903F7" w:rsidRDefault="00322AD9" w:rsidP="0004786C">
            <w:pPr>
              <w:rPr>
                <w:rFonts w:ascii="Arial" w:eastAsia="Calibri" w:hAnsi="Arial" w:cs="Arial"/>
                <w:sz w:val="20"/>
                <w:szCs w:val="20"/>
              </w:rPr>
            </w:pPr>
            <w:r>
              <w:rPr>
                <w:rFonts w:ascii="Arial" w:eastAsia="Calibri" w:hAnsi="Arial" w:cs="Arial"/>
                <w:sz w:val="20"/>
                <w:szCs w:val="20"/>
                <w:lang w:val="en-GB"/>
              </w:rPr>
              <w:t>17.90%</w:t>
            </w:r>
          </w:p>
        </w:tc>
        <w:tc>
          <w:tcPr>
            <w:tcW w:w="0" w:type="auto"/>
            <w:hideMark/>
          </w:tcPr>
          <w:p w14:paraId="2CC557CD" w14:textId="77777777" w:rsidR="00322AD9" w:rsidRPr="004903F7" w:rsidRDefault="00322AD9" w:rsidP="0004786C">
            <w:pPr>
              <w:rPr>
                <w:rFonts w:ascii="Arial" w:eastAsia="Calibri" w:hAnsi="Arial" w:cs="Arial"/>
                <w:sz w:val="20"/>
                <w:szCs w:val="20"/>
              </w:rPr>
            </w:pPr>
            <w:r>
              <w:rPr>
                <w:rFonts w:ascii="Arial" w:eastAsia="Calibri" w:hAnsi="Arial" w:cs="Arial"/>
                <w:sz w:val="20"/>
                <w:szCs w:val="20"/>
                <w:lang w:val="en-GB"/>
              </w:rPr>
              <w:t>17.90%</w:t>
            </w:r>
          </w:p>
        </w:tc>
      </w:tr>
      <w:tr w:rsidR="00322AD9" w:rsidRPr="004903F7" w14:paraId="766DFE63" w14:textId="77777777" w:rsidTr="0004786C">
        <w:tc>
          <w:tcPr>
            <w:tcW w:w="0" w:type="auto"/>
            <w:hideMark/>
          </w:tcPr>
          <w:p w14:paraId="30E51D55" w14:textId="77777777" w:rsidR="00322AD9" w:rsidRPr="004903F7" w:rsidRDefault="00322AD9" w:rsidP="0004786C">
            <w:pPr>
              <w:rPr>
                <w:rFonts w:ascii="Arial" w:eastAsia="Calibri" w:hAnsi="Arial" w:cs="Arial"/>
                <w:sz w:val="20"/>
                <w:szCs w:val="20"/>
              </w:rPr>
            </w:pPr>
            <w:r>
              <w:rPr>
                <w:rFonts w:ascii="Arial" w:eastAsia="Calibri" w:hAnsi="Arial" w:cs="Arial"/>
                <w:sz w:val="20"/>
                <w:szCs w:val="20"/>
                <w:lang w:val="en-GB"/>
              </w:rPr>
              <w:t>Anw surviving dependants fund</w:t>
            </w:r>
          </w:p>
        </w:tc>
        <w:tc>
          <w:tcPr>
            <w:tcW w:w="0" w:type="auto"/>
            <w:hideMark/>
          </w:tcPr>
          <w:p w14:paraId="60A31CF2" w14:textId="77777777" w:rsidR="00322AD9" w:rsidRPr="004903F7" w:rsidRDefault="00322AD9" w:rsidP="0004786C">
            <w:pPr>
              <w:rPr>
                <w:rFonts w:ascii="Arial" w:eastAsia="Calibri" w:hAnsi="Arial" w:cs="Arial"/>
                <w:sz w:val="20"/>
                <w:szCs w:val="20"/>
              </w:rPr>
            </w:pPr>
            <w:r>
              <w:rPr>
                <w:rFonts w:ascii="Arial" w:eastAsia="Calibri" w:hAnsi="Arial" w:cs="Arial"/>
                <w:sz w:val="20"/>
                <w:szCs w:val="20"/>
                <w:lang w:val="en-GB"/>
              </w:rPr>
              <w:t>0.10%</w:t>
            </w:r>
          </w:p>
        </w:tc>
        <w:tc>
          <w:tcPr>
            <w:tcW w:w="0" w:type="auto"/>
            <w:hideMark/>
          </w:tcPr>
          <w:p w14:paraId="6C9A4C4C" w14:textId="77777777" w:rsidR="00322AD9" w:rsidRPr="004903F7" w:rsidRDefault="00322AD9" w:rsidP="0004786C">
            <w:pPr>
              <w:rPr>
                <w:rFonts w:ascii="Arial" w:eastAsia="Calibri" w:hAnsi="Arial" w:cs="Arial"/>
                <w:sz w:val="20"/>
                <w:szCs w:val="20"/>
              </w:rPr>
            </w:pPr>
            <w:r>
              <w:rPr>
                <w:rFonts w:ascii="Arial" w:eastAsia="Calibri" w:hAnsi="Arial" w:cs="Arial"/>
                <w:sz w:val="20"/>
                <w:szCs w:val="20"/>
                <w:lang w:val="en-GB"/>
              </w:rPr>
              <w:t>0.10%</w:t>
            </w:r>
          </w:p>
        </w:tc>
      </w:tr>
      <w:tr w:rsidR="00322AD9" w:rsidRPr="004903F7" w14:paraId="64682542" w14:textId="77777777" w:rsidTr="0004786C">
        <w:tc>
          <w:tcPr>
            <w:tcW w:w="0" w:type="auto"/>
            <w:hideMark/>
          </w:tcPr>
          <w:p w14:paraId="74C502B0" w14:textId="77777777" w:rsidR="00322AD9" w:rsidRPr="004903F7" w:rsidRDefault="00322AD9" w:rsidP="0004786C">
            <w:pPr>
              <w:rPr>
                <w:rFonts w:ascii="Arial" w:eastAsia="Calibri" w:hAnsi="Arial" w:cs="Arial"/>
                <w:sz w:val="20"/>
                <w:szCs w:val="20"/>
              </w:rPr>
            </w:pPr>
            <w:r>
              <w:rPr>
                <w:rFonts w:ascii="Arial" w:eastAsia="Calibri" w:hAnsi="Arial" w:cs="Arial"/>
                <w:sz w:val="20"/>
                <w:szCs w:val="20"/>
                <w:lang w:val="en-GB"/>
              </w:rPr>
              <w:t>Awf general unemployment fund</w:t>
            </w:r>
          </w:p>
        </w:tc>
        <w:tc>
          <w:tcPr>
            <w:tcW w:w="0" w:type="auto"/>
            <w:hideMark/>
          </w:tcPr>
          <w:p w14:paraId="45051B57" w14:textId="77777777" w:rsidR="00322AD9" w:rsidRPr="004903F7" w:rsidRDefault="00322AD9" w:rsidP="0004786C">
            <w:pPr>
              <w:rPr>
                <w:rFonts w:ascii="Arial" w:eastAsia="Calibri" w:hAnsi="Arial" w:cs="Arial"/>
                <w:sz w:val="20"/>
                <w:szCs w:val="20"/>
              </w:rPr>
            </w:pPr>
            <w:r>
              <w:rPr>
                <w:rFonts w:ascii="Arial" w:eastAsia="Calibri" w:hAnsi="Arial" w:cs="Arial"/>
                <w:sz w:val="20"/>
                <w:szCs w:val="20"/>
                <w:lang w:val="en-GB"/>
              </w:rPr>
              <w:t>2.85%</w:t>
            </w:r>
          </w:p>
        </w:tc>
        <w:tc>
          <w:tcPr>
            <w:tcW w:w="0" w:type="auto"/>
            <w:hideMark/>
          </w:tcPr>
          <w:p w14:paraId="6FF6A6C1" w14:textId="77777777" w:rsidR="00322AD9" w:rsidRPr="004903F7" w:rsidRDefault="00322AD9" w:rsidP="0004786C">
            <w:pPr>
              <w:rPr>
                <w:rFonts w:ascii="Arial" w:eastAsia="Calibri" w:hAnsi="Arial" w:cs="Arial"/>
                <w:sz w:val="20"/>
                <w:szCs w:val="20"/>
              </w:rPr>
            </w:pPr>
            <w:r>
              <w:rPr>
                <w:rFonts w:ascii="Arial" w:eastAsia="Calibri" w:hAnsi="Arial" w:cs="Arial"/>
                <w:sz w:val="20"/>
                <w:szCs w:val="20"/>
                <w:lang w:val="en-GB"/>
              </w:rPr>
              <w:t>3.60%</w:t>
            </w:r>
          </w:p>
        </w:tc>
      </w:tr>
      <w:tr w:rsidR="00322AD9" w:rsidRPr="004903F7" w14:paraId="538EBB8B" w14:textId="77777777" w:rsidTr="0004786C">
        <w:tc>
          <w:tcPr>
            <w:tcW w:w="0" w:type="auto"/>
          </w:tcPr>
          <w:p w14:paraId="0A6A4B97" w14:textId="77777777" w:rsidR="00322AD9" w:rsidRDefault="00322AD9" w:rsidP="0004786C">
            <w:pPr>
              <w:rPr>
                <w:rFonts w:ascii="Arial" w:eastAsia="Calibri" w:hAnsi="Arial" w:cs="Arial"/>
                <w:sz w:val="20"/>
                <w:szCs w:val="20"/>
              </w:rPr>
            </w:pPr>
            <w:r>
              <w:rPr>
                <w:rFonts w:ascii="Arial" w:eastAsia="Calibri" w:hAnsi="Arial" w:cs="Arial"/>
                <w:sz w:val="20"/>
                <w:szCs w:val="20"/>
                <w:lang w:val="en-GB"/>
              </w:rPr>
              <w:t>Ufo government administration fund</w:t>
            </w:r>
          </w:p>
        </w:tc>
        <w:tc>
          <w:tcPr>
            <w:tcW w:w="0" w:type="auto"/>
          </w:tcPr>
          <w:p w14:paraId="2AE2A7F0" w14:textId="77777777" w:rsidR="00322AD9" w:rsidRDefault="00322AD9" w:rsidP="0004786C">
            <w:pPr>
              <w:rPr>
                <w:rFonts w:ascii="Arial" w:eastAsia="Calibri" w:hAnsi="Arial" w:cs="Arial"/>
                <w:sz w:val="20"/>
                <w:szCs w:val="20"/>
              </w:rPr>
            </w:pPr>
            <w:r>
              <w:rPr>
                <w:rFonts w:ascii="Arial" w:eastAsia="Calibri" w:hAnsi="Arial" w:cs="Arial"/>
                <w:sz w:val="20"/>
                <w:szCs w:val="20"/>
                <w:lang w:val="en-GB"/>
              </w:rPr>
              <w:t>0.78%</w:t>
            </w:r>
          </w:p>
        </w:tc>
        <w:tc>
          <w:tcPr>
            <w:tcW w:w="0" w:type="auto"/>
          </w:tcPr>
          <w:p w14:paraId="545171FC" w14:textId="77777777" w:rsidR="00322AD9" w:rsidRDefault="00322AD9" w:rsidP="0004786C">
            <w:pPr>
              <w:rPr>
                <w:rFonts w:ascii="Arial" w:eastAsia="Calibri" w:hAnsi="Arial" w:cs="Arial"/>
                <w:sz w:val="20"/>
                <w:szCs w:val="20"/>
              </w:rPr>
            </w:pPr>
            <w:r>
              <w:rPr>
                <w:rFonts w:ascii="Arial" w:eastAsia="Calibri" w:hAnsi="Arial" w:cs="Arial"/>
                <w:sz w:val="20"/>
                <w:szCs w:val="20"/>
                <w:lang w:val="en-GB"/>
              </w:rPr>
              <w:t>0.78%</w:t>
            </w:r>
          </w:p>
        </w:tc>
      </w:tr>
      <w:tr w:rsidR="00322AD9" w:rsidRPr="004903F7" w14:paraId="721BE618" w14:textId="77777777" w:rsidTr="0004786C">
        <w:tc>
          <w:tcPr>
            <w:tcW w:w="0" w:type="auto"/>
          </w:tcPr>
          <w:p w14:paraId="25BDAC06" w14:textId="77777777" w:rsidR="00322AD9" w:rsidRPr="008D49E6" w:rsidRDefault="00322AD9" w:rsidP="0004786C">
            <w:pPr>
              <w:rPr>
                <w:rFonts w:ascii="Arial" w:eastAsia="Calibri" w:hAnsi="Arial" w:cs="Arial"/>
                <w:sz w:val="20"/>
                <w:szCs w:val="20"/>
                <w:lang w:val="en-GB"/>
              </w:rPr>
            </w:pPr>
            <w:r>
              <w:rPr>
                <w:rFonts w:ascii="Arial" w:eastAsia="Calibri" w:hAnsi="Arial" w:cs="Arial"/>
                <w:sz w:val="20"/>
                <w:szCs w:val="20"/>
                <w:lang w:val="en-GB"/>
              </w:rPr>
              <w:t>Sfn/Ufo Uniform increase allowance childcare expenses</w:t>
            </w:r>
          </w:p>
        </w:tc>
        <w:tc>
          <w:tcPr>
            <w:tcW w:w="0" w:type="auto"/>
          </w:tcPr>
          <w:p w14:paraId="787D2490" w14:textId="77777777" w:rsidR="00322AD9" w:rsidRDefault="00322AD9" w:rsidP="0004786C">
            <w:pPr>
              <w:rPr>
                <w:rFonts w:ascii="Arial" w:eastAsia="Calibri" w:hAnsi="Arial" w:cs="Arial"/>
                <w:sz w:val="20"/>
                <w:szCs w:val="20"/>
              </w:rPr>
            </w:pPr>
            <w:r>
              <w:rPr>
                <w:rFonts w:ascii="Arial" w:eastAsia="Calibri" w:hAnsi="Arial" w:cs="Arial"/>
                <w:sz w:val="20"/>
                <w:szCs w:val="20"/>
                <w:lang w:val="en-GB"/>
              </w:rPr>
              <w:t>0.50%</w:t>
            </w:r>
          </w:p>
        </w:tc>
        <w:tc>
          <w:tcPr>
            <w:tcW w:w="0" w:type="auto"/>
          </w:tcPr>
          <w:p w14:paraId="73F0A5F7" w14:textId="77777777" w:rsidR="00322AD9" w:rsidRDefault="00322AD9" w:rsidP="0004786C">
            <w:pPr>
              <w:rPr>
                <w:rFonts w:ascii="Arial" w:eastAsia="Calibri" w:hAnsi="Arial" w:cs="Arial"/>
                <w:sz w:val="20"/>
                <w:szCs w:val="20"/>
              </w:rPr>
            </w:pPr>
            <w:r>
              <w:rPr>
                <w:rFonts w:ascii="Arial" w:eastAsia="Calibri" w:hAnsi="Arial" w:cs="Arial"/>
                <w:sz w:val="20"/>
                <w:szCs w:val="20"/>
                <w:lang w:val="en-GB"/>
              </w:rPr>
              <w:t>0.50%</w:t>
            </w:r>
          </w:p>
        </w:tc>
      </w:tr>
      <w:tr w:rsidR="00322AD9" w:rsidRPr="004903F7" w14:paraId="573F95DA" w14:textId="77777777" w:rsidTr="0004786C">
        <w:tc>
          <w:tcPr>
            <w:tcW w:w="0" w:type="auto"/>
          </w:tcPr>
          <w:p w14:paraId="3357202E" w14:textId="77777777" w:rsidR="00322AD9" w:rsidRDefault="00322AD9" w:rsidP="0004786C">
            <w:pPr>
              <w:rPr>
                <w:rFonts w:ascii="Arial" w:eastAsia="Calibri" w:hAnsi="Arial" w:cs="Arial"/>
                <w:sz w:val="20"/>
                <w:szCs w:val="20"/>
              </w:rPr>
            </w:pPr>
            <w:r>
              <w:rPr>
                <w:rFonts w:ascii="Arial" w:eastAsia="Calibri" w:hAnsi="Arial" w:cs="Arial"/>
                <w:sz w:val="20"/>
                <w:szCs w:val="20"/>
                <w:lang w:val="en-GB"/>
              </w:rPr>
              <w:t>Aof occupational disability fund</w:t>
            </w:r>
          </w:p>
        </w:tc>
        <w:tc>
          <w:tcPr>
            <w:tcW w:w="0" w:type="auto"/>
          </w:tcPr>
          <w:p w14:paraId="307A491F" w14:textId="77777777" w:rsidR="00322AD9" w:rsidRDefault="00322AD9" w:rsidP="0004786C">
            <w:pPr>
              <w:rPr>
                <w:rFonts w:ascii="Arial" w:eastAsia="Calibri" w:hAnsi="Arial" w:cs="Arial"/>
                <w:sz w:val="20"/>
                <w:szCs w:val="20"/>
              </w:rPr>
            </w:pPr>
            <w:r>
              <w:rPr>
                <w:rFonts w:ascii="Arial" w:eastAsia="Calibri" w:hAnsi="Arial" w:cs="Arial"/>
                <w:sz w:val="20"/>
                <w:szCs w:val="20"/>
                <w:lang w:val="en-GB"/>
              </w:rPr>
              <w:t>6.27%</w:t>
            </w:r>
          </w:p>
        </w:tc>
        <w:tc>
          <w:tcPr>
            <w:tcW w:w="0" w:type="auto"/>
          </w:tcPr>
          <w:p w14:paraId="5E53FDE1" w14:textId="77777777" w:rsidR="00322AD9" w:rsidRDefault="00322AD9" w:rsidP="0004786C">
            <w:pPr>
              <w:rPr>
                <w:rFonts w:ascii="Arial" w:eastAsia="Calibri" w:hAnsi="Arial" w:cs="Arial"/>
                <w:sz w:val="20"/>
                <w:szCs w:val="20"/>
              </w:rPr>
            </w:pPr>
            <w:r>
              <w:rPr>
                <w:rFonts w:ascii="Arial" w:eastAsia="Calibri" w:hAnsi="Arial" w:cs="Arial"/>
                <w:sz w:val="20"/>
                <w:szCs w:val="20"/>
                <w:lang w:val="en-GB"/>
              </w:rPr>
              <w:t>6.46%</w:t>
            </w:r>
          </w:p>
        </w:tc>
      </w:tr>
      <w:tr w:rsidR="00322AD9" w:rsidRPr="004903F7" w14:paraId="4EAB27D7" w14:textId="77777777" w:rsidTr="0004786C">
        <w:tc>
          <w:tcPr>
            <w:tcW w:w="0" w:type="auto"/>
          </w:tcPr>
          <w:p w14:paraId="3D64A25D" w14:textId="77777777" w:rsidR="00322AD9" w:rsidRPr="008D49E6" w:rsidRDefault="00322AD9" w:rsidP="0004786C">
            <w:pPr>
              <w:rPr>
                <w:rFonts w:ascii="Arial" w:eastAsia="Calibri" w:hAnsi="Arial" w:cs="Arial"/>
                <w:sz w:val="20"/>
                <w:szCs w:val="20"/>
                <w:lang w:val="en-GB"/>
              </w:rPr>
            </w:pPr>
            <w:r>
              <w:rPr>
                <w:rFonts w:ascii="Arial" w:eastAsia="Calibri" w:hAnsi="Arial" w:cs="Arial"/>
                <w:sz w:val="20"/>
                <w:szCs w:val="20"/>
                <w:lang w:val="en-GB"/>
              </w:rPr>
              <w:t>Whk Return to work fund</w:t>
            </w:r>
          </w:p>
        </w:tc>
        <w:tc>
          <w:tcPr>
            <w:tcW w:w="0" w:type="auto"/>
          </w:tcPr>
          <w:p w14:paraId="58B59F47" w14:textId="77777777" w:rsidR="00322AD9" w:rsidRDefault="00322AD9" w:rsidP="0004786C">
            <w:pPr>
              <w:rPr>
                <w:rFonts w:ascii="Arial" w:eastAsia="Calibri" w:hAnsi="Arial" w:cs="Arial"/>
                <w:sz w:val="20"/>
                <w:szCs w:val="20"/>
              </w:rPr>
            </w:pPr>
            <w:r>
              <w:rPr>
                <w:rFonts w:ascii="Arial" w:eastAsia="Calibri" w:hAnsi="Arial" w:cs="Arial"/>
                <w:sz w:val="20"/>
                <w:szCs w:val="20"/>
                <w:lang w:val="en-GB"/>
              </w:rPr>
              <w:t>1.22%</w:t>
            </w:r>
          </w:p>
        </w:tc>
        <w:tc>
          <w:tcPr>
            <w:tcW w:w="0" w:type="auto"/>
          </w:tcPr>
          <w:p w14:paraId="4AAC4A4C" w14:textId="77777777" w:rsidR="00322AD9" w:rsidRDefault="00322AD9" w:rsidP="0004786C">
            <w:pPr>
              <w:rPr>
                <w:rFonts w:ascii="Arial" w:eastAsia="Calibri" w:hAnsi="Arial" w:cs="Arial"/>
                <w:sz w:val="20"/>
                <w:szCs w:val="20"/>
              </w:rPr>
            </w:pPr>
            <w:r>
              <w:rPr>
                <w:rFonts w:ascii="Arial" w:eastAsia="Calibri" w:hAnsi="Arial" w:cs="Arial"/>
                <w:sz w:val="20"/>
                <w:szCs w:val="20"/>
                <w:lang w:val="en-GB"/>
              </w:rPr>
              <w:t>1.24%</w:t>
            </w:r>
          </w:p>
        </w:tc>
      </w:tr>
    </w:tbl>
    <w:p w14:paraId="172441F8" w14:textId="77777777" w:rsidR="00322AD9" w:rsidRPr="00BE4865" w:rsidRDefault="00322AD9" w:rsidP="00322AD9">
      <w:pPr>
        <w:rPr>
          <w:rFonts w:ascii="Arial" w:eastAsia="Calibri" w:hAnsi="Arial" w:cs="Arial"/>
          <w:sz w:val="20"/>
          <w:szCs w:val="20"/>
        </w:rPr>
      </w:pPr>
    </w:p>
    <w:p w14:paraId="24FE4FB7" w14:textId="77777777" w:rsidR="003D1152" w:rsidRDefault="003D1152" w:rsidP="00322AD9">
      <w:pPr>
        <w:rPr>
          <w:rFonts w:ascii="Arial" w:eastAsia="Calibri" w:hAnsi="Arial" w:cs="Arial"/>
          <w:b/>
          <w:sz w:val="20"/>
          <w:szCs w:val="20"/>
        </w:rPr>
      </w:pPr>
    </w:p>
    <w:p w14:paraId="4B44E038" w14:textId="77777777" w:rsidR="003D1152" w:rsidRDefault="003D1152" w:rsidP="00322AD9">
      <w:pPr>
        <w:rPr>
          <w:rFonts w:ascii="Arial" w:eastAsia="Calibri" w:hAnsi="Arial" w:cs="Arial"/>
          <w:b/>
          <w:sz w:val="20"/>
          <w:szCs w:val="20"/>
        </w:rPr>
      </w:pPr>
    </w:p>
    <w:p w14:paraId="650378EB" w14:textId="77777777" w:rsidR="00322AD9" w:rsidRPr="004903F7" w:rsidRDefault="00322AD9" w:rsidP="00322AD9">
      <w:pPr>
        <w:rPr>
          <w:rFonts w:ascii="Arial" w:eastAsia="Calibri" w:hAnsi="Arial" w:cs="Arial"/>
          <w:b/>
          <w:sz w:val="20"/>
          <w:szCs w:val="20"/>
        </w:rPr>
      </w:pPr>
      <w:r>
        <w:rPr>
          <w:rFonts w:ascii="Arial" w:eastAsia="Calibri" w:hAnsi="Arial" w:cs="Arial"/>
          <w:b/>
          <w:bCs/>
          <w:sz w:val="20"/>
          <w:szCs w:val="20"/>
          <w:lang w:val="en-GB"/>
        </w:rPr>
        <w:t>Maximum premium wage 2019</w:t>
      </w:r>
    </w:p>
    <w:p w14:paraId="5142C78E" w14:textId="77777777" w:rsidR="00322AD9" w:rsidRDefault="00322AD9" w:rsidP="00322AD9">
      <w:pPr>
        <w:rPr>
          <w:rFonts w:ascii="Arial" w:eastAsia="Calibri" w:hAnsi="Arial" w:cs="Arial"/>
          <w:sz w:val="20"/>
          <w:szCs w:val="20"/>
        </w:rPr>
      </w:pPr>
      <w:r>
        <w:rPr>
          <w:rFonts w:ascii="Arial" w:eastAsia="Calibri" w:hAnsi="Arial" w:cs="Arial"/>
          <w:sz w:val="20"/>
          <w:szCs w:val="20"/>
          <w:lang w:val="en-GB"/>
        </w:rPr>
        <w:t>The maximum premium wage is increased. The maximum premium wage is the maximum wage on which you are charged a premium for employee insurance. For 2019, this amounts to €55,927. In 2018, this amounted to €54,614.</w:t>
      </w:r>
    </w:p>
    <w:p w14:paraId="09EE79EA" w14:textId="77777777" w:rsidR="00322AD9" w:rsidRDefault="00322AD9" w:rsidP="00322AD9">
      <w:pPr>
        <w:rPr>
          <w:rFonts w:ascii="Arial" w:eastAsia="Calibri" w:hAnsi="Arial" w:cs="Arial"/>
          <w:sz w:val="20"/>
          <w:szCs w:val="20"/>
        </w:rPr>
      </w:pPr>
    </w:p>
    <w:p w14:paraId="1CC7CBFE" w14:textId="77777777" w:rsidR="00322AD9" w:rsidRPr="008D49E6" w:rsidRDefault="00322AD9" w:rsidP="003D1152">
      <w:pPr>
        <w:pStyle w:val="Kop2"/>
        <w:rPr>
          <w:rFonts w:eastAsia="Calibri"/>
          <w:lang w:val="en-GB"/>
        </w:rPr>
      </w:pPr>
      <w:bookmarkStart w:id="11" w:name="_Toc534204728"/>
      <w:bookmarkStart w:id="12" w:name="_Toc536010194"/>
      <w:r>
        <w:rPr>
          <w:rFonts w:eastAsia="Calibri"/>
          <w:bCs/>
          <w:iCs w:val="0"/>
          <w:lang w:val="en-GB"/>
        </w:rPr>
        <w:t>Premium rates income-related contribution Zvw 2019</w:t>
      </w:r>
      <w:bookmarkEnd w:id="11"/>
      <w:bookmarkEnd w:id="12"/>
    </w:p>
    <w:p w14:paraId="37E99BC7" w14:textId="77777777" w:rsidR="00322AD9" w:rsidRPr="008D49E6" w:rsidRDefault="00322AD9" w:rsidP="00322AD9">
      <w:pPr>
        <w:rPr>
          <w:rFonts w:ascii="Arial" w:eastAsia="Calibri" w:hAnsi="Arial" w:cs="Arial"/>
          <w:sz w:val="20"/>
          <w:szCs w:val="20"/>
          <w:lang w:val="en-GB"/>
        </w:rPr>
      </w:pPr>
    </w:p>
    <w:p w14:paraId="1809E63B" w14:textId="77777777" w:rsidR="00322AD9" w:rsidRDefault="00322AD9" w:rsidP="00322AD9">
      <w:pPr>
        <w:rPr>
          <w:rFonts w:ascii="Arial" w:eastAsia="Calibri" w:hAnsi="Arial" w:cs="Arial"/>
          <w:sz w:val="20"/>
          <w:szCs w:val="20"/>
        </w:rPr>
      </w:pPr>
      <w:r>
        <w:rPr>
          <w:rFonts w:ascii="Arial" w:eastAsia="Calibri" w:hAnsi="Arial" w:cs="Arial"/>
          <w:sz w:val="20"/>
          <w:szCs w:val="20"/>
          <w:lang w:val="en-GB"/>
        </w:rPr>
        <w:t>Both the employer and employee contributions for Zvw will be slightly raised as per 1 January 2019 compared with 2018. The table below sets out the differences compared with 2018.</w:t>
      </w:r>
    </w:p>
    <w:p w14:paraId="4ED21D1B" w14:textId="77777777" w:rsidR="00322AD9" w:rsidRDefault="00322AD9" w:rsidP="00322AD9">
      <w:pPr>
        <w:rPr>
          <w:rFonts w:ascii="Arial" w:eastAsia="Calibri" w:hAnsi="Arial" w:cs="Arial"/>
          <w:sz w:val="20"/>
          <w:szCs w:val="20"/>
        </w:rPr>
      </w:pPr>
    </w:p>
    <w:tbl>
      <w:tblPr>
        <w:tblStyle w:val="Tabelraster"/>
        <w:tblW w:w="7287" w:type="dxa"/>
        <w:tblLook w:val="04A0" w:firstRow="1" w:lastRow="0" w:firstColumn="1" w:lastColumn="0" w:noHBand="0" w:noVBand="1"/>
      </w:tblPr>
      <w:tblGrid>
        <w:gridCol w:w="4543"/>
        <w:gridCol w:w="1372"/>
        <w:gridCol w:w="1372"/>
      </w:tblGrid>
      <w:tr w:rsidR="00322AD9" w:rsidRPr="00501FA4" w14:paraId="5EB26074" w14:textId="77777777" w:rsidTr="0004786C">
        <w:tc>
          <w:tcPr>
            <w:tcW w:w="0" w:type="auto"/>
            <w:hideMark/>
          </w:tcPr>
          <w:p w14:paraId="6DB36D12" w14:textId="77777777" w:rsidR="00322AD9" w:rsidRPr="00501FA4" w:rsidRDefault="00322AD9" w:rsidP="0004786C">
            <w:pPr>
              <w:rPr>
                <w:rFonts w:ascii="Arial" w:eastAsia="Calibri" w:hAnsi="Arial" w:cs="Arial"/>
                <w:b/>
                <w:sz w:val="20"/>
                <w:szCs w:val="20"/>
              </w:rPr>
            </w:pPr>
            <w:r>
              <w:rPr>
                <w:rFonts w:ascii="Arial" w:eastAsia="Calibri" w:hAnsi="Arial" w:cs="Arial"/>
                <w:b/>
                <w:bCs/>
                <w:sz w:val="20"/>
                <w:szCs w:val="20"/>
                <w:lang w:val="en-GB"/>
              </w:rPr>
              <w:t>Premium</w:t>
            </w:r>
          </w:p>
        </w:tc>
        <w:tc>
          <w:tcPr>
            <w:tcW w:w="0" w:type="auto"/>
            <w:hideMark/>
          </w:tcPr>
          <w:p w14:paraId="176C4AB2" w14:textId="77777777" w:rsidR="00322AD9" w:rsidRPr="00501FA4" w:rsidRDefault="00322AD9" w:rsidP="0004786C">
            <w:pPr>
              <w:rPr>
                <w:rFonts w:ascii="Arial" w:eastAsia="Calibri" w:hAnsi="Arial" w:cs="Arial"/>
                <w:b/>
                <w:sz w:val="20"/>
                <w:szCs w:val="20"/>
              </w:rPr>
            </w:pPr>
            <w:r>
              <w:rPr>
                <w:rFonts w:ascii="Arial" w:eastAsia="Calibri" w:hAnsi="Arial" w:cs="Arial"/>
                <w:b/>
                <w:bCs/>
                <w:sz w:val="20"/>
                <w:szCs w:val="20"/>
                <w:lang w:val="en-GB"/>
              </w:rPr>
              <w:t>2018</w:t>
            </w:r>
          </w:p>
        </w:tc>
        <w:tc>
          <w:tcPr>
            <w:tcW w:w="0" w:type="auto"/>
            <w:hideMark/>
          </w:tcPr>
          <w:p w14:paraId="307A4B95" w14:textId="77777777" w:rsidR="00322AD9" w:rsidRPr="00501FA4" w:rsidRDefault="00322AD9" w:rsidP="0004786C">
            <w:pPr>
              <w:rPr>
                <w:rFonts w:ascii="Arial" w:eastAsia="Calibri" w:hAnsi="Arial" w:cs="Arial"/>
                <w:b/>
                <w:sz w:val="20"/>
                <w:szCs w:val="20"/>
              </w:rPr>
            </w:pPr>
            <w:r>
              <w:rPr>
                <w:rFonts w:ascii="Arial" w:eastAsia="Calibri" w:hAnsi="Arial" w:cs="Arial"/>
                <w:b/>
                <w:bCs/>
                <w:sz w:val="20"/>
                <w:szCs w:val="20"/>
                <w:lang w:val="en-GB"/>
              </w:rPr>
              <w:t>2019</w:t>
            </w:r>
          </w:p>
        </w:tc>
      </w:tr>
      <w:tr w:rsidR="00322AD9" w:rsidRPr="004903F7" w14:paraId="41F04E49" w14:textId="77777777" w:rsidTr="0004786C">
        <w:tc>
          <w:tcPr>
            <w:tcW w:w="0" w:type="auto"/>
            <w:hideMark/>
          </w:tcPr>
          <w:p w14:paraId="7C2B2D5C" w14:textId="77777777" w:rsidR="00322AD9" w:rsidRPr="004903F7" w:rsidRDefault="00322AD9" w:rsidP="0004786C">
            <w:pPr>
              <w:rPr>
                <w:rFonts w:ascii="Arial" w:eastAsia="Calibri" w:hAnsi="Arial" w:cs="Arial"/>
                <w:sz w:val="20"/>
                <w:szCs w:val="20"/>
              </w:rPr>
            </w:pPr>
            <w:r>
              <w:rPr>
                <w:rFonts w:ascii="Arial" w:eastAsia="Calibri" w:hAnsi="Arial" w:cs="Arial"/>
                <w:sz w:val="20"/>
                <w:szCs w:val="20"/>
                <w:lang w:val="en-GB"/>
              </w:rPr>
              <w:t>Zvw employer contribution</w:t>
            </w:r>
          </w:p>
        </w:tc>
        <w:tc>
          <w:tcPr>
            <w:tcW w:w="0" w:type="auto"/>
            <w:hideMark/>
          </w:tcPr>
          <w:p w14:paraId="1F781FDB" w14:textId="77777777" w:rsidR="00322AD9" w:rsidRPr="004903F7" w:rsidRDefault="00322AD9" w:rsidP="0004786C">
            <w:pPr>
              <w:rPr>
                <w:rFonts w:ascii="Arial" w:eastAsia="Calibri" w:hAnsi="Arial" w:cs="Arial"/>
                <w:sz w:val="20"/>
                <w:szCs w:val="20"/>
              </w:rPr>
            </w:pPr>
            <w:r>
              <w:rPr>
                <w:rFonts w:ascii="Arial" w:eastAsia="Calibri" w:hAnsi="Arial" w:cs="Arial"/>
                <w:sz w:val="20"/>
                <w:szCs w:val="20"/>
                <w:lang w:val="en-GB"/>
              </w:rPr>
              <w:t>6.90%</w:t>
            </w:r>
          </w:p>
        </w:tc>
        <w:tc>
          <w:tcPr>
            <w:tcW w:w="0" w:type="auto"/>
            <w:hideMark/>
          </w:tcPr>
          <w:p w14:paraId="5E6ACABB" w14:textId="77777777" w:rsidR="00322AD9" w:rsidRPr="004903F7" w:rsidRDefault="00322AD9" w:rsidP="0004786C">
            <w:pPr>
              <w:rPr>
                <w:rFonts w:ascii="Arial" w:eastAsia="Calibri" w:hAnsi="Arial" w:cs="Arial"/>
                <w:sz w:val="20"/>
                <w:szCs w:val="20"/>
              </w:rPr>
            </w:pPr>
            <w:r>
              <w:rPr>
                <w:rFonts w:ascii="Arial" w:eastAsia="Calibri" w:hAnsi="Arial" w:cs="Arial"/>
                <w:sz w:val="20"/>
                <w:szCs w:val="20"/>
                <w:lang w:val="en-GB"/>
              </w:rPr>
              <w:t>6.95%</w:t>
            </w:r>
          </w:p>
        </w:tc>
      </w:tr>
      <w:tr w:rsidR="00322AD9" w:rsidRPr="004903F7" w14:paraId="1E9D29F9" w14:textId="77777777" w:rsidTr="0004786C">
        <w:tc>
          <w:tcPr>
            <w:tcW w:w="0" w:type="auto"/>
            <w:hideMark/>
          </w:tcPr>
          <w:p w14:paraId="3AF82501" w14:textId="77777777" w:rsidR="00322AD9" w:rsidRPr="004903F7" w:rsidRDefault="00322AD9" w:rsidP="0004786C">
            <w:pPr>
              <w:rPr>
                <w:rFonts w:ascii="Arial" w:eastAsia="Calibri" w:hAnsi="Arial" w:cs="Arial"/>
                <w:sz w:val="20"/>
                <w:szCs w:val="20"/>
              </w:rPr>
            </w:pPr>
            <w:r>
              <w:rPr>
                <w:rFonts w:ascii="Arial" w:eastAsia="Calibri" w:hAnsi="Arial" w:cs="Arial"/>
                <w:sz w:val="20"/>
                <w:szCs w:val="20"/>
                <w:lang w:val="en-GB"/>
              </w:rPr>
              <w:t>Zvw employee contribution</w:t>
            </w:r>
          </w:p>
        </w:tc>
        <w:tc>
          <w:tcPr>
            <w:tcW w:w="0" w:type="auto"/>
            <w:hideMark/>
          </w:tcPr>
          <w:p w14:paraId="5CB07313" w14:textId="77777777" w:rsidR="00322AD9" w:rsidRPr="004903F7" w:rsidRDefault="00322AD9" w:rsidP="0004786C">
            <w:pPr>
              <w:rPr>
                <w:rFonts w:ascii="Arial" w:eastAsia="Calibri" w:hAnsi="Arial" w:cs="Arial"/>
                <w:sz w:val="20"/>
                <w:szCs w:val="20"/>
              </w:rPr>
            </w:pPr>
            <w:r>
              <w:rPr>
                <w:rFonts w:ascii="Arial" w:eastAsia="Calibri" w:hAnsi="Arial" w:cs="Arial"/>
                <w:sz w:val="20"/>
                <w:szCs w:val="20"/>
                <w:lang w:val="en-GB"/>
              </w:rPr>
              <w:t>5.65%</w:t>
            </w:r>
          </w:p>
        </w:tc>
        <w:tc>
          <w:tcPr>
            <w:tcW w:w="0" w:type="auto"/>
            <w:hideMark/>
          </w:tcPr>
          <w:p w14:paraId="783B8654" w14:textId="77777777" w:rsidR="00322AD9" w:rsidRPr="004903F7" w:rsidRDefault="00322AD9" w:rsidP="0004786C">
            <w:pPr>
              <w:rPr>
                <w:rFonts w:ascii="Arial" w:eastAsia="Calibri" w:hAnsi="Arial" w:cs="Arial"/>
                <w:sz w:val="20"/>
                <w:szCs w:val="20"/>
              </w:rPr>
            </w:pPr>
            <w:r>
              <w:rPr>
                <w:rFonts w:ascii="Arial" w:eastAsia="Calibri" w:hAnsi="Arial" w:cs="Arial"/>
                <w:sz w:val="20"/>
                <w:szCs w:val="20"/>
                <w:lang w:val="en-GB"/>
              </w:rPr>
              <w:t>5.70%</w:t>
            </w:r>
          </w:p>
        </w:tc>
      </w:tr>
    </w:tbl>
    <w:p w14:paraId="0E5FE6D7" w14:textId="77777777" w:rsidR="00322AD9" w:rsidRDefault="00322AD9" w:rsidP="00322AD9">
      <w:pPr>
        <w:rPr>
          <w:rFonts w:ascii="Arial" w:eastAsia="Calibri" w:hAnsi="Arial" w:cs="Arial"/>
          <w:sz w:val="20"/>
          <w:szCs w:val="20"/>
        </w:rPr>
      </w:pPr>
    </w:p>
    <w:p w14:paraId="10276E1F"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The Zvw maximum premium wage will also be raised to €55,927 in 2019.</w:t>
      </w:r>
    </w:p>
    <w:p w14:paraId="53B84E96" w14:textId="77777777" w:rsidR="00322AD9" w:rsidRPr="008D49E6" w:rsidRDefault="00322AD9" w:rsidP="00322AD9">
      <w:pPr>
        <w:rPr>
          <w:rFonts w:ascii="Arial" w:eastAsia="Calibri" w:hAnsi="Arial" w:cs="Arial"/>
          <w:sz w:val="20"/>
          <w:szCs w:val="20"/>
          <w:lang w:val="en-GB"/>
        </w:rPr>
      </w:pPr>
    </w:p>
    <w:p w14:paraId="60ABBA97" w14:textId="77777777" w:rsidR="00322AD9" w:rsidRPr="00BE4865" w:rsidRDefault="00322AD9" w:rsidP="003D1152">
      <w:pPr>
        <w:pStyle w:val="Kop2"/>
        <w:rPr>
          <w:rFonts w:eastAsia="Calibri"/>
        </w:rPr>
      </w:pPr>
      <w:bookmarkStart w:id="13" w:name="_Toc534204729"/>
      <w:bookmarkStart w:id="14" w:name="_Toc536010195"/>
      <w:r>
        <w:rPr>
          <w:rFonts w:eastAsia="Calibri"/>
          <w:bCs/>
          <w:iCs w:val="0"/>
          <w:lang w:val="en-GB"/>
        </w:rPr>
        <w:t>Developments WW sector premium</w:t>
      </w:r>
      <w:bookmarkEnd w:id="13"/>
      <w:bookmarkEnd w:id="14"/>
    </w:p>
    <w:p w14:paraId="3722147D" w14:textId="77777777" w:rsidR="00322AD9" w:rsidRPr="00BE4865" w:rsidRDefault="00322AD9" w:rsidP="00322AD9">
      <w:pPr>
        <w:rPr>
          <w:rFonts w:ascii="Arial" w:eastAsia="Calibri" w:hAnsi="Arial" w:cs="Arial"/>
          <w:sz w:val="20"/>
          <w:szCs w:val="20"/>
          <w:u w:val="single"/>
        </w:rPr>
      </w:pPr>
    </w:p>
    <w:p w14:paraId="3178CCE3"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 xml:space="preserve">The WW premium charged to an employer currently depends in some part on the employer’s sector. Some changes were implemented in 2018. As from 2020, the WW premium’s sector factor may be eliminated, to be replaced by a fixed high and low premium. </w:t>
      </w:r>
    </w:p>
    <w:p w14:paraId="0258F344" w14:textId="77777777" w:rsidR="00322AD9" w:rsidRPr="008D49E6" w:rsidRDefault="00322AD9" w:rsidP="00322AD9">
      <w:pPr>
        <w:rPr>
          <w:rFonts w:ascii="Arial" w:eastAsia="Calibri" w:hAnsi="Arial" w:cs="Arial"/>
          <w:sz w:val="20"/>
          <w:szCs w:val="20"/>
          <w:lang w:val="en-GB"/>
        </w:rPr>
      </w:pPr>
    </w:p>
    <w:p w14:paraId="2979202B"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Changes 2018</w:t>
      </w:r>
    </w:p>
    <w:p w14:paraId="26D3C866"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 xml:space="preserve">In 2018 the government decided that the sector allocation cannot be changed with retroactive effect at the employer’s request. If the change is at the request of the Tax and Customs Administration, for example because a higher WW premium would be due, the sector can still be changed with retroactive effect. </w:t>
      </w:r>
    </w:p>
    <w:p w14:paraId="25BBB312" w14:textId="77777777" w:rsidR="00322AD9" w:rsidRPr="008D49E6" w:rsidRDefault="00322AD9" w:rsidP="00322AD9">
      <w:pPr>
        <w:rPr>
          <w:rFonts w:ascii="Arial" w:eastAsia="Calibri" w:hAnsi="Arial" w:cs="Arial"/>
          <w:sz w:val="20"/>
          <w:szCs w:val="20"/>
          <w:lang w:val="en-GB"/>
        </w:rPr>
      </w:pPr>
    </w:p>
    <w:p w14:paraId="79756271" w14:textId="2C5A9BC9"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It is no longer possible for employers to have a split sector allocation, as this was another instrument to minimise WW premiums.</w:t>
      </w:r>
    </w:p>
    <w:p w14:paraId="274E7998" w14:textId="77777777" w:rsidR="00322AD9" w:rsidRPr="008D49E6" w:rsidRDefault="00322AD9" w:rsidP="00322AD9">
      <w:pPr>
        <w:rPr>
          <w:rFonts w:ascii="Arial" w:eastAsia="Calibri" w:hAnsi="Arial" w:cs="Arial"/>
          <w:b/>
          <w:sz w:val="20"/>
          <w:szCs w:val="20"/>
          <w:lang w:val="en-GB"/>
        </w:rPr>
      </w:pPr>
    </w:p>
    <w:p w14:paraId="089B8F78"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Revision of sector definitions 2020</w:t>
      </w:r>
    </w:p>
    <w:p w14:paraId="52DB9A80"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 xml:space="preserve">The measures anticipate the announced revision of sector definitions. The Bill ‘Balanced Labour market’ will eliminate the WW premium differences between the sectors starting in 2020. The sector definitions will remain effective for the other premiums. </w:t>
      </w:r>
    </w:p>
    <w:p w14:paraId="5F948D82" w14:textId="77777777" w:rsidR="003D1152" w:rsidRPr="008D49E6" w:rsidRDefault="003D1152" w:rsidP="003D1152">
      <w:pPr>
        <w:pStyle w:val="Default"/>
        <w:rPr>
          <w:sz w:val="20"/>
          <w:szCs w:val="20"/>
          <w:lang w:val="en-GB"/>
        </w:rPr>
      </w:pPr>
    </w:p>
    <w:p w14:paraId="6105A5E4" w14:textId="3071A912" w:rsidR="003D1152" w:rsidRPr="008D49E6" w:rsidRDefault="003D1152" w:rsidP="003D1152">
      <w:pPr>
        <w:shd w:val="clear" w:color="auto" w:fill="D9D9D9"/>
        <w:rPr>
          <w:rFonts w:ascii="Arial" w:hAnsi="Arial" w:cs="Arial"/>
          <w:sz w:val="20"/>
          <w:szCs w:val="20"/>
          <w:lang w:val="en-GB"/>
        </w:rPr>
      </w:pPr>
      <w:r>
        <w:rPr>
          <w:rFonts w:ascii="Arial" w:hAnsi="Arial" w:cs="Arial"/>
          <w:b/>
          <w:bCs/>
          <w:sz w:val="20"/>
          <w:szCs w:val="20"/>
          <w:lang w:val="en-GB"/>
        </w:rPr>
        <w:t>Please note!</w:t>
      </w:r>
      <w:r>
        <w:rPr>
          <w:rFonts w:ascii="Arial" w:hAnsi="Arial" w:cs="Arial"/>
          <w:sz w:val="20"/>
          <w:szCs w:val="20"/>
          <w:lang w:val="en-GB"/>
        </w:rPr>
        <w:br/>
        <w:t>This Bill has not been passed by the House of Representatives.</w:t>
      </w:r>
    </w:p>
    <w:p w14:paraId="30BA0AB9" w14:textId="77777777" w:rsidR="003D1152" w:rsidRPr="008D49E6" w:rsidRDefault="003D1152" w:rsidP="003D1152">
      <w:pPr>
        <w:pStyle w:val="Default"/>
        <w:rPr>
          <w:sz w:val="20"/>
          <w:szCs w:val="20"/>
          <w:lang w:val="en-GB"/>
        </w:rPr>
      </w:pPr>
    </w:p>
    <w:p w14:paraId="01A3E521"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The sectoral WW premium will be replaced by a high and low Awf premium. The lower premium is intended for permanent employment contracts; a higher WW premium is levied on temporary employment contracts. The difference between the high and low premiums is expected to be a permanent 5-percentage-point difference. This difference must make it more appealing for employers to offer permanent employment contracts.</w:t>
      </w:r>
    </w:p>
    <w:p w14:paraId="0799D21F" w14:textId="77777777" w:rsidR="00322AD9" w:rsidRPr="008D49E6" w:rsidRDefault="00322AD9" w:rsidP="00322AD9">
      <w:pPr>
        <w:rPr>
          <w:rFonts w:ascii="Arial" w:eastAsia="Calibri" w:hAnsi="Arial" w:cs="Arial"/>
          <w:sz w:val="20"/>
          <w:szCs w:val="20"/>
          <w:lang w:val="en-GB"/>
        </w:rPr>
      </w:pPr>
    </w:p>
    <w:p w14:paraId="331EAC68"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Exceptions</w:t>
      </w:r>
    </w:p>
    <w:p w14:paraId="3AC8D927" w14:textId="0BCD81C2"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The proposal also includes exceptions that ensure application of the high premium in spite of having a permanent employment contract.</w:t>
      </w:r>
    </w:p>
    <w:p w14:paraId="43F43CCE" w14:textId="77777777" w:rsidR="003D1152" w:rsidRPr="008D49E6" w:rsidRDefault="003D1152" w:rsidP="00322AD9">
      <w:pPr>
        <w:rPr>
          <w:rFonts w:ascii="Arial" w:eastAsia="Calibri" w:hAnsi="Arial" w:cs="Arial"/>
          <w:sz w:val="20"/>
          <w:szCs w:val="20"/>
          <w:lang w:val="en-GB"/>
        </w:rPr>
      </w:pPr>
    </w:p>
    <w:p w14:paraId="463F7450" w14:textId="77777777" w:rsidR="00322AD9" w:rsidRPr="008D49E6" w:rsidRDefault="00322AD9" w:rsidP="00C80C29">
      <w:pPr>
        <w:pStyle w:val="Lijstalinea"/>
        <w:numPr>
          <w:ilvl w:val="0"/>
          <w:numId w:val="16"/>
        </w:numPr>
        <w:rPr>
          <w:rFonts w:ascii="Arial" w:hAnsi="Arial" w:cs="Arial"/>
          <w:sz w:val="20"/>
          <w:szCs w:val="20"/>
          <w:lang w:val="en-GB"/>
        </w:rPr>
      </w:pPr>
      <w:r>
        <w:rPr>
          <w:rFonts w:ascii="Arial" w:hAnsi="Arial" w:cs="Arial"/>
          <w:sz w:val="20"/>
          <w:szCs w:val="20"/>
          <w:lang w:val="en-GB"/>
        </w:rPr>
        <w:t xml:space="preserve">If a permanent employee’s employment contract is terminated for whichever reason, irrespective of the party initiating termination </w:t>
      </w:r>
      <w:r>
        <w:rPr>
          <w:rFonts w:ascii="Arial" w:hAnsi="Arial" w:cs="Arial"/>
          <w:sz w:val="20"/>
          <w:szCs w:val="20"/>
          <w:lang w:val="en-GB"/>
        </w:rPr>
        <w:br/>
        <w:t>(please note: this does not need to concern an unemployment situation).</w:t>
      </w:r>
    </w:p>
    <w:p w14:paraId="0B5DF9A2" w14:textId="77777777" w:rsidR="00322AD9" w:rsidRPr="008D49E6" w:rsidRDefault="00322AD9" w:rsidP="00C80C29">
      <w:pPr>
        <w:pStyle w:val="Lijstalinea"/>
        <w:numPr>
          <w:ilvl w:val="0"/>
          <w:numId w:val="16"/>
        </w:numPr>
        <w:rPr>
          <w:rFonts w:ascii="Arial" w:hAnsi="Arial" w:cs="Arial"/>
          <w:sz w:val="20"/>
          <w:szCs w:val="20"/>
          <w:lang w:val="en-GB"/>
        </w:rPr>
      </w:pPr>
      <w:r>
        <w:rPr>
          <w:rFonts w:ascii="Arial" w:hAnsi="Arial" w:cs="Arial"/>
          <w:sz w:val="20"/>
          <w:szCs w:val="20"/>
          <w:lang w:val="en-GB"/>
        </w:rPr>
        <w:t xml:space="preserve">If the payrolled hours of a permanent employee in a calendar year are over 30% higher than contractually agreed. </w:t>
      </w:r>
    </w:p>
    <w:p w14:paraId="2F3E63CA" w14:textId="77777777" w:rsidR="00322AD9" w:rsidRPr="008D49E6" w:rsidRDefault="00322AD9" w:rsidP="00C80C29">
      <w:pPr>
        <w:pStyle w:val="Lijstalinea"/>
        <w:numPr>
          <w:ilvl w:val="0"/>
          <w:numId w:val="16"/>
        </w:numPr>
        <w:rPr>
          <w:rFonts w:ascii="Arial" w:hAnsi="Arial" w:cs="Arial"/>
          <w:sz w:val="20"/>
          <w:szCs w:val="20"/>
          <w:lang w:val="en-GB"/>
        </w:rPr>
      </w:pPr>
      <w:r>
        <w:rPr>
          <w:rFonts w:ascii="Arial" w:hAnsi="Arial" w:cs="Arial"/>
          <w:sz w:val="20"/>
          <w:szCs w:val="20"/>
          <w:lang w:val="en-GB"/>
        </w:rPr>
        <w:t xml:space="preserve">If the permanent employee receives an unemployment benefit within one year of the start date of the employment contract due to loss of income. </w:t>
      </w:r>
    </w:p>
    <w:p w14:paraId="635B46AA" w14:textId="648F351E" w:rsidR="00322AD9" w:rsidRPr="008D49E6" w:rsidRDefault="00322AD9" w:rsidP="00C80C29">
      <w:pPr>
        <w:pStyle w:val="Lijstalinea"/>
        <w:numPr>
          <w:ilvl w:val="0"/>
          <w:numId w:val="16"/>
        </w:numPr>
        <w:rPr>
          <w:rFonts w:ascii="Arial" w:hAnsi="Arial" w:cs="Arial"/>
          <w:sz w:val="20"/>
          <w:szCs w:val="20"/>
          <w:lang w:val="en-GB"/>
        </w:rPr>
      </w:pPr>
      <w:r>
        <w:rPr>
          <w:rFonts w:ascii="Arial" w:hAnsi="Arial" w:cs="Arial"/>
          <w:sz w:val="20"/>
          <w:szCs w:val="20"/>
          <w:lang w:val="en-GB"/>
        </w:rPr>
        <w:t>If the permanent employer receives an unemployment benefit and the employer’s WW premium was revised based on a previous situation within the past year.</w:t>
      </w:r>
    </w:p>
    <w:p w14:paraId="3FB2C904" w14:textId="77777777" w:rsidR="00322AD9" w:rsidRPr="008D49E6" w:rsidRDefault="00322AD9" w:rsidP="00322AD9">
      <w:pPr>
        <w:rPr>
          <w:rFonts w:ascii="Arial" w:eastAsia="Calibri" w:hAnsi="Arial" w:cs="Arial"/>
          <w:sz w:val="20"/>
          <w:szCs w:val="20"/>
          <w:lang w:val="en-GB"/>
        </w:rPr>
      </w:pPr>
    </w:p>
    <w:p w14:paraId="48D66F73" w14:textId="77777777" w:rsidR="00322AD9" w:rsidRPr="008D49E6" w:rsidRDefault="00322AD9" w:rsidP="003D1152">
      <w:pPr>
        <w:pStyle w:val="Kop2"/>
        <w:rPr>
          <w:rFonts w:eastAsia="Calibri"/>
          <w:lang w:val="en-GB"/>
        </w:rPr>
      </w:pPr>
      <w:bookmarkStart w:id="15" w:name="_Toc534204731"/>
      <w:bookmarkStart w:id="16" w:name="_Toc536010196"/>
      <w:r>
        <w:rPr>
          <w:rFonts w:eastAsia="Calibri"/>
          <w:bCs/>
          <w:iCs w:val="0"/>
          <w:lang w:val="en-GB"/>
        </w:rPr>
        <w:t>Income tax credit for foreign employees</w:t>
      </w:r>
      <w:bookmarkEnd w:id="15"/>
      <w:bookmarkEnd w:id="16"/>
    </w:p>
    <w:p w14:paraId="657E762D" w14:textId="77777777" w:rsidR="00322AD9" w:rsidRPr="008D49E6" w:rsidRDefault="00322AD9" w:rsidP="00322AD9">
      <w:pPr>
        <w:rPr>
          <w:rFonts w:ascii="Arial" w:eastAsia="Calibri" w:hAnsi="Arial" w:cs="Arial"/>
          <w:sz w:val="20"/>
          <w:szCs w:val="20"/>
          <w:lang w:val="en-GB"/>
        </w:rPr>
      </w:pPr>
    </w:p>
    <w:p w14:paraId="22C92F32" w14:textId="403ABE85" w:rsidR="003D1152" w:rsidRPr="008D49E6" w:rsidRDefault="00322AD9" w:rsidP="003D1152">
      <w:pPr>
        <w:rPr>
          <w:rFonts w:ascii="Arial" w:eastAsia="Calibri" w:hAnsi="Arial" w:cs="Arial"/>
          <w:sz w:val="20"/>
          <w:szCs w:val="20"/>
          <w:lang w:val="en-GB"/>
        </w:rPr>
      </w:pPr>
      <w:r>
        <w:rPr>
          <w:rFonts w:ascii="Arial" w:eastAsia="Calibri" w:hAnsi="Arial" w:cs="Arial"/>
          <w:sz w:val="20"/>
          <w:szCs w:val="20"/>
          <w:lang w:val="en-GB"/>
        </w:rPr>
        <w:t>From 1 January 2019, only Dutch residents are entitled to the taxed portion of the general tax credit and the labour rebate. Non-residents are no longer entitled from that date onwards, subject to some exceptions.</w:t>
      </w:r>
      <w:bookmarkStart w:id="17" w:name="_Toc534204732"/>
    </w:p>
    <w:p w14:paraId="0A8F6B64" w14:textId="4C20D647" w:rsidR="00322AD9" w:rsidRPr="003D1152" w:rsidRDefault="00322AD9" w:rsidP="003D1152">
      <w:pPr>
        <w:pStyle w:val="Kop3"/>
        <w:tabs>
          <w:tab w:val="clear" w:pos="1260"/>
          <w:tab w:val="num" w:pos="567"/>
        </w:tabs>
        <w:ind w:left="1134" w:hanging="1134"/>
        <w:rPr>
          <w:rFonts w:eastAsia="Calibri"/>
        </w:rPr>
      </w:pPr>
      <w:bookmarkStart w:id="18" w:name="_Toc536010197"/>
      <w:r>
        <w:rPr>
          <w:lang w:val="en-GB"/>
        </w:rPr>
        <w:t>Taxed portion labour rebate</w:t>
      </w:r>
      <w:bookmarkEnd w:id="17"/>
      <w:bookmarkEnd w:id="18"/>
    </w:p>
    <w:p w14:paraId="3B178F8E" w14:textId="77777777" w:rsidR="00322AD9" w:rsidRPr="008D49E6" w:rsidRDefault="00322AD9" w:rsidP="003D1152">
      <w:pPr>
        <w:rPr>
          <w:rFonts w:ascii="Arial" w:hAnsi="Arial" w:cs="Arial"/>
          <w:sz w:val="20"/>
          <w:szCs w:val="20"/>
          <w:lang w:val="en-GB"/>
        </w:rPr>
      </w:pPr>
      <w:r>
        <w:rPr>
          <w:rFonts w:ascii="Arial" w:hAnsi="Arial" w:cs="Arial"/>
          <w:sz w:val="20"/>
          <w:szCs w:val="20"/>
          <w:lang w:val="en-GB"/>
        </w:rPr>
        <w:t>An exception is made for foreign or Dutch employees residing in member states of the European Union, the EEA (Norway, Iceland and Liechtenstein), Switzerland and the BES islands (Bonaire, Sint Eustatius and Saba in the Dutch Antilles). The above groups of employees retain their right to the taxed portion of the labour rebate.</w:t>
      </w:r>
    </w:p>
    <w:p w14:paraId="11EB0538" w14:textId="77777777" w:rsidR="00322AD9" w:rsidRPr="008D49E6" w:rsidRDefault="00322AD9" w:rsidP="00322AD9">
      <w:pPr>
        <w:rPr>
          <w:rFonts w:ascii="Arial" w:hAnsi="Arial" w:cs="Arial"/>
          <w:sz w:val="20"/>
          <w:szCs w:val="20"/>
          <w:lang w:val="en-GB"/>
        </w:rPr>
      </w:pPr>
    </w:p>
    <w:p w14:paraId="61F917A6" w14:textId="23F23E7A" w:rsidR="00322AD9" w:rsidRPr="008D49E6" w:rsidRDefault="00322AD9" w:rsidP="00322AD9">
      <w:pPr>
        <w:rPr>
          <w:rFonts w:ascii="Arial" w:hAnsi="Arial" w:cs="Arial"/>
          <w:sz w:val="20"/>
          <w:szCs w:val="20"/>
          <w:lang w:val="en-GB"/>
        </w:rPr>
      </w:pPr>
      <w:r>
        <w:rPr>
          <w:rFonts w:ascii="Arial" w:hAnsi="Arial" w:cs="Arial"/>
          <w:sz w:val="20"/>
          <w:szCs w:val="20"/>
          <w:lang w:val="en-GB"/>
        </w:rPr>
        <w:t>In order to apply this exception, you determine the tax residence of your employee. This is defined by facts and circumstances. The main factor is the place that your employee has permanent, personal ties with. For example, this can be the place where his/her family lives and where most of his/her social life and friends are. In case of doubt, request a statement of residence from your employee. You are expected to determine the residence based on reasonable assumption. The exception cannot be applied if it is clear that the employee is not a citizen of the above group of countries or if it is not possible to determine the employee’s residence.</w:t>
      </w:r>
    </w:p>
    <w:p w14:paraId="2C0D3092" w14:textId="77777777" w:rsidR="00322AD9" w:rsidRPr="007D39BD" w:rsidRDefault="00322AD9" w:rsidP="003D1152">
      <w:pPr>
        <w:pStyle w:val="Kop3"/>
        <w:ind w:hanging="1260"/>
      </w:pPr>
      <w:bookmarkStart w:id="19" w:name="_Toc534204733"/>
      <w:bookmarkStart w:id="20" w:name="_Toc536010198"/>
      <w:r>
        <w:rPr>
          <w:lang w:val="en-GB"/>
        </w:rPr>
        <w:t>Taxed portion general tax credit</w:t>
      </w:r>
      <w:bookmarkEnd w:id="19"/>
      <w:bookmarkEnd w:id="20"/>
    </w:p>
    <w:p w14:paraId="110D1D2B" w14:textId="77777777" w:rsidR="00322AD9" w:rsidRPr="008D49E6" w:rsidRDefault="00322AD9" w:rsidP="00322AD9">
      <w:pPr>
        <w:rPr>
          <w:rFonts w:ascii="Arial" w:hAnsi="Arial" w:cs="Arial"/>
          <w:sz w:val="20"/>
          <w:szCs w:val="18"/>
          <w:lang w:val="en-GB"/>
        </w:rPr>
      </w:pPr>
      <w:r>
        <w:rPr>
          <w:rFonts w:ascii="Arial" w:hAnsi="Arial" w:cs="Arial"/>
          <w:sz w:val="20"/>
          <w:szCs w:val="18"/>
          <w:lang w:val="en-GB"/>
        </w:rPr>
        <w:t xml:space="preserve">Any right to the general tax credit or other discounts can no longer be available via wage tax for employees from the above countries. If they wish to claim such rights, they can submit an income tax statement in the Netherlands after the end of the year. </w:t>
      </w:r>
    </w:p>
    <w:p w14:paraId="3F24C314" w14:textId="77777777" w:rsidR="00322AD9" w:rsidRPr="008D49E6" w:rsidRDefault="00322AD9" w:rsidP="00322AD9">
      <w:pPr>
        <w:rPr>
          <w:rFonts w:ascii="Arial" w:hAnsi="Arial" w:cs="Arial"/>
          <w:sz w:val="20"/>
          <w:szCs w:val="18"/>
          <w:lang w:val="en-GB"/>
        </w:rPr>
      </w:pPr>
    </w:p>
    <w:p w14:paraId="005CA28C" w14:textId="77777777" w:rsidR="00322AD9" w:rsidRDefault="00322AD9" w:rsidP="00322AD9">
      <w:pPr>
        <w:rPr>
          <w:rFonts w:ascii="Arial" w:hAnsi="Arial" w:cs="Arial"/>
          <w:sz w:val="20"/>
          <w:szCs w:val="18"/>
        </w:rPr>
      </w:pPr>
      <w:r>
        <w:rPr>
          <w:rFonts w:ascii="Arial" w:hAnsi="Arial" w:cs="Arial"/>
          <w:sz w:val="20"/>
          <w:szCs w:val="18"/>
          <w:lang w:val="en-GB"/>
        </w:rPr>
        <w:t>Whether foreign employees are entitled to the general tax credit depends on the question if they can be classed as a qualifying employee. The answer is yes if:</w:t>
      </w:r>
    </w:p>
    <w:p w14:paraId="37BCBAE3" w14:textId="77777777" w:rsidR="003D1152" w:rsidRDefault="003D1152" w:rsidP="00322AD9">
      <w:pPr>
        <w:rPr>
          <w:rFonts w:ascii="Arial" w:hAnsi="Arial" w:cs="Arial"/>
          <w:sz w:val="20"/>
          <w:szCs w:val="18"/>
        </w:rPr>
      </w:pPr>
    </w:p>
    <w:p w14:paraId="7CD484E3" w14:textId="77777777" w:rsidR="00322AD9" w:rsidRPr="008D49E6" w:rsidRDefault="00322AD9" w:rsidP="00C80C29">
      <w:pPr>
        <w:pStyle w:val="Lijstalinea"/>
        <w:numPr>
          <w:ilvl w:val="0"/>
          <w:numId w:val="17"/>
        </w:numPr>
        <w:rPr>
          <w:rFonts w:ascii="Arial" w:hAnsi="Arial" w:cs="Arial"/>
          <w:sz w:val="20"/>
          <w:szCs w:val="18"/>
          <w:lang w:val="en-GB"/>
        </w:rPr>
      </w:pPr>
      <w:r>
        <w:rPr>
          <w:rFonts w:ascii="Arial" w:hAnsi="Arial" w:cs="Arial"/>
          <w:sz w:val="20"/>
          <w:szCs w:val="18"/>
          <w:lang w:val="en-GB"/>
        </w:rPr>
        <w:t>they live in an EU or EEA country, Switzerland or the BES islands (Bonaire, Sint Eustatius and Saba in the Dutch Antilles); and</w:t>
      </w:r>
    </w:p>
    <w:p w14:paraId="56DE1DD0" w14:textId="66B63EEE" w:rsidR="00322AD9" w:rsidRPr="008D49E6" w:rsidRDefault="00322AD9" w:rsidP="00C80C29">
      <w:pPr>
        <w:pStyle w:val="Lijstalinea"/>
        <w:numPr>
          <w:ilvl w:val="0"/>
          <w:numId w:val="17"/>
        </w:numPr>
        <w:rPr>
          <w:rFonts w:ascii="Arial" w:hAnsi="Arial" w:cs="Arial"/>
          <w:sz w:val="20"/>
          <w:szCs w:val="18"/>
          <w:lang w:val="en-GB"/>
        </w:rPr>
      </w:pPr>
      <w:r>
        <w:rPr>
          <w:rFonts w:ascii="Arial" w:hAnsi="Arial" w:cs="Arial"/>
          <w:sz w:val="20"/>
          <w:szCs w:val="18"/>
          <w:lang w:val="en-GB"/>
        </w:rPr>
        <w:t>90% or more of their income is taxed in the Netherlands (an exception applies to some, for example Belgian citizens; see paragraph 5.6.5).</w:t>
      </w:r>
    </w:p>
    <w:p w14:paraId="222A9333" w14:textId="77777777" w:rsidR="00322AD9" w:rsidRPr="004D02A2" w:rsidRDefault="00322AD9" w:rsidP="003D1152">
      <w:pPr>
        <w:pStyle w:val="Kop3"/>
        <w:ind w:hanging="1260"/>
      </w:pPr>
      <w:bookmarkStart w:id="21" w:name="_Toc534204734"/>
      <w:bookmarkStart w:id="22" w:name="_Toc536010199"/>
      <w:r>
        <w:rPr>
          <w:lang w:val="en-GB"/>
        </w:rPr>
        <w:t>Three white tables</w:t>
      </w:r>
      <w:bookmarkEnd w:id="21"/>
      <w:bookmarkEnd w:id="22"/>
    </w:p>
    <w:p w14:paraId="5D880D78" w14:textId="77777777" w:rsidR="003D1152" w:rsidRPr="008D49E6" w:rsidRDefault="00322AD9" w:rsidP="00322AD9">
      <w:pPr>
        <w:rPr>
          <w:rFonts w:ascii="Arial" w:hAnsi="Arial" w:cs="Arial"/>
          <w:sz w:val="20"/>
          <w:szCs w:val="18"/>
          <w:lang w:val="en-GB"/>
        </w:rPr>
      </w:pPr>
      <w:r>
        <w:rPr>
          <w:rFonts w:ascii="Arial" w:hAnsi="Arial" w:cs="Arial"/>
          <w:sz w:val="20"/>
          <w:szCs w:val="18"/>
          <w:lang w:val="en-GB"/>
        </w:rPr>
        <w:t>Due to this change to the tax credit, three white wage tax tables apply as from 1 January 2019:</w:t>
      </w:r>
    </w:p>
    <w:p w14:paraId="565DCED0" w14:textId="477998B3" w:rsidR="00322AD9" w:rsidRPr="008D49E6" w:rsidRDefault="00322AD9" w:rsidP="00322AD9">
      <w:pPr>
        <w:rPr>
          <w:rFonts w:ascii="Arial" w:hAnsi="Arial" w:cs="Arial"/>
          <w:sz w:val="20"/>
          <w:szCs w:val="18"/>
          <w:lang w:val="en-GB"/>
        </w:rPr>
      </w:pPr>
      <w:r>
        <w:rPr>
          <w:rFonts w:ascii="Arial" w:hAnsi="Arial" w:cs="Arial"/>
          <w:sz w:val="20"/>
          <w:szCs w:val="18"/>
          <w:lang w:val="en-GB"/>
        </w:rPr>
        <w:t xml:space="preserve"> </w:t>
      </w:r>
    </w:p>
    <w:p w14:paraId="67D3DFBF" w14:textId="77777777" w:rsidR="00322AD9" w:rsidRPr="008D49E6" w:rsidRDefault="00322AD9" w:rsidP="00C80C29">
      <w:pPr>
        <w:pStyle w:val="Lijstalinea"/>
        <w:numPr>
          <w:ilvl w:val="0"/>
          <w:numId w:val="18"/>
        </w:numPr>
        <w:rPr>
          <w:rFonts w:ascii="Arial" w:hAnsi="Arial" w:cs="Arial"/>
          <w:sz w:val="20"/>
          <w:szCs w:val="18"/>
          <w:lang w:val="en-GB"/>
        </w:rPr>
      </w:pPr>
      <w:r>
        <w:rPr>
          <w:rFonts w:ascii="Arial" w:hAnsi="Arial" w:cs="Arial"/>
          <w:sz w:val="20"/>
          <w:szCs w:val="18"/>
          <w:lang w:val="en-GB"/>
        </w:rPr>
        <w:t>Table for employees who are residents in the Netherlands.</w:t>
      </w:r>
    </w:p>
    <w:p w14:paraId="463B8897" w14:textId="77777777" w:rsidR="00322AD9" w:rsidRPr="008D49E6" w:rsidRDefault="00322AD9" w:rsidP="00C80C29">
      <w:pPr>
        <w:pStyle w:val="Lijstalinea"/>
        <w:numPr>
          <w:ilvl w:val="0"/>
          <w:numId w:val="18"/>
        </w:numPr>
        <w:rPr>
          <w:rFonts w:ascii="Arial" w:hAnsi="Arial" w:cs="Arial"/>
          <w:sz w:val="20"/>
          <w:szCs w:val="18"/>
          <w:lang w:val="en-GB"/>
        </w:rPr>
      </w:pPr>
      <w:r>
        <w:rPr>
          <w:rFonts w:ascii="Arial" w:hAnsi="Arial" w:cs="Arial"/>
          <w:sz w:val="20"/>
          <w:szCs w:val="18"/>
          <w:lang w:val="en-GB"/>
        </w:rPr>
        <w:t>Table for employees who are residents in an EU or EEA country, Switzerland or the BES islands (Bonaire, Sint Eustatius and Saba in the Dutch Antilles).</w:t>
      </w:r>
    </w:p>
    <w:p w14:paraId="49E8285F" w14:textId="21F12DA1" w:rsidR="00322AD9" w:rsidRPr="00224370" w:rsidRDefault="00322AD9" w:rsidP="00322AD9">
      <w:pPr>
        <w:pStyle w:val="Lijstalinea"/>
        <w:numPr>
          <w:ilvl w:val="0"/>
          <w:numId w:val="18"/>
        </w:numPr>
        <w:rPr>
          <w:rFonts w:ascii="Arial" w:hAnsi="Arial" w:cs="Arial"/>
          <w:sz w:val="20"/>
          <w:szCs w:val="18"/>
          <w:lang w:val="en-GB"/>
        </w:rPr>
      </w:pPr>
      <w:r>
        <w:rPr>
          <w:rFonts w:ascii="Arial" w:hAnsi="Arial" w:cs="Arial"/>
          <w:sz w:val="20"/>
          <w:szCs w:val="18"/>
          <w:lang w:val="en-GB"/>
        </w:rPr>
        <w:t>Table for employees resident in a country other than listed in 1 or 2.</w:t>
      </w:r>
    </w:p>
    <w:tbl>
      <w:tblPr>
        <w:tblStyle w:val="Tabelraster"/>
        <w:tblpPr w:leftFromText="141" w:rightFromText="141" w:vertAnchor="text" w:horzAnchor="margin" w:tblpY="-69"/>
        <w:tblW w:w="8500" w:type="dxa"/>
        <w:tblLook w:val="0420" w:firstRow="1" w:lastRow="0" w:firstColumn="0" w:lastColumn="0" w:noHBand="0" w:noVBand="1"/>
      </w:tblPr>
      <w:tblGrid>
        <w:gridCol w:w="3539"/>
        <w:gridCol w:w="2410"/>
        <w:gridCol w:w="2551"/>
      </w:tblGrid>
      <w:tr w:rsidR="00322AD9" w:rsidRPr="008D49E6" w14:paraId="79ABC3CC" w14:textId="77777777" w:rsidTr="0004786C">
        <w:trPr>
          <w:trHeight w:val="272"/>
        </w:trPr>
        <w:tc>
          <w:tcPr>
            <w:tcW w:w="3539" w:type="dxa"/>
            <w:hideMark/>
          </w:tcPr>
          <w:p w14:paraId="6A61AA56" w14:textId="77777777" w:rsidR="00322AD9" w:rsidRPr="008D49E6" w:rsidRDefault="00322AD9" w:rsidP="0004786C">
            <w:pPr>
              <w:rPr>
                <w:sz w:val="20"/>
                <w:szCs w:val="20"/>
                <w:lang w:val="en-GB"/>
              </w:rPr>
            </w:pPr>
          </w:p>
        </w:tc>
        <w:tc>
          <w:tcPr>
            <w:tcW w:w="2410" w:type="dxa"/>
            <w:hideMark/>
          </w:tcPr>
          <w:p w14:paraId="3FD09FAD" w14:textId="77777777" w:rsidR="00322AD9" w:rsidRPr="009F7C23" w:rsidRDefault="00322AD9" w:rsidP="0004786C">
            <w:pPr>
              <w:pStyle w:val="Normaalweb"/>
              <w:spacing w:before="0" w:beforeAutospacing="0" w:after="0" w:afterAutospacing="0"/>
              <w:rPr>
                <w:rFonts w:ascii="Arial" w:hAnsi="Arial" w:cs="Arial"/>
                <w:sz w:val="20"/>
                <w:szCs w:val="20"/>
              </w:rPr>
            </w:pPr>
            <w:r>
              <w:rPr>
                <w:rFonts w:ascii="Arial" w:hAnsi="Arial" w:cs="Arial"/>
                <w:b/>
                <w:bCs/>
                <w:kern w:val="24"/>
                <w:sz w:val="20"/>
                <w:szCs w:val="20"/>
                <w:lang w:val="en-GB"/>
              </w:rPr>
              <w:t>Right to taxed portion labour rebate</w:t>
            </w:r>
          </w:p>
        </w:tc>
        <w:tc>
          <w:tcPr>
            <w:tcW w:w="2551" w:type="dxa"/>
            <w:hideMark/>
          </w:tcPr>
          <w:p w14:paraId="418A820B" w14:textId="77777777" w:rsidR="00322AD9" w:rsidRPr="009F7C23" w:rsidRDefault="00322AD9" w:rsidP="0004786C">
            <w:pPr>
              <w:pStyle w:val="Normaalweb"/>
              <w:spacing w:before="0" w:beforeAutospacing="0" w:after="0" w:afterAutospacing="0"/>
              <w:rPr>
                <w:rFonts w:ascii="Arial" w:hAnsi="Arial" w:cs="Arial"/>
                <w:sz w:val="20"/>
                <w:szCs w:val="20"/>
              </w:rPr>
            </w:pPr>
            <w:r>
              <w:rPr>
                <w:rFonts w:ascii="Arial" w:hAnsi="Arial" w:cs="Arial"/>
                <w:b/>
                <w:bCs/>
                <w:kern w:val="24"/>
                <w:sz w:val="20"/>
                <w:szCs w:val="20"/>
                <w:lang w:val="en-GB"/>
              </w:rPr>
              <w:t>Right to taxed portion other rebates</w:t>
            </w:r>
          </w:p>
        </w:tc>
      </w:tr>
      <w:tr w:rsidR="00322AD9" w14:paraId="22E26E61" w14:textId="77777777" w:rsidTr="0004786C">
        <w:trPr>
          <w:trHeight w:val="272"/>
        </w:trPr>
        <w:tc>
          <w:tcPr>
            <w:tcW w:w="3539" w:type="dxa"/>
            <w:hideMark/>
          </w:tcPr>
          <w:p w14:paraId="4D836737" w14:textId="77777777" w:rsidR="00322AD9" w:rsidRPr="009F7C23" w:rsidRDefault="00322AD9" w:rsidP="0004786C">
            <w:pPr>
              <w:pStyle w:val="Normaalweb"/>
              <w:spacing w:before="0" w:beforeAutospacing="0" w:after="0" w:afterAutospacing="0"/>
              <w:rPr>
                <w:rFonts w:ascii="Arial" w:hAnsi="Arial" w:cs="Arial"/>
                <w:sz w:val="20"/>
                <w:szCs w:val="20"/>
              </w:rPr>
            </w:pPr>
            <w:r>
              <w:rPr>
                <w:rFonts w:ascii="Arial" w:hAnsi="Arial" w:cs="Arial"/>
                <w:kern w:val="24"/>
                <w:sz w:val="20"/>
                <w:szCs w:val="20"/>
                <w:lang w:val="en-GB"/>
              </w:rPr>
              <w:t>Residents of group 1 countries</w:t>
            </w:r>
          </w:p>
        </w:tc>
        <w:tc>
          <w:tcPr>
            <w:tcW w:w="2410" w:type="dxa"/>
            <w:hideMark/>
          </w:tcPr>
          <w:p w14:paraId="451B776E" w14:textId="77777777" w:rsidR="00322AD9" w:rsidRPr="009F7C23" w:rsidRDefault="00322AD9" w:rsidP="0004786C">
            <w:pPr>
              <w:pStyle w:val="Normaalweb"/>
              <w:spacing w:before="0" w:beforeAutospacing="0" w:after="0" w:afterAutospacing="0"/>
              <w:rPr>
                <w:rFonts w:ascii="Arial" w:hAnsi="Arial" w:cs="Arial"/>
                <w:sz w:val="20"/>
                <w:szCs w:val="20"/>
              </w:rPr>
            </w:pPr>
            <w:r>
              <w:rPr>
                <w:rFonts w:ascii="Arial" w:hAnsi="Arial" w:cs="Arial"/>
                <w:kern w:val="24"/>
                <w:sz w:val="20"/>
                <w:szCs w:val="20"/>
                <w:lang w:val="en-GB"/>
              </w:rPr>
              <w:t>Yes, in income tax</w:t>
            </w:r>
          </w:p>
        </w:tc>
        <w:tc>
          <w:tcPr>
            <w:tcW w:w="2551" w:type="dxa"/>
            <w:hideMark/>
          </w:tcPr>
          <w:p w14:paraId="49C1979E" w14:textId="77777777" w:rsidR="00322AD9" w:rsidRPr="009F7C23" w:rsidRDefault="00322AD9" w:rsidP="0004786C">
            <w:pPr>
              <w:pStyle w:val="Normaalweb"/>
              <w:spacing w:before="0" w:beforeAutospacing="0" w:after="0" w:afterAutospacing="0"/>
              <w:rPr>
                <w:rFonts w:ascii="Arial" w:hAnsi="Arial" w:cs="Arial"/>
                <w:sz w:val="20"/>
                <w:szCs w:val="20"/>
              </w:rPr>
            </w:pPr>
            <w:r>
              <w:rPr>
                <w:rFonts w:ascii="Arial" w:hAnsi="Arial" w:cs="Arial"/>
                <w:kern w:val="24"/>
                <w:sz w:val="20"/>
                <w:szCs w:val="20"/>
                <w:lang w:val="en-GB"/>
              </w:rPr>
              <w:t>Yes, in income tax</w:t>
            </w:r>
          </w:p>
        </w:tc>
      </w:tr>
      <w:tr w:rsidR="00322AD9" w:rsidRPr="008D49E6" w14:paraId="00955748" w14:textId="77777777" w:rsidTr="0004786C">
        <w:trPr>
          <w:trHeight w:val="272"/>
        </w:trPr>
        <w:tc>
          <w:tcPr>
            <w:tcW w:w="3539" w:type="dxa"/>
            <w:hideMark/>
          </w:tcPr>
          <w:p w14:paraId="63B13AE1" w14:textId="77777777" w:rsidR="00322AD9" w:rsidRPr="009F7C23" w:rsidRDefault="00322AD9" w:rsidP="0004786C">
            <w:pPr>
              <w:pStyle w:val="Normaalweb"/>
              <w:spacing w:before="0" w:beforeAutospacing="0" w:after="0" w:afterAutospacing="0"/>
              <w:rPr>
                <w:rFonts w:ascii="Arial" w:hAnsi="Arial" w:cs="Arial"/>
                <w:sz w:val="20"/>
                <w:szCs w:val="20"/>
              </w:rPr>
            </w:pPr>
            <w:r>
              <w:rPr>
                <w:rFonts w:ascii="Arial" w:hAnsi="Arial" w:cs="Arial"/>
                <w:kern w:val="24"/>
                <w:sz w:val="20"/>
                <w:szCs w:val="20"/>
                <w:lang w:val="en-GB"/>
              </w:rPr>
              <w:t>Employees within Group 2, but not qualified</w:t>
            </w:r>
          </w:p>
        </w:tc>
        <w:tc>
          <w:tcPr>
            <w:tcW w:w="2410" w:type="dxa"/>
            <w:hideMark/>
          </w:tcPr>
          <w:p w14:paraId="212CBA0F" w14:textId="77777777" w:rsidR="00322AD9" w:rsidRPr="009F7C23" w:rsidRDefault="00322AD9" w:rsidP="0004786C">
            <w:pPr>
              <w:pStyle w:val="Normaalweb"/>
              <w:spacing w:before="0" w:beforeAutospacing="0" w:after="0" w:afterAutospacing="0"/>
              <w:rPr>
                <w:rFonts w:ascii="Arial" w:hAnsi="Arial" w:cs="Arial"/>
                <w:sz w:val="20"/>
                <w:szCs w:val="20"/>
              </w:rPr>
            </w:pPr>
            <w:r>
              <w:rPr>
                <w:rFonts w:ascii="Arial" w:hAnsi="Arial" w:cs="Arial"/>
                <w:kern w:val="24"/>
                <w:sz w:val="20"/>
                <w:szCs w:val="20"/>
                <w:lang w:val="en-GB"/>
              </w:rPr>
              <w:t>Yes, in income tax</w:t>
            </w:r>
          </w:p>
        </w:tc>
        <w:tc>
          <w:tcPr>
            <w:tcW w:w="2551" w:type="dxa"/>
            <w:hideMark/>
          </w:tcPr>
          <w:p w14:paraId="4BEA8FA4" w14:textId="77777777" w:rsidR="00322AD9" w:rsidRPr="009F7C23" w:rsidRDefault="00322AD9" w:rsidP="0004786C">
            <w:pPr>
              <w:pStyle w:val="Normaalweb"/>
              <w:spacing w:before="0" w:beforeAutospacing="0" w:after="0" w:afterAutospacing="0"/>
              <w:rPr>
                <w:rFonts w:ascii="Arial" w:hAnsi="Arial" w:cs="Arial"/>
                <w:sz w:val="20"/>
                <w:szCs w:val="20"/>
              </w:rPr>
            </w:pPr>
            <w:r>
              <w:rPr>
                <w:rFonts w:ascii="Arial" w:hAnsi="Arial" w:cs="Arial"/>
                <w:kern w:val="24"/>
                <w:sz w:val="20"/>
                <w:szCs w:val="20"/>
                <w:lang w:val="en-GB"/>
              </w:rPr>
              <w:t>No, a special arrangement applies to Belgian citizens (see paragraph 5.6.5)</w:t>
            </w:r>
          </w:p>
        </w:tc>
      </w:tr>
      <w:tr w:rsidR="00322AD9" w:rsidRPr="008D49E6" w14:paraId="5809FBFD" w14:textId="77777777" w:rsidTr="0004786C">
        <w:trPr>
          <w:trHeight w:val="272"/>
        </w:trPr>
        <w:tc>
          <w:tcPr>
            <w:tcW w:w="3539" w:type="dxa"/>
            <w:hideMark/>
          </w:tcPr>
          <w:p w14:paraId="7C420A51" w14:textId="77777777" w:rsidR="00322AD9" w:rsidRPr="009F7C23" w:rsidRDefault="00322AD9" w:rsidP="0004786C">
            <w:pPr>
              <w:pStyle w:val="Normaalweb"/>
              <w:spacing w:before="0" w:beforeAutospacing="0" w:after="0" w:afterAutospacing="0"/>
              <w:rPr>
                <w:rFonts w:ascii="Arial" w:hAnsi="Arial" w:cs="Arial"/>
                <w:sz w:val="20"/>
                <w:szCs w:val="20"/>
              </w:rPr>
            </w:pPr>
            <w:r>
              <w:rPr>
                <w:rFonts w:ascii="Arial" w:hAnsi="Arial" w:cs="Arial"/>
                <w:kern w:val="24"/>
                <w:sz w:val="20"/>
                <w:szCs w:val="20"/>
                <w:lang w:val="en-GB"/>
              </w:rPr>
              <w:t>Employees within Group 2, and qualified</w:t>
            </w:r>
          </w:p>
        </w:tc>
        <w:tc>
          <w:tcPr>
            <w:tcW w:w="2410" w:type="dxa"/>
            <w:hideMark/>
          </w:tcPr>
          <w:p w14:paraId="0C92C93B" w14:textId="77777777" w:rsidR="00322AD9" w:rsidRPr="009F7C23" w:rsidRDefault="00322AD9" w:rsidP="0004786C">
            <w:pPr>
              <w:pStyle w:val="Normaalweb"/>
              <w:spacing w:before="0" w:beforeAutospacing="0" w:after="0" w:afterAutospacing="0"/>
              <w:rPr>
                <w:rFonts w:ascii="Arial" w:hAnsi="Arial" w:cs="Arial"/>
                <w:sz w:val="20"/>
                <w:szCs w:val="20"/>
              </w:rPr>
            </w:pPr>
            <w:r>
              <w:rPr>
                <w:rFonts w:ascii="Arial" w:hAnsi="Arial" w:cs="Arial"/>
                <w:kern w:val="24"/>
                <w:sz w:val="20"/>
                <w:szCs w:val="20"/>
                <w:lang w:val="en-GB"/>
              </w:rPr>
              <w:t>Yes, in income tax</w:t>
            </w:r>
          </w:p>
        </w:tc>
        <w:tc>
          <w:tcPr>
            <w:tcW w:w="2551" w:type="dxa"/>
            <w:hideMark/>
          </w:tcPr>
          <w:p w14:paraId="763E8890" w14:textId="77777777" w:rsidR="00322AD9" w:rsidRPr="009F7C23" w:rsidRDefault="00322AD9" w:rsidP="0004786C">
            <w:pPr>
              <w:pStyle w:val="Normaalweb"/>
              <w:spacing w:before="0" w:beforeAutospacing="0" w:after="0" w:afterAutospacing="0"/>
              <w:rPr>
                <w:rFonts w:ascii="Arial" w:hAnsi="Arial" w:cs="Arial"/>
                <w:sz w:val="20"/>
                <w:szCs w:val="20"/>
              </w:rPr>
            </w:pPr>
            <w:r>
              <w:rPr>
                <w:rFonts w:ascii="Arial" w:hAnsi="Arial" w:cs="Arial"/>
                <w:kern w:val="24"/>
                <w:sz w:val="20"/>
                <w:szCs w:val="20"/>
                <w:lang w:val="en-GB"/>
              </w:rPr>
              <w:t>Yes, via income tax statement</w:t>
            </w:r>
          </w:p>
        </w:tc>
      </w:tr>
      <w:tr w:rsidR="00322AD9" w14:paraId="092EAEE2" w14:textId="77777777" w:rsidTr="0004786C">
        <w:trPr>
          <w:trHeight w:val="134"/>
        </w:trPr>
        <w:tc>
          <w:tcPr>
            <w:tcW w:w="3539" w:type="dxa"/>
            <w:hideMark/>
          </w:tcPr>
          <w:p w14:paraId="12150689" w14:textId="77777777" w:rsidR="00322AD9" w:rsidRPr="009F7C23" w:rsidRDefault="00322AD9" w:rsidP="0004786C">
            <w:pPr>
              <w:pStyle w:val="Normaalweb"/>
              <w:spacing w:before="0" w:beforeAutospacing="0" w:after="0" w:afterAutospacing="0"/>
              <w:rPr>
                <w:rFonts w:ascii="Arial" w:hAnsi="Arial" w:cs="Arial"/>
                <w:sz w:val="20"/>
                <w:szCs w:val="20"/>
              </w:rPr>
            </w:pPr>
            <w:r>
              <w:rPr>
                <w:rFonts w:ascii="Arial" w:hAnsi="Arial" w:cs="Arial"/>
                <w:kern w:val="24"/>
                <w:sz w:val="20"/>
                <w:szCs w:val="20"/>
                <w:lang w:val="en-GB"/>
              </w:rPr>
              <w:t>Employees within Group 3</w:t>
            </w:r>
          </w:p>
        </w:tc>
        <w:tc>
          <w:tcPr>
            <w:tcW w:w="2410" w:type="dxa"/>
            <w:hideMark/>
          </w:tcPr>
          <w:p w14:paraId="4BA85F48" w14:textId="77777777" w:rsidR="00322AD9" w:rsidRPr="009F7C23" w:rsidRDefault="00322AD9" w:rsidP="0004786C">
            <w:pPr>
              <w:pStyle w:val="Normaalweb"/>
              <w:spacing w:before="0" w:beforeAutospacing="0" w:after="0" w:afterAutospacing="0"/>
              <w:rPr>
                <w:rFonts w:ascii="Arial" w:hAnsi="Arial" w:cs="Arial"/>
                <w:sz w:val="20"/>
                <w:szCs w:val="20"/>
              </w:rPr>
            </w:pPr>
            <w:r>
              <w:rPr>
                <w:rFonts w:ascii="Arial" w:hAnsi="Arial" w:cs="Arial"/>
                <w:kern w:val="24"/>
                <w:sz w:val="20"/>
                <w:szCs w:val="20"/>
                <w:lang w:val="en-GB"/>
              </w:rPr>
              <w:t>No</w:t>
            </w:r>
          </w:p>
        </w:tc>
        <w:tc>
          <w:tcPr>
            <w:tcW w:w="2551" w:type="dxa"/>
            <w:hideMark/>
          </w:tcPr>
          <w:p w14:paraId="155C18C3" w14:textId="77777777" w:rsidR="00322AD9" w:rsidRPr="009F7C23" w:rsidRDefault="00322AD9" w:rsidP="0004786C">
            <w:pPr>
              <w:pStyle w:val="Normaalweb"/>
              <w:spacing w:before="0" w:beforeAutospacing="0" w:after="0" w:afterAutospacing="0"/>
              <w:rPr>
                <w:rFonts w:ascii="Arial" w:hAnsi="Arial" w:cs="Arial"/>
                <w:sz w:val="20"/>
                <w:szCs w:val="20"/>
              </w:rPr>
            </w:pPr>
            <w:r>
              <w:rPr>
                <w:rFonts w:ascii="Arial" w:hAnsi="Arial" w:cs="Arial"/>
                <w:kern w:val="24"/>
                <w:sz w:val="20"/>
                <w:szCs w:val="20"/>
                <w:lang w:val="en-GB"/>
              </w:rPr>
              <w:t>No</w:t>
            </w:r>
          </w:p>
        </w:tc>
      </w:tr>
    </w:tbl>
    <w:p w14:paraId="5EF7D6DC" w14:textId="77777777" w:rsidR="00322AD9" w:rsidRPr="004D02A2" w:rsidRDefault="00322AD9" w:rsidP="00322AD9">
      <w:pPr>
        <w:rPr>
          <w:rFonts w:ascii="Arial" w:hAnsi="Arial" w:cs="Arial"/>
          <w:sz w:val="20"/>
          <w:szCs w:val="18"/>
        </w:rPr>
      </w:pPr>
    </w:p>
    <w:p w14:paraId="64FAB00E" w14:textId="77777777" w:rsidR="00322AD9" w:rsidRDefault="00322AD9" w:rsidP="00322AD9">
      <w:pPr>
        <w:rPr>
          <w:rFonts w:ascii="Arial" w:hAnsi="Arial" w:cs="Arial"/>
          <w:b/>
          <w:sz w:val="20"/>
          <w:szCs w:val="18"/>
        </w:rPr>
      </w:pPr>
    </w:p>
    <w:p w14:paraId="0040E5C7" w14:textId="77777777" w:rsidR="00322AD9" w:rsidRDefault="00322AD9" w:rsidP="00322AD9">
      <w:pPr>
        <w:rPr>
          <w:rFonts w:ascii="Arial" w:hAnsi="Arial" w:cs="Arial"/>
          <w:b/>
          <w:sz w:val="20"/>
          <w:szCs w:val="18"/>
        </w:rPr>
      </w:pPr>
    </w:p>
    <w:p w14:paraId="54BBAADB" w14:textId="77777777" w:rsidR="00322AD9" w:rsidRDefault="00322AD9" w:rsidP="00322AD9">
      <w:pPr>
        <w:rPr>
          <w:rFonts w:ascii="Arial" w:hAnsi="Arial" w:cs="Arial"/>
          <w:b/>
          <w:sz w:val="20"/>
          <w:szCs w:val="18"/>
        </w:rPr>
      </w:pPr>
    </w:p>
    <w:p w14:paraId="3E9669CE" w14:textId="77777777" w:rsidR="00322AD9" w:rsidRDefault="00322AD9" w:rsidP="00322AD9">
      <w:pPr>
        <w:rPr>
          <w:rFonts w:ascii="Arial" w:hAnsi="Arial" w:cs="Arial"/>
          <w:b/>
          <w:sz w:val="20"/>
          <w:szCs w:val="18"/>
        </w:rPr>
      </w:pPr>
    </w:p>
    <w:p w14:paraId="2B65C852" w14:textId="77777777" w:rsidR="00322AD9" w:rsidRDefault="00322AD9" w:rsidP="00322AD9">
      <w:pPr>
        <w:rPr>
          <w:rFonts w:ascii="Arial" w:hAnsi="Arial" w:cs="Arial"/>
          <w:b/>
          <w:sz w:val="20"/>
          <w:szCs w:val="18"/>
        </w:rPr>
      </w:pPr>
    </w:p>
    <w:p w14:paraId="7AC2CC60" w14:textId="77777777" w:rsidR="00322AD9" w:rsidRDefault="00322AD9" w:rsidP="00322AD9">
      <w:pPr>
        <w:rPr>
          <w:rFonts w:ascii="Arial" w:hAnsi="Arial" w:cs="Arial"/>
          <w:b/>
          <w:sz w:val="20"/>
          <w:szCs w:val="18"/>
        </w:rPr>
      </w:pPr>
    </w:p>
    <w:p w14:paraId="1E276FDF" w14:textId="77777777" w:rsidR="00322AD9" w:rsidRDefault="00322AD9" w:rsidP="00322AD9">
      <w:pPr>
        <w:rPr>
          <w:rFonts w:ascii="Arial" w:hAnsi="Arial" w:cs="Arial"/>
          <w:b/>
          <w:sz w:val="20"/>
          <w:szCs w:val="18"/>
        </w:rPr>
      </w:pPr>
    </w:p>
    <w:p w14:paraId="69FB6E30" w14:textId="77777777" w:rsidR="00322AD9" w:rsidRDefault="00322AD9" w:rsidP="00322AD9">
      <w:pPr>
        <w:rPr>
          <w:rFonts w:ascii="Arial" w:hAnsi="Arial" w:cs="Arial"/>
          <w:b/>
          <w:sz w:val="20"/>
          <w:szCs w:val="18"/>
        </w:rPr>
      </w:pPr>
    </w:p>
    <w:p w14:paraId="6DBF1FC5" w14:textId="77777777" w:rsidR="00322AD9" w:rsidRDefault="00322AD9" w:rsidP="003D1152">
      <w:pPr>
        <w:pStyle w:val="Kop3"/>
        <w:ind w:hanging="1260"/>
      </w:pPr>
      <w:bookmarkStart w:id="23" w:name="_Toc534204735"/>
      <w:bookmarkStart w:id="24" w:name="_Toc536010200"/>
      <w:r>
        <w:rPr>
          <w:lang w:val="en-GB"/>
        </w:rPr>
        <w:t>Residence and anonymous rate</w:t>
      </w:r>
      <w:bookmarkEnd w:id="23"/>
      <w:bookmarkEnd w:id="24"/>
    </w:p>
    <w:p w14:paraId="5832BDD4" w14:textId="77777777" w:rsidR="00322AD9" w:rsidRPr="008D49E6" w:rsidRDefault="00322AD9" w:rsidP="00322AD9">
      <w:pPr>
        <w:rPr>
          <w:rFonts w:ascii="Arial" w:hAnsi="Arial" w:cs="Arial"/>
          <w:b/>
          <w:sz w:val="20"/>
          <w:szCs w:val="18"/>
          <w:lang w:val="en-GB"/>
        </w:rPr>
      </w:pPr>
      <w:r>
        <w:rPr>
          <w:rFonts w:ascii="Arial" w:hAnsi="Arial" w:cs="Arial"/>
          <w:sz w:val="20"/>
          <w:szCs w:val="18"/>
          <w:lang w:val="en-GB"/>
        </w:rPr>
        <w:t>You have an obligation to identify your employees. If this was not fully or correctly completed, the so-called anonymous rate of 52% applies.</w:t>
      </w:r>
    </w:p>
    <w:p w14:paraId="2DA95232" w14:textId="77777777" w:rsidR="00322AD9" w:rsidRPr="008D49E6" w:rsidRDefault="00322AD9" w:rsidP="00322AD9">
      <w:pPr>
        <w:rPr>
          <w:rFonts w:ascii="Arial" w:hAnsi="Arial" w:cs="Arial"/>
          <w:sz w:val="20"/>
          <w:szCs w:val="18"/>
          <w:lang w:val="en-GB"/>
        </w:rPr>
      </w:pPr>
    </w:p>
    <w:p w14:paraId="7F24BBBB" w14:textId="07DF30D0" w:rsidR="00322AD9" w:rsidRPr="008D49E6" w:rsidRDefault="00322AD9" w:rsidP="00322AD9">
      <w:pPr>
        <w:rPr>
          <w:rFonts w:ascii="Arial" w:hAnsi="Arial" w:cs="Arial"/>
          <w:sz w:val="20"/>
          <w:szCs w:val="18"/>
          <w:lang w:val="en-GB"/>
        </w:rPr>
      </w:pPr>
      <w:r>
        <w:rPr>
          <w:rFonts w:ascii="Arial" w:hAnsi="Arial" w:cs="Arial"/>
          <w:sz w:val="20"/>
          <w:szCs w:val="18"/>
          <w:lang w:val="en-GB"/>
        </w:rPr>
        <w:t>For any foreign or Dutch employees who are not Dutch resident tax payers but are temporary or permanent residents, the payroll accounting systems sometimes record the temporary or permanent Dutch address. From 1 January 2019, the foreign addresses of such employees must be recorded in the payroll accounts. If you fail to do so as an employer, the anonymous rate must be applied for such residents.</w:t>
      </w:r>
    </w:p>
    <w:p w14:paraId="3F42F6DC" w14:textId="77777777" w:rsidR="00322AD9" w:rsidRPr="008D49E6" w:rsidRDefault="00322AD9" w:rsidP="003D1152">
      <w:pPr>
        <w:pStyle w:val="Kop3"/>
        <w:ind w:hanging="1260"/>
        <w:rPr>
          <w:rFonts w:eastAsia="Calibri"/>
          <w:lang w:val="en-GB"/>
        </w:rPr>
      </w:pPr>
      <w:bookmarkStart w:id="25" w:name="_Toc534204736"/>
      <w:bookmarkStart w:id="26" w:name="_Toc536010201"/>
      <w:r>
        <w:rPr>
          <w:rFonts w:eastAsia="Calibri"/>
          <w:lang w:val="en-GB"/>
        </w:rPr>
        <w:t>Exception for employees from Belgium, Suriname, Aruba and the Dutch Antilles</w:t>
      </w:r>
      <w:bookmarkEnd w:id="25"/>
      <w:bookmarkEnd w:id="26"/>
    </w:p>
    <w:p w14:paraId="07052E91"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It is more complicated for this group of employees. Persons residing in an EU/EEA country and performing their current labour in the Netherlands are always entitled to application of labour rebate, continued work bonus and income-related combination rebate, without having to qualify as a foreign tax payer. Based on practical considerations, the employer also granted such rebates to residents of Surinam, the Dutch Antilles and Aruba who perform current labour in the Netherlands.</w:t>
      </w:r>
    </w:p>
    <w:p w14:paraId="6CD81F94" w14:textId="77777777" w:rsidR="00322AD9" w:rsidRPr="008D49E6" w:rsidRDefault="00322AD9" w:rsidP="00322AD9">
      <w:pPr>
        <w:rPr>
          <w:rFonts w:ascii="Arial" w:eastAsia="Calibri" w:hAnsi="Arial" w:cs="Arial"/>
          <w:sz w:val="20"/>
          <w:szCs w:val="20"/>
          <w:lang w:val="en-GB"/>
        </w:rPr>
      </w:pPr>
    </w:p>
    <w:p w14:paraId="3A4065BB"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Residents of Belgium, Surinam, the Dutch Antilles and Aruba are entitled to the taxed portion of the income tax credit pursuant to specific non-discrimination clauses.</w:t>
      </w:r>
    </w:p>
    <w:p w14:paraId="538B7F3D" w14:textId="77777777" w:rsidR="00322AD9" w:rsidRPr="008D49E6" w:rsidRDefault="00322AD9" w:rsidP="00322AD9">
      <w:pPr>
        <w:rPr>
          <w:rFonts w:ascii="Arial" w:eastAsia="Calibri" w:hAnsi="Arial" w:cs="Arial"/>
          <w:sz w:val="20"/>
          <w:szCs w:val="20"/>
          <w:lang w:val="en-GB"/>
        </w:rPr>
      </w:pPr>
    </w:p>
    <w:p w14:paraId="299D2BDE"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The Tax and Customs Administration prefers such employees to claim the taxed portion of the tax credit via the preliminary 2019 income tax return. The tax authorities already have this option programmed in the tax software, and does not expect employers to apply this tax credit. For this reason, employers should not take the taxed portion of such tax credits into account for such employees in order to prevent double tax credits. However, the Tax and Customs Administration have announced they will not correct it in the payroll tax returns if you apply the tax credit for Belgian employees.</w:t>
      </w:r>
    </w:p>
    <w:p w14:paraId="638D3BCA" w14:textId="77777777" w:rsidR="003D1152" w:rsidRPr="008D49E6" w:rsidRDefault="003D1152" w:rsidP="003D1152">
      <w:pPr>
        <w:pStyle w:val="Default"/>
        <w:rPr>
          <w:sz w:val="20"/>
          <w:szCs w:val="20"/>
          <w:lang w:val="en-GB"/>
        </w:rPr>
      </w:pPr>
    </w:p>
    <w:p w14:paraId="3C3BA8BF" w14:textId="29362ADC" w:rsidR="003D1152" w:rsidRPr="008D49E6" w:rsidRDefault="003D1152" w:rsidP="003D1152">
      <w:pPr>
        <w:shd w:val="clear" w:color="auto" w:fill="D9D9D9"/>
        <w:rPr>
          <w:rFonts w:ascii="Arial" w:hAnsi="Arial" w:cs="Arial"/>
          <w:sz w:val="20"/>
          <w:szCs w:val="20"/>
          <w:lang w:val="en-GB"/>
        </w:rPr>
      </w:pPr>
      <w:r>
        <w:rPr>
          <w:rFonts w:ascii="Arial" w:hAnsi="Arial" w:cs="Arial"/>
          <w:b/>
          <w:bCs/>
          <w:sz w:val="20"/>
          <w:szCs w:val="20"/>
          <w:lang w:val="en-GB"/>
        </w:rPr>
        <w:t>Please note!</w:t>
      </w:r>
      <w:r>
        <w:rPr>
          <w:rFonts w:ascii="Arial" w:hAnsi="Arial" w:cs="Arial"/>
          <w:sz w:val="20"/>
          <w:szCs w:val="20"/>
          <w:lang w:val="en-GB"/>
        </w:rPr>
        <w:br/>
        <w:t>If you apply the tax credit and the employee also requests a preliminary tax bill, your Belgian employee will be requested to refund the taxed portion of the tax credits received double in his/her final tax bill.</w:t>
      </w:r>
    </w:p>
    <w:p w14:paraId="79404E00" w14:textId="77777777" w:rsidR="00322AD9" w:rsidRPr="008D49E6" w:rsidRDefault="00322AD9" w:rsidP="00322AD9">
      <w:pPr>
        <w:rPr>
          <w:rFonts w:ascii="Arial" w:eastAsia="Calibri" w:hAnsi="Arial" w:cs="Arial"/>
          <w:sz w:val="20"/>
          <w:szCs w:val="20"/>
          <w:lang w:val="en-GB"/>
        </w:rPr>
      </w:pPr>
    </w:p>
    <w:p w14:paraId="32FD3C34" w14:textId="77777777" w:rsidR="00322AD9" w:rsidRPr="00BE4865" w:rsidRDefault="00322AD9" w:rsidP="003D1152">
      <w:pPr>
        <w:pStyle w:val="Kop2"/>
        <w:rPr>
          <w:rFonts w:eastAsia="Calibri"/>
        </w:rPr>
      </w:pPr>
      <w:bookmarkStart w:id="27" w:name="_Toc534204737"/>
      <w:bookmarkStart w:id="28" w:name="_Toc536010202"/>
      <w:r>
        <w:rPr>
          <w:rFonts w:eastAsia="Calibri"/>
          <w:bCs/>
          <w:iCs w:val="0"/>
          <w:lang w:val="en-GB"/>
        </w:rPr>
        <w:t>30% scheme</w:t>
      </w:r>
      <w:bookmarkEnd w:id="27"/>
      <w:bookmarkEnd w:id="28"/>
    </w:p>
    <w:p w14:paraId="37FB6770" w14:textId="77777777" w:rsidR="00322AD9" w:rsidRDefault="00322AD9" w:rsidP="00322AD9">
      <w:pPr>
        <w:rPr>
          <w:rFonts w:ascii="Arial" w:eastAsia="Calibri" w:hAnsi="Arial" w:cs="Arial"/>
          <w:sz w:val="20"/>
          <w:szCs w:val="20"/>
          <w:u w:val="single"/>
        </w:rPr>
      </w:pPr>
    </w:p>
    <w:p w14:paraId="42BC17A4" w14:textId="77777777" w:rsidR="00322AD9" w:rsidRPr="008D49E6" w:rsidRDefault="00322AD9" w:rsidP="00322AD9">
      <w:pPr>
        <w:rPr>
          <w:rFonts w:ascii="Arial" w:hAnsi="Arial" w:cs="Arial"/>
          <w:sz w:val="20"/>
          <w:szCs w:val="20"/>
          <w:lang w:val="en-GB"/>
        </w:rPr>
      </w:pPr>
      <w:r>
        <w:rPr>
          <w:rFonts w:ascii="Arial" w:hAnsi="Arial" w:cs="Arial"/>
          <w:sz w:val="20"/>
          <w:szCs w:val="20"/>
          <w:lang w:val="en-GB"/>
        </w:rPr>
        <w:t xml:space="preserve">The maximum validity of the 30% scheme is reduced by three years as per 1 January 2019: from eight to five years. New applications will be granted for a maximum of five years from this year onward. Existing participants will also be subject to a three-year reduction. </w:t>
      </w:r>
    </w:p>
    <w:p w14:paraId="44E3D441" w14:textId="77777777" w:rsidR="00322AD9" w:rsidRPr="008D49E6" w:rsidRDefault="00322AD9" w:rsidP="00322AD9">
      <w:pPr>
        <w:rPr>
          <w:rFonts w:ascii="Arial" w:hAnsi="Arial" w:cs="Arial"/>
          <w:sz w:val="20"/>
          <w:szCs w:val="20"/>
          <w:lang w:val="en-GB"/>
        </w:rPr>
      </w:pPr>
    </w:p>
    <w:p w14:paraId="7352AE1B"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Conditions for the 30% scheme</w:t>
      </w:r>
    </w:p>
    <w:p w14:paraId="45EE429C"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In summary, this scheme means that an employer may pay out 30% of the salary of the employee exempt of taxation as a compensation for the extra costs of the foreign employee subject to having been issued an approval statement for the 30% scheme by the Tax and Customs Administration accordingly. Instead, the employer may compensate the actual costs, in which case the employee is not entitled to the 30% scheme.</w:t>
      </w:r>
    </w:p>
    <w:p w14:paraId="607E3DCD" w14:textId="77777777" w:rsidR="00322AD9" w:rsidRPr="008D49E6" w:rsidRDefault="00322AD9" w:rsidP="00322AD9">
      <w:pPr>
        <w:rPr>
          <w:rFonts w:ascii="Arial" w:eastAsia="Calibri" w:hAnsi="Arial" w:cs="Arial"/>
          <w:sz w:val="20"/>
          <w:szCs w:val="20"/>
          <w:lang w:val="en-GB"/>
        </w:rPr>
      </w:pPr>
    </w:p>
    <w:p w14:paraId="6615C739"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Application of this scheme is subject to certain conditions. The employee must have a specific expertise. The employee must also have lived outside the Netherlands for more than 16 months before his/her first working day in the Netherlands. The place of residence should be at least 150 km away from the Dutch borders.</w:t>
      </w:r>
    </w:p>
    <w:p w14:paraId="6C88C92B" w14:textId="77777777" w:rsidR="00322AD9" w:rsidRPr="008D49E6" w:rsidRDefault="00322AD9" w:rsidP="00322AD9">
      <w:pPr>
        <w:rPr>
          <w:rFonts w:ascii="Arial" w:eastAsia="Calibri" w:hAnsi="Arial" w:cs="Arial"/>
          <w:sz w:val="20"/>
          <w:szCs w:val="20"/>
          <w:lang w:val="en-GB"/>
        </w:rPr>
      </w:pPr>
    </w:p>
    <w:p w14:paraId="569A734D"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Employment contract</w:t>
      </w:r>
    </w:p>
    <w:p w14:paraId="7E463466"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Compliance with the above conditions is determined at the time of concluding the employment contract according to the Supreme Court. This condition (</w:t>
      </w:r>
      <w:hyperlink r:id="rId11" w:history="1">
        <w:r>
          <w:rPr>
            <w:rStyle w:val="Hyperlink"/>
            <w:rFonts w:ascii="Arial" w:eastAsia="Calibri" w:hAnsi="Arial" w:cs="Arial"/>
            <w:sz w:val="20"/>
            <w:szCs w:val="20"/>
            <w:lang w:val="en-GB"/>
          </w:rPr>
          <w:t>see Supreme Court ruling</w:t>
        </w:r>
      </w:hyperlink>
      <w:r>
        <w:rPr>
          <w:rFonts w:ascii="Arial" w:eastAsia="Calibri" w:hAnsi="Arial" w:cs="Arial"/>
          <w:sz w:val="20"/>
          <w:szCs w:val="20"/>
          <w:lang w:val="en-GB"/>
        </w:rPr>
        <w:t xml:space="preserve">) means that changes to the situation (such as relocation) after concluding the agreement but before the actual start of performing work are not relevant. </w:t>
      </w:r>
    </w:p>
    <w:p w14:paraId="66552EAE" w14:textId="77777777" w:rsidR="00322AD9" w:rsidRPr="008D49E6" w:rsidRDefault="00322AD9" w:rsidP="00322AD9">
      <w:pPr>
        <w:rPr>
          <w:rFonts w:ascii="Arial" w:eastAsia="Calibri" w:hAnsi="Arial" w:cs="Arial"/>
          <w:sz w:val="20"/>
          <w:szCs w:val="20"/>
          <w:lang w:val="en-GB"/>
        </w:rPr>
      </w:pPr>
    </w:p>
    <w:p w14:paraId="6CECAC57"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Transition right</w:t>
      </w:r>
    </w:p>
    <w:p w14:paraId="4E9C6B5C" w14:textId="77777777" w:rsidR="00322AD9" w:rsidRDefault="00322AD9" w:rsidP="00322AD9">
      <w:pPr>
        <w:rPr>
          <w:rFonts w:ascii="Arial" w:eastAsia="Calibri" w:hAnsi="Arial" w:cs="Arial"/>
          <w:sz w:val="20"/>
          <w:szCs w:val="20"/>
        </w:rPr>
      </w:pPr>
      <w:r>
        <w:rPr>
          <w:rFonts w:ascii="Arial" w:eastAsia="Calibri" w:hAnsi="Arial" w:cs="Arial"/>
          <w:sz w:val="20"/>
          <w:szCs w:val="20"/>
          <w:lang w:val="en-GB"/>
        </w:rPr>
        <w:t>Although transition right did not initially apply for existing cases, the government created space for transition rights for existing cases after the dividend tax was upheld. This transition right is set out as follows:</w:t>
      </w:r>
    </w:p>
    <w:p w14:paraId="1E1700BB" w14:textId="77777777" w:rsidR="003D1152" w:rsidRPr="00911A6C" w:rsidRDefault="003D1152" w:rsidP="00322AD9">
      <w:pPr>
        <w:rPr>
          <w:rFonts w:ascii="Arial" w:eastAsia="Calibri" w:hAnsi="Arial" w:cs="Arial"/>
          <w:sz w:val="20"/>
          <w:szCs w:val="20"/>
        </w:rPr>
      </w:pPr>
    </w:p>
    <w:p w14:paraId="61CF75AC" w14:textId="77777777" w:rsidR="00322AD9" w:rsidRPr="008D49E6" w:rsidRDefault="00322AD9" w:rsidP="00C80C29">
      <w:pPr>
        <w:pStyle w:val="Lijstalinea"/>
        <w:numPr>
          <w:ilvl w:val="0"/>
          <w:numId w:val="13"/>
        </w:numPr>
        <w:rPr>
          <w:rFonts w:ascii="Arial" w:hAnsi="Arial" w:cs="Arial"/>
          <w:sz w:val="20"/>
          <w:szCs w:val="20"/>
          <w:lang w:val="en-GB"/>
        </w:rPr>
      </w:pPr>
      <w:r>
        <w:rPr>
          <w:rFonts w:ascii="Arial" w:hAnsi="Arial" w:cs="Arial"/>
          <w:sz w:val="20"/>
          <w:szCs w:val="20"/>
          <w:lang w:val="en-GB"/>
        </w:rPr>
        <w:t>For employees granted approval with end dates in 2019 and 2020, the 30% scheme ends on the original date.</w:t>
      </w:r>
    </w:p>
    <w:p w14:paraId="6EE22BBC" w14:textId="77777777" w:rsidR="00322AD9" w:rsidRPr="008D49E6" w:rsidRDefault="00322AD9" w:rsidP="00C80C29">
      <w:pPr>
        <w:pStyle w:val="Lijstalinea"/>
        <w:numPr>
          <w:ilvl w:val="0"/>
          <w:numId w:val="13"/>
        </w:numPr>
        <w:rPr>
          <w:rFonts w:ascii="Arial" w:hAnsi="Arial" w:cs="Arial"/>
          <w:sz w:val="20"/>
          <w:szCs w:val="20"/>
          <w:lang w:val="en-GB"/>
        </w:rPr>
      </w:pPr>
      <w:r>
        <w:rPr>
          <w:rFonts w:ascii="Arial" w:hAnsi="Arial" w:cs="Arial"/>
          <w:sz w:val="20"/>
          <w:szCs w:val="20"/>
          <w:lang w:val="en-GB"/>
        </w:rPr>
        <w:t>For employees granted approval with end dates in 2021, 2022 or 2023, the end date will be set on 31 December 2020.</w:t>
      </w:r>
    </w:p>
    <w:p w14:paraId="75B4CCD8" w14:textId="77777777" w:rsidR="00322AD9" w:rsidRPr="008D49E6" w:rsidRDefault="00322AD9" w:rsidP="00C80C29">
      <w:pPr>
        <w:pStyle w:val="Lijstalinea"/>
        <w:numPr>
          <w:ilvl w:val="0"/>
          <w:numId w:val="13"/>
        </w:numPr>
        <w:rPr>
          <w:rFonts w:ascii="Arial" w:hAnsi="Arial" w:cs="Arial"/>
          <w:sz w:val="20"/>
          <w:szCs w:val="20"/>
          <w:lang w:val="en-GB"/>
        </w:rPr>
      </w:pPr>
      <w:r>
        <w:rPr>
          <w:rFonts w:ascii="Arial" w:hAnsi="Arial" w:cs="Arial"/>
          <w:sz w:val="20"/>
          <w:szCs w:val="20"/>
          <w:lang w:val="en-GB"/>
        </w:rPr>
        <w:t>For employees granted approval with end dates in or after 2024, the end date is brought forward by three years.</w:t>
      </w:r>
    </w:p>
    <w:p w14:paraId="34237CEC" w14:textId="77777777" w:rsidR="00322AD9" w:rsidRPr="008D49E6" w:rsidRDefault="00322AD9" w:rsidP="00322AD9">
      <w:pPr>
        <w:rPr>
          <w:rFonts w:ascii="Arial" w:eastAsia="Calibri" w:hAnsi="Arial" w:cs="Arial"/>
          <w:sz w:val="20"/>
          <w:szCs w:val="20"/>
          <w:lang w:val="en-GB"/>
        </w:rPr>
      </w:pPr>
    </w:p>
    <w:p w14:paraId="507C265A"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The table below sets out the implications of the transition right clearly:</w:t>
      </w:r>
    </w:p>
    <w:p w14:paraId="45D82283" w14:textId="77777777" w:rsidR="00322AD9" w:rsidRPr="008D49E6" w:rsidRDefault="00322AD9" w:rsidP="00322AD9">
      <w:pPr>
        <w:rPr>
          <w:rFonts w:ascii="Arial" w:eastAsia="Calibri" w:hAnsi="Arial" w:cs="Arial"/>
          <w:sz w:val="20"/>
          <w:szCs w:val="20"/>
          <w:lang w:val="en-GB"/>
        </w:rPr>
      </w:pPr>
    </w:p>
    <w:tbl>
      <w:tblPr>
        <w:tblW w:w="7936" w:type="dxa"/>
        <w:tblInd w:w="-8" w:type="dxa"/>
        <w:tblCellMar>
          <w:left w:w="0" w:type="dxa"/>
          <w:right w:w="0" w:type="dxa"/>
        </w:tblCellMar>
        <w:tblLook w:val="04A0" w:firstRow="1" w:lastRow="0" w:firstColumn="1" w:lastColumn="0" w:noHBand="0" w:noVBand="1"/>
      </w:tblPr>
      <w:tblGrid>
        <w:gridCol w:w="3400"/>
        <w:gridCol w:w="4536"/>
      </w:tblGrid>
      <w:tr w:rsidR="00322AD9" w:rsidRPr="00911A6C" w14:paraId="3FCF84CD" w14:textId="77777777" w:rsidTr="00D57A7F">
        <w:trPr>
          <w:trHeight w:val="255"/>
        </w:trPr>
        <w:tc>
          <w:tcPr>
            <w:tcW w:w="340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FB0D0F0" w14:textId="77777777" w:rsidR="00322AD9" w:rsidRPr="008D49E6" w:rsidRDefault="00322AD9" w:rsidP="0004786C">
            <w:pPr>
              <w:rPr>
                <w:rFonts w:ascii="Arial" w:eastAsia="Calibri" w:hAnsi="Arial" w:cs="Arial"/>
                <w:b/>
                <w:bCs/>
                <w:sz w:val="20"/>
                <w:szCs w:val="20"/>
                <w:lang w:val="en-GB"/>
              </w:rPr>
            </w:pPr>
            <w:r>
              <w:rPr>
                <w:rFonts w:ascii="Arial" w:eastAsia="Calibri" w:hAnsi="Arial" w:cs="Arial"/>
                <w:b/>
                <w:bCs/>
                <w:sz w:val="20"/>
                <w:szCs w:val="20"/>
                <w:lang w:val="en-GB"/>
              </w:rPr>
              <w:t>End date on approval statement</w:t>
            </w:r>
          </w:p>
        </w:tc>
        <w:tc>
          <w:tcPr>
            <w:tcW w:w="453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D4C3665" w14:textId="77777777" w:rsidR="00322AD9" w:rsidRPr="00911A6C" w:rsidRDefault="00322AD9" w:rsidP="0004786C">
            <w:pPr>
              <w:rPr>
                <w:rFonts w:ascii="Arial" w:eastAsia="Calibri" w:hAnsi="Arial" w:cs="Arial"/>
                <w:b/>
                <w:bCs/>
                <w:sz w:val="20"/>
                <w:szCs w:val="20"/>
              </w:rPr>
            </w:pPr>
            <w:r>
              <w:rPr>
                <w:rFonts w:ascii="Arial" w:eastAsia="Calibri" w:hAnsi="Arial" w:cs="Arial"/>
                <w:b/>
                <w:bCs/>
                <w:sz w:val="20"/>
                <w:szCs w:val="20"/>
                <w:lang w:val="en-GB"/>
              </w:rPr>
              <w:t>Change to validity period</w:t>
            </w:r>
          </w:p>
        </w:tc>
      </w:tr>
      <w:tr w:rsidR="00322AD9" w:rsidRPr="00911A6C" w14:paraId="479AA574" w14:textId="77777777" w:rsidTr="00D57A7F">
        <w:trPr>
          <w:trHeight w:val="255"/>
        </w:trPr>
        <w:tc>
          <w:tcPr>
            <w:tcW w:w="34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7268A96" w14:textId="77777777" w:rsidR="00322AD9" w:rsidRPr="00911A6C" w:rsidRDefault="00322AD9" w:rsidP="0004786C">
            <w:pPr>
              <w:rPr>
                <w:rFonts w:ascii="Arial" w:eastAsia="Calibri" w:hAnsi="Arial" w:cs="Arial"/>
                <w:sz w:val="20"/>
                <w:szCs w:val="20"/>
              </w:rPr>
            </w:pPr>
            <w:r>
              <w:rPr>
                <w:rFonts w:ascii="Arial" w:eastAsia="Calibri" w:hAnsi="Arial" w:cs="Arial"/>
                <w:sz w:val="20"/>
                <w:szCs w:val="20"/>
                <w:lang w:val="en-GB"/>
              </w:rPr>
              <w:t>In 2019 or 2020</w:t>
            </w:r>
          </w:p>
        </w:tc>
        <w:tc>
          <w:tcPr>
            <w:tcW w:w="453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9F555D" w14:textId="77777777" w:rsidR="00322AD9" w:rsidRPr="00911A6C" w:rsidRDefault="00322AD9" w:rsidP="0004786C">
            <w:pPr>
              <w:rPr>
                <w:rFonts w:ascii="Arial" w:eastAsia="Calibri" w:hAnsi="Arial" w:cs="Arial"/>
                <w:sz w:val="20"/>
                <w:szCs w:val="20"/>
              </w:rPr>
            </w:pPr>
            <w:r>
              <w:rPr>
                <w:rFonts w:ascii="Arial" w:eastAsia="Calibri" w:hAnsi="Arial" w:cs="Arial"/>
                <w:sz w:val="20"/>
                <w:szCs w:val="20"/>
                <w:lang w:val="en-GB"/>
              </w:rPr>
              <w:t>No change</w:t>
            </w:r>
          </w:p>
        </w:tc>
      </w:tr>
      <w:tr w:rsidR="00322AD9" w:rsidRPr="008D49E6" w14:paraId="4FCDF2BC" w14:textId="77777777" w:rsidTr="00D57A7F">
        <w:trPr>
          <w:trHeight w:val="255"/>
        </w:trPr>
        <w:tc>
          <w:tcPr>
            <w:tcW w:w="34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2CA36B9" w14:textId="77777777" w:rsidR="00322AD9" w:rsidRPr="00911A6C" w:rsidRDefault="00322AD9" w:rsidP="0004786C">
            <w:pPr>
              <w:rPr>
                <w:rFonts w:ascii="Arial" w:eastAsia="Calibri" w:hAnsi="Arial" w:cs="Arial"/>
                <w:sz w:val="20"/>
                <w:szCs w:val="20"/>
              </w:rPr>
            </w:pPr>
            <w:r>
              <w:rPr>
                <w:rFonts w:ascii="Arial" w:eastAsia="Calibri" w:hAnsi="Arial" w:cs="Arial"/>
                <w:sz w:val="20"/>
                <w:szCs w:val="20"/>
                <w:lang w:val="en-GB"/>
              </w:rPr>
              <w:t>In 2021, 2022, 2023</w:t>
            </w:r>
          </w:p>
        </w:tc>
        <w:tc>
          <w:tcPr>
            <w:tcW w:w="453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A21A0A" w14:textId="77777777" w:rsidR="00322AD9" w:rsidRPr="008D49E6" w:rsidRDefault="00322AD9" w:rsidP="0004786C">
            <w:pPr>
              <w:rPr>
                <w:rFonts w:ascii="Arial" w:eastAsia="Calibri" w:hAnsi="Arial" w:cs="Arial"/>
                <w:sz w:val="20"/>
                <w:szCs w:val="20"/>
                <w:lang w:val="en-GB"/>
              </w:rPr>
            </w:pPr>
            <w:r>
              <w:rPr>
                <w:rFonts w:ascii="Arial" w:eastAsia="Calibri" w:hAnsi="Arial" w:cs="Arial"/>
                <w:sz w:val="20"/>
                <w:szCs w:val="20"/>
                <w:lang w:val="en-GB"/>
              </w:rPr>
              <w:t>Validity period now ends on 31 December 2020</w:t>
            </w:r>
          </w:p>
        </w:tc>
      </w:tr>
      <w:tr w:rsidR="00322AD9" w:rsidRPr="008D49E6" w14:paraId="3B5E511B" w14:textId="77777777" w:rsidTr="00D57A7F">
        <w:trPr>
          <w:trHeight w:val="255"/>
        </w:trPr>
        <w:tc>
          <w:tcPr>
            <w:tcW w:w="34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AE5EEF0" w14:textId="77777777" w:rsidR="00322AD9" w:rsidRPr="00911A6C" w:rsidRDefault="00322AD9" w:rsidP="0004786C">
            <w:pPr>
              <w:rPr>
                <w:rFonts w:ascii="Arial" w:eastAsia="Calibri" w:hAnsi="Arial" w:cs="Arial"/>
                <w:sz w:val="20"/>
                <w:szCs w:val="20"/>
              </w:rPr>
            </w:pPr>
            <w:r>
              <w:rPr>
                <w:rFonts w:ascii="Arial" w:eastAsia="Calibri" w:hAnsi="Arial" w:cs="Arial"/>
                <w:sz w:val="20"/>
                <w:szCs w:val="20"/>
                <w:lang w:val="en-GB"/>
              </w:rPr>
              <w:t>In or after 2024</w:t>
            </w:r>
          </w:p>
        </w:tc>
        <w:tc>
          <w:tcPr>
            <w:tcW w:w="453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0C4275" w14:textId="77777777" w:rsidR="00322AD9" w:rsidRPr="008D49E6" w:rsidRDefault="00322AD9" w:rsidP="0004786C">
            <w:pPr>
              <w:rPr>
                <w:rFonts w:ascii="Arial" w:eastAsia="Calibri" w:hAnsi="Arial" w:cs="Arial"/>
                <w:sz w:val="20"/>
                <w:szCs w:val="20"/>
                <w:lang w:val="en-GB"/>
              </w:rPr>
            </w:pPr>
            <w:r>
              <w:rPr>
                <w:rFonts w:ascii="Arial" w:eastAsia="Calibri" w:hAnsi="Arial" w:cs="Arial"/>
                <w:sz w:val="20"/>
                <w:szCs w:val="20"/>
                <w:lang w:val="en-GB"/>
              </w:rPr>
              <w:t>Validity period is reduced by three years</w:t>
            </w:r>
          </w:p>
        </w:tc>
      </w:tr>
    </w:tbl>
    <w:p w14:paraId="1D7DFA5F" w14:textId="77777777" w:rsidR="00322AD9" w:rsidRPr="008D49E6" w:rsidRDefault="00322AD9" w:rsidP="00322AD9">
      <w:pPr>
        <w:rPr>
          <w:rFonts w:ascii="Arial" w:eastAsia="Calibri" w:hAnsi="Arial" w:cs="Arial"/>
          <w:sz w:val="20"/>
          <w:szCs w:val="20"/>
          <w:lang w:val="en-GB"/>
        </w:rPr>
      </w:pPr>
    </w:p>
    <w:p w14:paraId="04FACAE8" w14:textId="77777777" w:rsidR="00322AD9" w:rsidRPr="008D49E6" w:rsidRDefault="00322AD9" w:rsidP="003D1152">
      <w:pPr>
        <w:pStyle w:val="Kop2"/>
        <w:rPr>
          <w:rFonts w:eastAsia="Calibri"/>
          <w:lang w:val="en-GB"/>
        </w:rPr>
      </w:pPr>
      <w:bookmarkStart w:id="29" w:name="_Toc534204738"/>
      <w:bookmarkStart w:id="30" w:name="_Toc536010203"/>
      <w:r>
        <w:rPr>
          <w:rFonts w:eastAsia="Calibri"/>
          <w:bCs/>
          <w:iCs w:val="0"/>
          <w:lang w:val="en-GB"/>
        </w:rPr>
        <w:t>Allowance for foreign business travel up</w:t>
      </w:r>
      <w:bookmarkEnd w:id="29"/>
      <w:bookmarkEnd w:id="30"/>
    </w:p>
    <w:p w14:paraId="2446E932" w14:textId="77777777" w:rsidR="00322AD9" w:rsidRPr="008D49E6" w:rsidRDefault="00322AD9" w:rsidP="00322AD9">
      <w:pPr>
        <w:rPr>
          <w:rFonts w:ascii="Arial" w:eastAsia="Calibri" w:hAnsi="Arial" w:cs="Arial"/>
          <w:sz w:val="20"/>
          <w:szCs w:val="20"/>
          <w:u w:val="single"/>
          <w:lang w:val="en-GB"/>
        </w:rPr>
      </w:pPr>
    </w:p>
    <w:p w14:paraId="4F6CDE82"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The untaxed allowances for foreign business travel of employees were raised as per 1 October 2018. The maximum amounts are different for each country, city and region, and can be found in the Foreign Travel Decision. The allowances for domestic business travel have remained unchanged to date. Although these decisions were intended to be applied to civil servants on business travel, these can also be applied to employees if similar to civil servants on business travel in terms of their business expenses.</w:t>
      </w:r>
    </w:p>
    <w:p w14:paraId="1EA0F5AC" w14:textId="77777777" w:rsidR="00322AD9" w:rsidRPr="008D49E6" w:rsidRDefault="00322AD9" w:rsidP="00322AD9">
      <w:pPr>
        <w:rPr>
          <w:rFonts w:ascii="Arial" w:eastAsia="Calibri" w:hAnsi="Arial" w:cs="Arial"/>
          <w:sz w:val="20"/>
          <w:szCs w:val="20"/>
          <w:lang w:val="en-GB"/>
        </w:rPr>
      </w:pPr>
    </w:p>
    <w:p w14:paraId="1FFD9629"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Fixed limits</w:t>
      </w:r>
    </w:p>
    <w:p w14:paraId="5E767218"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An employee travelling abroad for the employer organisation is entitled to a fixed allowance for travel and lodging costs, which is untaxed subject to certain conditions. No invoices or receipts are required. If you pay out an amount exceeding the above maximum limits, the excess above the maximum must be classed as taxable wage or wages subject to tax deduction at source in the expense allowance scheme.</w:t>
      </w:r>
    </w:p>
    <w:p w14:paraId="0103DC56" w14:textId="77777777" w:rsidR="00322AD9" w:rsidRPr="008D49E6" w:rsidRDefault="00322AD9" w:rsidP="00322AD9">
      <w:pPr>
        <w:rPr>
          <w:rFonts w:ascii="Arial" w:eastAsia="Calibri" w:hAnsi="Arial" w:cs="Arial"/>
          <w:sz w:val="20"/>
          <w:szCs w:val="20"/>
          <w:lang w:val="en-GB"/>
        </w:rPr>
      </w:pPr>
    </w:p>
    <w:p w14:paraId="0C288C03"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Expenses plausible?</w:t>
      </w:r>
    </w:p>
    <w:p w14:paraId="0A900E7C" w14:textId="77777777" w:rsidR="00322AD9" w:rsidRDefault="00322AD9" w:rsidP="00322AD9">
      <w:pPr>
        <w:rPr>
          <w:rFonts w:ascii="Arial" w:eastAsia="Calibri" w:hAnsi="Arial" w:cs="Arial"/>
          <w:sz w:val="20"/>
          <w:szCs w:val="20"/>
          <w:lang w:val="en-GB"/>
        </w:rPr>
      </w:pPr>
      <w:r>
        <w:rPr>
          <w:rFonts w:ascii="Arial" w:eastAsia="Calibri" w:hAnsi="Arial" w:cs="Arial"/>
          <w:sz w:val="20"/>
          <w:szCs w:val="20"/>
          <w:lang w:val="en-GB"/>
        </w:rPr>
        <w:t>All expenses that are not plausible must be taxed. All expense allowances must be classed as wage, to be either taxed or included in the expense allowance scheme. If the cost of lodging is not plausible, you may grant a €11.34 allowance in accordance with the Travel Decree. However, this concerns a taxable allowance.</w:t>
      </w:r>
    </w:p>
    <w:p w14:paraId="5719D251" w14:textId="77777777" w:rsidR="00D57A7F" w:rsidRPr="008D49E6" w:rsidRDefault="00D57A7F" w:rsidP="00322AD9">
      <w:pPr>
        <w:rPr>
          <w:rFonts w:ascii="Arial" w:eastAsia="Calibri" w:hAnsi="Arial" w:cs="Arial"/>
          <w:sz w:val="20"/>
          <w:szCs w:val="20"/>
          <w:lang w:val="en-GB"/>
        </w:rPr>
      </w:pPr>
    </w:p>
    <w:p w14:paraId="022B8E9F" w14:textId="77777777" w:rsidR="003D1152" w:rsidRPr="008D49E6" w:rsidRDefault="003D1152" w:rsidP="003D1152">
      <w:pPr>
        <w:pStyle w:val="Default"/>
        <w:rPr>
          <w:sz w:val="20"/>
          <w:szCs w:val="20"/>
          <w:lang w:val="en-GB"/>
        </w:rPr>
      </w:pPr>
    </w:p>
    <w:p w14:paraId="14A65188" w14:textId="5E66130C" w:rsidR="00D57A7F" w:rsidRPr="00D57A7F" w:rsidRDefault="003D1152" w:rsidP="00D57A7F">
      <w:pPr>
        <w:shd w:val="clear" w:color="auto" w:fill="D9D9D9"/>
        <w:rPr>
          <w:rFonts w:ascii="Arial" w:hAnsi="Arial" w:cs="Arial"/>
          <w:sz w:val="20"/>
          <w:szCs w:val="20"/>
          <w:lang w:val="en-GB"/>
        </w:rPr>
      </w:pPr>
      <w:r>
        <w:rPr>
          <w:rFonts w:ascii="Arial" w:hAnsi="Arial" w:cs="Arial"/>
          <w:b/>
          <w:bCs/>
          <w:sz w:val="20"/>
          <w:szCs w:val="20"/>
          <w:lang w:val="en-GB"/>
        </w:rPr>
        <w:t>Tip!</w:t>
      </w:r>
      <w:r>
        <w:rPr>
          <w:rFonts w:ascii="Arial" w:hAnsi="Arial" w:cs="Arial"/>
          <w:sz w:val="20"/>
          <w:szCs w:val="20"/>
          <w:lang w:val="en-GB"/>
        </w:rPr>
        <w:br/>
        <w:t>Do you want to adhere to the Domestic or International Travel Decree? Please present your situation to the Tax and Customs Administration to ensure that your employees are similar to civil servants on business travel in terms of expenses.</w:t>
      </w:r>
    </w:p>
    <w:p w14:paraId="4B929BA8" w14:textId="77777777" w:rsidR="00D57A7F" w:rsidRPr="00D57A7F" w:rsidRDefault="00D57A7F" w:rsidP="00D57A7F">
      <w:pPr>
        <w:rPr>
          <w:rFonts w:ascii="Arial" w:eastAsia="Calibri" w:hAnsi="Arial" w:cs="Arial"/>
          <w:sz w:val="20"/>
          <w:szCs w:val="20"/>
          <w:lang w:val="en-GB"/>
        </w:rPr>
      </w:pPr>
    </w:p>
    <w:p w14:paraId="2FF04D90" w14:textId="77777777" w:rsidR="00322AD9" w:rsidRPr="008D49E6" w:rsidRDefault="00322AD9" w:rsidP="003D1152">
      <w:pPr>
        <w:pStyle w:val="Kop2"/>
        <w:rPr>
          <w:rFonts w:eastAsia="Calibri"/>
          <w:lang w:val="en-GB"/>
        </w:rPr>
      </w:pPr>
      <w:bookmarkStart w:id="31" w:name="_Toc534204740"/>
      <w:bookmarkStart w:id="32" w:name="_Toc536010204"/>
      <w:r>
        <w:rPr>
          <w:rFonts w:eastAsia="Calibri"/>
          <w:bCs/>
          <w:iCs w:val="0"/>
          <w:lang w:val="en-GB"/>
        </w:rPr>
        <w:t>Practice-based learning subsidy scheme extended to 2023</w:t>
      </w:r>
      <w:bookmarkEnd w:id="31"/>
      <w:bookmarkEnd w:id="32"/>
    </w:p>
    <w:p w14:paraId="30DC6701" w14:textId="77777777" w:rsidR="00322AD9" w:rsidRPr="008D49E6" w:rsidRDefault="00322AD9" w:rsidP="00322AD9">
      <w:pPr>
        <w:rPr>
          <w:rFonts w:eastAsia="Calibri"/>
          <w:lang w:val="en-GB"/>
        </w:rPr>
      </w:pPr>
    </w:p>
    <w:p w14:paraId="1268551A"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The Practice-based learning subsidy scheme was granted a final extension until 2023. In 2018, the Minister still announced cutting the scheme. There was major uncertainty about continuing the scheme even through 2019. The final decision ended all uncertainty. After budget negotiations, the agreement is that the subsidy scheme will be continued into 2023 at least. The subsidy ceilings will be announced on an annual basis.</w:t>
      </w:r>
    </w:p>
    <w:p w14:paraId="479581B7" w14:textId="77777777" w:rsidR="00322AD9" w:rsidRPr="008D49E6" w:rsidRDefault="00322AD9" w:rsidP="00322AD9">
      <w:pPr>
        <w:rPr>
          <w:rFonts w:ascii="Arial" w:eastAsia="Calibri" w:hAnsi="Arial" w:cs="Arial"/>
          <w:sz w:val="20"/>
          <w:szCs w:val="20"/>
          <w:lang w:val="en-GB"/>
        </w:rPr>
      </w:pPr>
    </w:p>
    <w:p w14:paraId="4D9E16F5"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The decision of the Minister of OCW (Education, Culture and Wellbeing) on a final extension of the Practice-based learning subsidy scheme until 2023 offers more certainty to the certified apprenticeship companies training senior secondary vocational education and training students in their company for several years. The implications for schools and students are also positive. The private sector has a growing need of well-trained employees, and continuing the subsidy scheme supports the TCA path for training trade and crafts apprentices.</w:t>
      </w:r>
    </w:p>
    <w:p w14:paraId="44E387CD" w14:textId="77777777" w:rsidR="00322AD9" w:rsidRPr="008D49E6" w:rsidRDefault="00322AD9" w:rsidP="00322AD9">
      <w:pPr>
        <w:rPr>
          <w:rFonts w:ascii="Arial" w:eastAsia="Calibri" w:hAnsi="Arial" w:cs="Arial"/>
          <w:sz w:val="20"/>
          <w:szCs w:val="20"/>
          <w:lang w:val="en-GB"/>
        </w:rPr>
      </w:pPr>
    </w:p>
    <w:p w14:paraId="67DD924C"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Extension of the scheme</w:t>
      </w:r>
    </w:p>
    <w:p w14:paraId="3A424ABF"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The intended budget cuts were dropped, and the Cabinet even expanded the target group: the subsidy for practice-based learning will also become available to higher professional education students for part-time courses or dual studies in the healthcare and wellbeing sector. This choice was made due to the current personnel shortage in this sector.</w:t>
      </w:r>
    </w:p>
    <w:p w14:paraId="1C3A52C3" w14:textId="77777777" w:rsidR="00322AD9" w:rsidRPr="008D49E6" w:rsidRDefault="00322AD9" w:rsidP="00322AD9">
      <w:pPr>
        <w:rPr>
          <w:rFonts w:ascii="Arial" w:eastAsia="Calibri" w:hAnsi="Arial" w:cs="Arial"/>
          <w:sz w:val="20"/>
          <w:szCs w:val="20"/>
          <w:lang w:val="en-GB"/>
        </w:rPr>
      </w:pPr>
    </w:p>
    <w:p w14:paraId="0485C05C" w14:textId="77777777" w:rsidR="00322AD9" w:rsidRPr="002358DC" w:rsidRDefault="00322AD9" w:rsidP="003D1152">
      <w:pPr>
        <w:pStyle w:val="Kop2"/>
        <w:rPr>
          <w:rFonts w:eastAsia="Calibri"/>
        </w:rPr>
      </w:pPr>
      <w:bookmarkStart w:id="33" w:name="_Toc534204741"/>
      <w:bookmarkStart w:id="34" w:name="_Toc536010205"/>
      <w:r>
        <w:rPr>
          <w:rFonts w:eastAsia="Calibri"/>
          <w:bCs/>
          <w:iCs w:val="0"/>
          <w:lang w:val="en-GB"/>
        </w:rPr>
        <w:t>WBSO rate up in 2019</w:t>
      </w:r>
      <w:bookmarkEnd w:id="33"/>
      <w:bookmarkEnd w:id="34"/>
    </w:p>
    <w:p w14:paraId="1A3141C5" w14:textId="77777777" w:rsidR="00322AD9" w:rsidRPr="002358DC" w:rsidRDefault="00322AD9" w:rsidP="00322AD9">
      <w:pPr>
        <w:rPr>
          <w:rFonts w:ascii="Arial" w:eastAsia="Calibri" w:hAnsi="Arial" w:cs="Arial"/>
          <w:sz w:val="20"/>
          <w:szCs w:val="20"/>
        </w:rPr>
      </w:pPr>
    </w:p>
    <w:p w14:paraId="6EB4ECD1" w14:textId="6F92425D" w:rsidR="00322AD9" w:rsidRDefault="00322AD9" w:rsidP="00322AD9">
      <w:pPr>
        <w:rPr>
          <w:rFonts w:ascii="Arial" w:eastAsia="Calibri" w:hAnsi="Arial" w:cs="Arial"/>
          <w:sz w:val="20"/>
          <w:szCs w:val="20"/>
        </w:rPr>
      </w:pPr>
      <w:r>
        <w:rPr>
          <w:rFonts w:ascii="Arial" w:eastAsia="Calibri" w:hAnsi="Arial" w:cs="Arial"/>
          <w:sz w:val="20"/>
          <w:szCs w:val="20"/>
          <w:lang w:val="en-GB"/>
        </w:rPr>
        <w:t>The percentage of the second WBSO bracket was increased from 14% to 16% as per 1 January 2019. By not abolishing dividend tax, an extra budget of €76 million has become structurally available for the Research &amp; Development Incentive Act. The expansion of this tax scheme for innovation projects will be introduced one year ahead of the previous planning. The Cabinet wanted to implement an increase in the rates from 2020 onwards. This increase will now be implemented as from 2019.</w:t>
      </w:r>
    </w:p>
    <w:p w14:paraId="2DEE0E5B" w14:textId="77777777" w:rsidR="00322AD9" w:rsidRPr="00BE4865" w:rsidRDefault="00322AD9" w:rsidP="00322AD9">
      <w:pPr>
        <w:rPr>
          <w:rFonts w:ascii="Arial" w:eastAsia="Calibri" w:hAnsi="Arial" w:cs="Arial"/>
          <w:sz w:val="20"/>
          <w:szCs w:val="20"/>
        </w:rPr>
      </w:pPr>
    </w:p>
    <w:p w14:paraId="20A9796D" w14:textId="77777777" w:rsidR="00322AD9" w:rsidRPr="00BE4865" w:rsidRDefault="00322AD9" w:rsidP="003D1152">
      <w:pPr>
        <w:pStyle w:val="Kop2"/>
        <w:rPr>
          <w:rFonts w:eastAsia="Calibri"/>
        </w:rPr>
      </w:pPr>
      <w:bookmarkStart w:id="35" w:name="_Toc534204742"/>
      <w:bookmarkStart w:id="36" w:name="_Toc536010206"/>
      <w:r>
        <w:rPr>
          <w:rFonts w:eastAsia="Calibri"/>
          <w:bCs/>
          <w:iCs w:val="0"/>
          <w:lang w:val="en-GB"/>
        </w:rPr>
        <w:t>Volunteering scheme 2019</w:t>
      </w:r>
      <w:bookmarkEnd w:id="35"/>
      <w:bookmarkEnd w:id="36"/>
    </w:p>
    <w:p w14:paraId="20A3FF33" w14:textId="77777777" w:rsidR="00322AD9" w:rsidRDefault="00322AD9" w:rsidP="00322AD9">
      <w:pPr>
        <w:rPr>
          <w:rFonts w:ascii="Arial" w:eastAsia="Calibri" w:hAnsi="Arial" w:cs="Arial"/>
          <w:sz w:val="20"/>
          <w:szCs w:val="20"/>
        </w:rPr>
      </w:pPr>
    </w:p>
    <w:p w14:paraId="6E784526" w14:textId="647D301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Volunteers are a major factor in today’s society. For this reason, the tax exemption for volunteers will be raised by €200 per year as from 2019. This implies that a volunteer may receive a maximum amount of €170 per month exempt of taxation for services performed as from 1 January 2019. This is capped at €1,700 per year. These amounts are raised for the first time since 2006.</w:t>
      </w:r>
    </w:p>
    <w:p w14:paraId="1701BD04" w14:textId="77777777" w:rsidR="00322AD9" w:rsidRPr="008D49E6" w:rsidRDefault="00322AD9" w:rsidP="00322AD9">
      <w:pPr>
        <w:rPr>
          <w:rFonts w:ascii="Arial" w:eastAsia="Calibri" w:hAnsi="Arial" w:cs="Arial"/>
          <w:b/>
          <w:sz w:val="20"/>
          <w:szCs w:val="20"/>
          <w:lang w:val="en-GB"/>
        </w:rPr>
      </w:pPr>
    </w:p>
    <w:p w14:paraId="38BCFFD2"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Terms and Conditions</w:t>
      </w:r>
    </w:p>
    <w:p w14:paraId="45AEEC10"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The condition that application of the volunteering scheme is limited to not-for-profit organisations remains unchanged. Regular for-profit companies are excluded from the scheme. This implies that the organisation should:</w:t>
      </w:r>
    </w:p>
    <w:p w14:paraId="31AABD05" w14:textId="77777777" w:rsidR="003D1152" w:rsidRPr="008D49E6" w:rsidRDefault="003D1152" w:rsidP="00322AD9">
      <w:pPr>
        <w:rPr>
          <w:rFonts w:ascii="Arial" w:eastAsia="Calibri" w:hAnsi="Arial" w:cs="Arial"/>
          <w:sz w:val="20"/>
          <w:szCs w:val="20"/>
          <w:lang w:val="en-GB"/>
        </w:rPr>
      </w:pPr>
    </w:p>
    <w:p w14:paraId="62A2F44F" w14:textId="77777777" w:rsidR="00322AD9" w:rsidRPr="008D49E6" w:rsidRDefault="00322AD9" w:rsidP="00C80C29">
      <w:pPr>
        <w:pStyle w:val="Lijstalinea"/>
        <w:numPr>
          <w:ilvl w:val="0"/>
          <w:numId w:val="15"/>
        </w:numPr>
        <w:rPr>
          <w:rFonts w:ascii="Arial" w:hAnsi="Arial" w:cs="Arial"/>
          <w:sz w:val="20"/>
          <w:szCs w:val="20"/>
          <w:lang w:val="en-GB"/>
        </w:rPr>
      </w:pPr>
      <w:r>
        <w:rPr>
          <w:rFonts w:ascii="Arial" w:hAnsi="Arial" w:cs="Arial"/>
          <w:sz w:val="20"/>
          <w:szCs w:val="20"/>
          <w:lang w:val="en-GB"/>
        </w:rPr>
        <w:t>be a Public Benefit Organisation (ANBI - PBO);</w:t>
      </w:r>
    </w:p>
    <w:p w14:paraId="20835404" w14:textId="77777777" w:rsidR="00322AD9" w:rsidRPr="008D49E6" w:rsidRDefault="00322AD9" w:rsidP="00C80C29">
      <w:pPr>
        <w:pStyle w:val="Lijstalinea"/>
        <w:numPr>
          <w:ilvl w:val="0"/>
          <w:numId w:val="15"/>
        </w:numPr>
        <w:rPr>
          <w:rFonts w:ascii="Arial" w:hAnsi="Arial" w:cs="Arial"/>
          <w:sz w:val="20"/>
          <w:szCs w:val="20"/>
          <w:lang w:val="en-GB"/>
        </w:rPr>
      </w:pPr>
      <w:r>
        <w:rPr>
          <w:rFonts w:ascii="Arial" w:hAnsi="Arial" w:cs="Arial"/>
          <w:sz w:val="20"/>
          <w:szCs w:val="20"/>
          <w:lang w:val="en-GB"/>
        </w:rPr>
        <w:t>a sports organisation or sports association;</w:t>
      </w:r>
    </w:p>
    <w:p w14:paraId="693AE4B5" w14:textId="77777777" w:rsidR="00322AD9" w:rsidRPr="008D49E6" w:rsidRDefault="00322AD9" w:rsidP="00C80C29">
      <w:pPr>
        <w:pStyle w:val="Lijstalinea"/>
        <w:numPr>
          <w:ilvl w:val="0"/>
          <w:numId w:val="15"/>
        </w:numPr>
        <w:rPr>
          <w:rFonts w:ascii="Arial" w:hAnsi="Arial" w:cs="Arial"/>
          <w:sz w:val="20"/>
          <w:szCs w:val="20"/>
          <w:lang w:val="en-GB"/>
        </w:rPr>
      </w:pPr>
      <w:r>
        <w:rPr>
          <w:rFonts w:ascii="Arial" w:hAnsi="Arial" w:cs="Arial"/>
          <w:sz w:val="20"/>
          <w:szCs w:val="20"/>
          <w:lang w:val="en-GB"/>
        </w:rPr>
        <w:t>a company not liable for corporate income tax.</w:t>
      </w:r>
    </w:p>
    <w:p w14:paraId="1364E9FE" w14:textId="77777777" w:rsidR="00322AD9" w:rsidRPr="008D49E6" w:rsidRDefault="00322AD9" w:rsidP="00322AD9">
      <w:pPr>
        <w:rPr>
          <w:rFonts w:ascii="Arial" w:eastAsia="Calibri" w:hAnsi="Arial" w:cs="Arial"/>
          <w:sz w:val="20"/>
          <w:szCs w:val="20"/>
          <w:lang w:val="en-GB"/>
        </w:rPr>
      </w:pPr>
    </w:p>
    <w:p w14:paraId="217180E1"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The volunteer may not also be employed in the organisation where he/she volunteers. Additionally, the volunteer fee received should not be proportional to the nature of the work and the time involved.</w:t>
      </w:r>
    </w:p>
    <w:p w14:paraId="7301DE44" w14:textId="77777777" w:rsidR="003D1152" w:rsidRPr="008D49E6" w:rsidRDefault="003D1152" w:rsidP="003D1152">
      <w:pPr>
        <w:pStyle w:val="Default"/>
        <w:rPr>
          <w:sz w:val="20"/>
          <w:szCs w:val="20"/>
          <w:lang w:val="en-GB"/>
        </w:rPr>
      </w:pPr>
    </w:p>
    <w:p w14:paraId="29B8C320" w14:textId="2E3D678D" w:rsidR="003D1152" w:rsidRPr="008D49E6" w:rsidRDefault="003D1152" w:rsidP="003D1152">
      <w:pPr>
        <w:shd w:val="clear" w:color="auto" w:fill="D9D9D9"/>
        <w:rPr>
          <w:rFonts w:ascii="Arial" w:hAnsi="Arial" w:cs="Arial"/>
          <w:sz w:val="20"/>
          <w:szCs w:val="20"/>
          <w:lang w:val="en-GB"/>
        </w:rPr>
      </w:pPr>
      <w:r>
        <w:rPr>
          <w:rFonts w:ascii="Arial" w:hAnsi="Arial" w:cs="Arial"/>
          <w:b/>
          <w:bCs/>
          <w:sz w:val="20"/>
          <w:szCs w:val="20"/>
          <w:lang w:val="en-GB"/>
        </w:rPr>
        <w:t>Please note!</w:t>
      </w:r>
      <w:r>
        <w:rPr>
          <w:rFonts w:ascii="Arial" w:hAnsi="Arial" w:cs="Arial"/>
          <w:sz w:val="20"/>
          <w:szCs w:val="20"/>
          <w:lang w:val="en-GB"/>
        </w:rPr>
        <w:br/>
        <w:t xml:space="preserve">Employment can be prevented by making use of a standard contract for volunteering. The work must be performed in accordance with the agreement. </w:t>
      </w:r>
    </w:p>
    <w:p w14:paraId="42424B61" w14:textId="77777777" w:rsidR="003D1152" w:rsidRPr="008D49E6" w:rsidRDefault="003D1152" w:rsidP="003D1152">
      <w:pPr>
        <w:pStyle w:val="Default"/>
        <w:rPr>
          <w:sz w:val="20"/>
          <w:szCs w:val="20"/>
          <w:lang w:val="en-GB"/>
        </w:rPr>
      </w:pPr>
    </w:p>
    <w:p w14:paraId="1F6CD65F" w14:textId="5D843371" w:rsidR="00322AD9" w:rsidRDefault="003D1152" w:rsidP="003D1152">
      <w:pPr>
        <w:shd w:val="clear" w:color="auto" w:fill="D9D9D9"/>
        <w:rPr>
          <w:rFonts w:ascii="Arial" w:hAnsi="Arial" w:cs="Arial"/>
          <w:sz w:val="20"/>
          <w:szCs w:val="20"/>
          <w:lang w:val="en-GB"/>
        </w:rPr>
      </w:pPr>
      <w:r>
        <w:rPr>
          <w:rFonts w:ascii="Arial" w:hAnsi="Arial" w:cs="Arial"/>
          <w:b/>
          <w:bCs/>
          <w:sz w:val="20"/>
          <w:szCs w:val="20"/>
          <w:lang w:val="en-GB"/>
        </w:rPr>
        <w:t>Please note!</w:t>
      </w:r>
      <w:r>
        <w:rPr>
          <w:rFonts w:ascii="Arial" w:hAnsi="Arial" w:cs="Arial"/>
          <w:sz w:val="20"/>
          <w:szCs w:val="20"/>
          <w:lang w:val="en-GB"/>
        </w:rPr>
        <w:br/>
        <w:t>If the maximum limits are exceeded, the volunteering scheme is no longer applicable. This means that the work may be classed as employment, depending on the facts and circumstances. If this is the case, payroll tax must be withheld.</w:t>
      </w:r>
    </w:p>
    <w:p w14:paraId="0CF58C74" w14:textId="77777777" w:rsidR="00D57A7F" w:rsidRPr="008D49E6" w:rsidRDefault="00D57A7F" w:rsidP="00D57A7F">
      <w:pPr>
        <w:rPr>
          <w:rFonts w:ascii="Arial" w:hAnsi="Arial" w:cs="Arial"/>
          <w:sz w:val="20"/>
          <w:szCs w:val="20"/>
          <w:lang w:val="en-GB"/>
        </w:rPr>
      </w:pPr>
    </w:p>
    <w:p w14:paraId="2D68C883" w14:textId="644D8185" w:rsidR="00322AD9" w:rsidRPr="008D49E6" w:rsidRDefault="003D1152" w:rsidP="003D1152">
      <w:pPr>
        <w:shd w:val="clear" w:color="auto" w:fill="D9D9D9"/>
        <w:rPr>
          <w:rFonts w:ascii="Arial" w:hAnsi="Arial" w:cs="Arial"/>
          <w:sz w:val="20"/>
          <w:szCs w:val="20"/>
          <w:lang w:val="en-GB"/>
        </w:rPr>
      </w:pPr>
      <w:r>
        <w:rPr>
          <w:rFonts w:ascii="Arial" w:hAnsi="Arial" w:cs="Arial"/>
          <w:b/>
          <w:bCs/>
          <w:sz w:val="20"/>
          <w:szCs w:val="20"/>
          <w:lang w:val="en-GB"/>
        </w:rPr>
        <w:t>Tip!</w:t>
      </w:r>
      <w:r>
        <w:rPr>
          <w:rFonts w:ascii="Arial" w:hAnsi="Arial" w:cs="Arial"/>
          <w:sz w:val="20"/>
          <w:szCs w:val="20"/>
          <w:lang w:val="en-GB"/>
        </w:rPr>
        <w:br/>
        <w:t>If you perform work as a volunteer for a PBO (Public Benefit Organisation), you may be eligible for a volunteer fee. If you waive this fee, then in some cases, this amount can be entered as a donation in your income tax statement.</w:t>
      </w:r>
    </w:p>
    <w:p w14:paraId="27E126CD" w14:textId="77777777" w:rsidR="00322AD9" w:rsidRPr="008D49E6" w:rsidRDefault="00322AD9" w:rsidP="00322AD9">
      <w:pPr>
        <w:rPr>
          <w:rFonts w:ascii="Arial" w:eastAsia="Calibri" w:hAnsi="Arial" w:cs="Arial"/>
          <w:sz w:val="20"/>
          <w:szCs w:val="20"/>
          <w:lang w:val="en-GB"/>
        </w:rPr>
      </w:pPr>
    </w:p>
    <w:p w14:paraId="039A5ED1" w14:textId="77777777" w:rsidR="00322AD9" w:rsidRDefault="00322AD9" w:rsidP="003D1152">
      <w:pPr>
        <w:pStyle w:val="Kop2"/>
        <w:rPr>
          <w:rFonts w:eastAsia="Calibri"/>
        </w:rPr>
      </w:pPr>
      <w:bookmarkStart w:id="37" w:name="_Toc534204743"/>
      <w:bookmarkStart w:id="38" w:name="_Toc536010207"/>
      <w:r>
        <w:rPr>
          <w:rFonts w:eastAsia="Calibri"/>
          <w:bCs/>
          <w:iCs w:val="0"/>
          <w:lang w:val="en-GB"/>
        </w:rPr>
        <w:t>Company bicycle</w:t>
      </w:r>
      <w:bookmarkEnd w:id="37"/>
      <w:bookmarkEnd w:id="38"/>
    </w:p>
    <w:p w14:paraId="54343152" w14:textId="77777777" w:rsidR="00322AD9" w:rsidRDefault="00322AD9" w:rsidP="00322AD9">
      <w:pPr>
        <w:rPr>
          <w:rFonts w:ascii="Arial" w:eastAsia="Calibri" w:hAnsi="Arial" w:cs="Arial"/>
          <w:sz w:val="20"/>
          <w:szCs w:val="20"/>
        </w:rPr>
      </w:pPr>
    </w:p>
    <w:p w14:paraId="7154F5DF"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 xml:space="preserve">The current tax rules to determine the value of the private benefit of a bicycle made available by the company are in reality experienced as an obstruction when making a bicycle available. As from 1 January 2020, the intention is to determine the value of the private benefit of a company bicycle using a fixed amount. A fixed tax addition rate of 7% per year of the recommended retail price (i.e. the original value of the new bicycle) is applied. This is the price of the bicycle based on the public list price of the manufacturer or importer for selling to consumers. The recommended retail price provides a uniform starting point to determine the value of the private benefit. </w:t>
      </w:r>
    </w:p>
    <w:p w14:paraId="6369591B" w14:textId="77777777" w:rsidR="00322AD9" w:rsidRPr="008D49E6" w:rsidRDefault="00322AD9" w:rsidP="00322AD9">
      <w:pPr>
        <w:rPr>
          <w:rFonts w:ascii="Arial" w:eastAsia="Calibri" w:hAnsi="Arial" w:cs="Arial"/>
          <w:sz w:val="20"/>
          <w:szCs w:val="20"/>
          <w:lang w:val="en-GB"/>
        </w:rPr>
      </w:pPr>
    </w:p>
    <w:p w14:paraId="5B8C4CA1"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 xml:space="preserve">There is no differentiated rate between different types, such as city bikes, electric city bikes, cargo bikes and so-called speed pedelecs (bikes with electric engines and a moped licence). </w:t>
      </w:r>
    </w:p>
    <w:p w14:paraId="3064A4F1" w14:textId="77777777" w:rsidR="00322AD9" w:rsidRPr="008D49E6" w:rsidRDefault="00322AD9" w:rsidP="00322AD9">
      <w:pPr>
        <w:rPr>
          <w:rFonts w:ascii="Arial" w:eastAsia="Calibri" w:hAnsi="Arial" w:cs="Arial"/>
          <w:sz w:val="20"/>
          <w:szCs w:val="20"/>
          <w:lang w:val="en-GB"/>
        </w:rPr>
      </w:pPr>
    </w:p>
    <w:p w14:paraId="64194181" w14:textId="0C6EB532"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For employees who may use the company bicycle for private purposes and/or for commuting, a tax addition will be applied, as commuting mileage is classed as private use. The employer is permitted to request an employee contribution for private use of the bicycle. This employee contribution may be deducted from the tax addition.</w:t>
      </w:r>
    </w:p>
    <w:p w14:paraId="37F2E2C8" w14:textId="77777777" w:rsidR="00322AD9" w:rsidRPr="008D49E6" w:rsidRDefault="00322AD9" w:rsidP="00322AD9">
      <w:pPr>
        <w:rPr>
          <w:rFonts w:ascii="Arial" w:hAnsi="Arial"/>
          <w:b/>
          <w:bCs/>
          <w:sz w:val="20"/>
          <w:szCs w:val="20"/>
          <w:lang w:val="en-GB"/>
        </w:rPr>
      </w:pPr>
    </w:p>
    <w:p w14:paraId="7BF2E23A" w14:textId="77777777" w:rsidR="00322AD9" w:rsidRPr="008D49E6" w:rsidRDefault="00322AD9" w:rsidP="003D1152">
      <w:pPr>
        <w:pStyle w:val="Kop2"/>
        <w:rPr>
          <w:lang w:val="en-GB"/>
        </w:rPr>
      </w:pPr>
      <w:bookmarkStart w:id="39" w:name="_Toc534204746"/>
      <w:bookmarkStart w:id="40" w:name="_Toc536010208"/>
      <w:r>
        <w:rPr>
          <w:bCs/>
          <w:iCs w:val="0"/>
          <w:lang w:val="en-GB"/>
        </w:rPr>
        <w:t>VAT application on temporary workers has changed</w:t>
      </w:r>
      <w:bookmarkEnd w:id="39"/>
      <w:bookmarkEnd w:id="40"/>
    </w:p>
    <w:p w14:paraId="2FDDC787" w14:textId="77777777" w:rsidR="00322AD9" w:rsidRPr="008D49E6" w:rsidRDefault="00322AD9" w:rsidP="00322AD9">
      <w:pPr>
        <w:rPr>
          <w:rFonts w:ascii="Arial" w:hAnsi="Arial"/>
          <w:b/>
          <w:bCs/>
          <w:sz w:val="28"/>
          <w:lang w:val="en-GB"/>
        </w:rPr>
      </w:pPr>
    </w:p>
    <w:p w14:paraId="6A3C54A4" w14:textId="77777777" w:rsidR="00322AD9" w:rsidRPr="008D49E6" w:rsidRDefault="00322AD9" w:rsidP="00322AD9">
      <w:pPr>
        <w:rPr>
          <w:rFonts w:ascii="Arial" w:hAnsi="Arial"/>
          <w:bCs/>
          <w:sz w:val="20"/>
          <w:szCs w:val="20"/>
          <w:lang w:val="en-GB"/>
        </w:rPr>
      </w:pPr>
      <w:r>
        <w:rPr>
          <w:rFonts w:ascii="Arial" w:hAnsi="Arial"/>
          <w:sz w:val="20"/>
          <w:szCs w:val="20"/>
          <w:lang w:val="en-GB"/>
        </w:rPr>
        <w:t>The decision on the VAT application regarding temporary agency workers has been updated and the changes became effective on 29 December 2018.</w:t>
      </w:r>
    </w:p>
    <w:p w14:paraId="2788062D" w14:textId="77777777" w:rsidR="00322AD9" w:rsidRPr="008D49E6" w:rsidRDefault="00322AD9" w:rsidP="00322AD9">
      <w:pPr>
        <w:rPr>
          <w:rFonts w:ascii="Arial" w:hAnsi="Arial"/>
          <w:bCs/>
          <w:sz w:val="22"/>
          <w:szCs w:val="22"/>
          <w:lang w:val="en-GB"/>
        </w:rPr>
      </w:pPr>
    </w:p>
    <w:p w14:paraId="2861A3B9" w14:textId="77777777" w:rsidR="00322AD9" w:rsidRPr="008D49E6" w:rsidRDefault="00322AD9" w:rsidP="00322AD9">
      <w:pPr>
        <w:rPr>
          <w:rFonts w:ascii="Arial" w:hAnsi="Arial"/>
          <w:bCs/>
          <w:sz w:val="20"/>
          <w:szCs w:val="20"/>
          <w:lang w:val="en-GB"/>
        </w:rPr>
      </w:pPr>
      <w:r>
        <w:rPr>
          <w:rFonts w:ascii="Arial" w:hAnsi="Arial"/>
          <w:sz w:val="20"/>
          <w:szCs w:val="20"/>
          <w:lang w:val="en-GB"/>
        </w:rPr>
        <w:t>Specific details clarify when making temporary agency workers available is eligible for VAT exemption, or when approval is granted for not charging VAT. Application of such approval is subject to the condition that the temporary agency is able to invoke the exemption set out in Section 11, first subsection under f of the 1968 Value-Added Tax Act.</w:t>
      </w:r>
    </w:p>
    <w:p w14:paraId="44D2AC99" w14:textId="77777777" w:rsidR="00322AD9" w:rsidRPr="008D49E6" w:rsidRDefault="00322AD9" w:rsidP="00322AD9">
      <w:pPr>
        <w:rPr>
          <w:rFonts w:ascii="Arial" w:hAnsi="Arial"/>
          <w:bCs/>
          <w:sz w:val="20"/>
          <w:szCs w:val="20"/>
          <w:lang w:val="en-GB"/>
        </w:rPr>
      </w:pPr>
    </w:p>
    <w:p w14:paraId="613452DB" w14:textId="77777777" w:rsidR="00322AD9" w:rsidRPr="008D49E6" w:rsidRDefault="00322AD9" w:rsidP="00322AD9">
      <w:pPr>
        <w:rPr>
          <w:rFonts w:ascii="Arial" w:hAnsi="Arial"/>
          <w:bCs/>
          <w:sz w:val="20"/>
          <w:szCs w:val="20"/>
          <w:lang w:val="en-GB"/>
        </w:rPr>
      </w:pPr>
      <w:r>
        <w:rPr>
          <w:rFonts w:ascii="Arial" w:hAnsi="Arial"/>
          <w:sz w:val="20"/>
          <w:szCs w:val="20"/>
          <w:lang w:val="en-GB"/>
        </w:rPr>
        <w:t>Furthermore, situations are set out where exemptions may be granted for making temporary agency workers available in the context of an exempted performance or main performance.</w:t>
      </w:r>
    </w:p>
    <w:p w14:paraId="2F5B7D44" w14:textId="77777777" w:rsidR="00322AD9" w:rsidRPr="008D49E6" w:rsidRDefault="00322AD9" w:rsidP="00322AD9">
      <w:pPr>
        <w:rPr>
          <w:rFonts w:ascii="Arial" w:hAnsi="Arial"/>
          <w:bCs/>
          <w:sz w:val="20"/>
          <w:szCs w:val="20"/>
          <w:lang w:val="en-GB"/>
        </w:rPr>
      </w:pPr>
    </w:p>
    <w:p w14:paraId="1C0D1BE3" w14:textId="4CAE4621" w:rsidR="00322AD9" w:rsidRPr="008D49E6" w:rsidRDefault="00322AD9" w:rsidP="003D1152">
      <w:pPr>
        <w:rPr>
          <w:rFonts w:ascii="Arial" w:hAnsi="Arial"/>
          <w:bCs/>
          <w:sz w:val="20"/>
          <w:szCs w:val="20"/>
          <w:lang w:val="en-GB"/>
        </w:rPr>
      </w:pPr>
      <w:r>
        <w:rPr>
          <w:rFonts w:ascii="Arial" w:hAnsi="Arial"/>
          <w:sz w:val="20"/>
          <w:szCs w:val="20"/>
          <w:lang w:val="en-GB"/>
        </w:rPr>
        <w:t xml:space="preserve">For more information, please see: </w:t>
      </w:r>
      <w:hyperlink r:id="rId12" w:history="1">
        <w:r>
          <w:rPr>
            <w:rStyle w:val="Hyperlink"/>
            <w:rFonts w:ascii="Arial" w:hAnsi="Arial"/>
            <w:sz w:val="20"/>
            <w:szCs w:val="20"/>
            <w:lang w:val="en-GB"/>
          </w:rPr>
          <w:t>Decree of 14 December 2018</w:t>
        </w:r>
      </w:hyperlink>
      <w:r>
        <w:rPr>
          <w:rStyle w:val="Hyperlink"/>
          <w:rFonts w:ascii="Arial" w:hAnsi="Arial"/>
          <w:color w:val="auto"/>
          <w:sz w:val="20"/>
          <w:szCs w:val="20"/>
          <w:u w:val="none"/>
          <w:lang w:val="en-GB"/>
        </w:rPr>
        <w:t>.</w:t>
      </w:r>
      <w:bookmarkStart w:id="41" w:name="_Toc534204747"/>
    </w:p>
    <w:p w14:paraId="3DF386B7" w14:textId="77777777" w:rsidR="00322AD9" w:rsidRPr="008D49E6" w:rsidRDefault="00322AD9" w:rsidP="00322AD9">
      <w:pPr>
        <w:rPr>
          <w:lang w:val="en-GB"/>
        </w:rPr>
      </w:pPr>
    </w:p>
    <w:p w14:paraId="4283FD9C" w14:textId="77777777" w:rsidR="00322AD9" w:rsidRPr="00AC3E2E" w:rsidRDefault="00322AD9" w:rsidP="003D1152">
      <w:pPr>
        <w:pStyle w:val="Kop2"/>
      </w:pPr>
      <w:bookmarkStart w:id="42" w:name="_Toc534204773"/>
      <w:bookmarkStart w:id="43" w:name="_Toc536010209"/>
      <w:r>
        <w:rPr>
          <w:bCs/>
          <w:iCs w:val="0"/>
          <w:lang w:val="en-GB"/>
        </w:rPr>
        <w:t>Wkr margin</w:t>
      </w:r>
      <w:bookmarkEnd w:id="42"/>
      <w:bookmarkEnd w:id="43"/>
    </w:p>
    <w:p w14:paraId="5CA52F6C" w14:textId="77777777" w:rsidR="00322AD9" w:rsidRPr="0070692D" w:rsidRDefault="00322AD9" w:rsidP="00322AD9">
      <w:pPr>
        <w:rPr>
          <w:rFonts w:ascii="Arial" w:eastAsia="Calibri" w:hAnsi="Arial" w:cs="Arial"/>
          <w:sz w:val="20"/>
          <w:szCs w:val="20"/>
          <w:u w:val="single"/>
        </w:rPr>
      </w:pPr>
    </w:p>
    <w:p w14:paraId="481935B3"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 xml:space="preserve">Benefits and allowances for your personnel, for example bonuses, can be untaxed if you include this in the expense allowance scheme. It is important in this context to make maximum use of the so-called tax-free margin of the expense allowance scheme. This is not always the case at all. </w:t>
      </w:r>
    </w:p>
    <w:p w14:paraId="0A2DEA59" w14:textId="77777777" w:rsidR="00322AD9" w:rsidRPr="008D49E6" w:rsidRDefault="00322AD9" w:rsidP="00322AD9">
      <w:pPr>
        <w:rPr>
          <w:rFonts w:ascii="Arial" w:eastAsia="Calibri" w:hAnsi="Arial" w:cs="Arial"/>
          <w:sz w:val="20"/>
          <w:szCs w:val="20"/>
          <w:lang w:val="en-GB"/>
        </w:rPr>
      </w:pPr>
    </w:p>
    <w:p w14:paraId="1E841567"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Expense Allowance Scheme</w:t>
      </w:r>
    </w:p>
    <w:p w14:paraId="45DF9768" w14:textId="1156B392"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According to the expense allowance scheme, you may spend 1.2% of the total payroll to untaxed benefits and allowances. This is referred to as the tax-free margin or discretionary margin. This would include items such as a staff party or a Christmas hamper. If you exceed the limit of 1.2%, the employer is charged an 80% final levy. Another possibility is to class the benefit or allowance as part of the wage. In that case, the employee pays tax on the relevant amount.</w:t>
      </w:r>
    </w:p>
    <w:p w14:paraId="46B80DF4" w14:textId="77777777" w:rsidR="0088055B" w:rsidRPr="008D49E6" w:rsidRDefault="0088055B" w:rsidP="00322AD9">
      <w:pPr>
        <w:rPr>
          <w:rFonts w:ascii="Arial" w:eastAsia="Calibri" w:hAnsi="Arial" w:cs="Arial"/>
          <w:b/>
          <w:sz w:val="20"/>
          <w:szCs w:val="20"/>
          <w:lang w:val="en-GB"/>
        </w:rPr>
      </w:pPr>
    </w:p>
    <w:p w14:paraId="2DC04899"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Using the tax-free margin</w:t>
      </w:r>
    </w:p>
    <w:p w14:paraId="44ADEAED"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It is important to ensure maximum use of the tax-free margin in your remuneration systems. After all, any amounts in the tax-free margin are fully exempt of taxation. This means tax-free for both the employer and the employee.</w:t>
      </w:r>
    </w:p>
    <w:p w14:paraId="5F1A5BAA" w14:textId="77777777" w:rsidR="00322AD9" w:rsidRPr="008D49E6" w:rsidRDefault="00322AD9" w:rsidP="00322AD9">
      <w:pPr>
        <w:rPr>
          <w:rFonts w:ascii="Arial" w:eastAsia="Calibri" w:hAnsi="Arial" w:cs="Arial"/>
          <w:sz w:val="20"/>
          <w:szCs w:val="20"/>
          <w:lang w:val="en-GB"/>
        </w:rPr>
      </w:pPr>
    </w:p>
    <w:p w14:paraId="113B733C"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Customary benefit criterion</w:t>
      </w:r>
    </w:p>
    <w:p w14:paraId="6376BFBA" w14:textId="54C52BF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In principle, you are free to provide untaxed bonuses, as long as you do not exceed the tax-free margin. However, this is subject to the condition that the allowance should be customary. The tax authorities will not be fussy about untaxed benefits and allowances up to an amount of €2,400 per employee per year, assuming that the relevant benefits and allowances are customary.</w:t>
      </w:r>
    </w:p>
    <w:p w14:paraId="5DA63D9A" w14:textId="77777777" w:rsidR="00322AD9" w:rsidRPr="008D49E6" w:rsidRDefault="00322AD9" w:rsidP="00322AD9">
      <w:pPr>
        <w:rPr>
          <w:rFonts w:ascii="Arial" w:eastAsia="Calibri" w:hAnsi="Arial" w:cs="Arial"/>
          <w:sz w:val="20"/>
          <w:szCs w:val="20"/>
          <w:lang w:val="en-GB"/>
        </w:rPr>
      </w:pPr>
    </w:p>
    <w:p w14:paraId="4D962086" w14:textId="77777777" w:rsidR="00322AD9" w:rsidRPr="003D1152" w:rsidRDefault="00322AD9" w:rsidP="003D1152">
      <w:pPr>
        <w:pStyle w:val="Kop2"/>
        <w:rPr>
          <w:iCs w:val="0"/>
        </w:rPr>
      </w:pPr>
      <w:bookmarkStart w:id="44" w:name="_Toc534204768"/>
      <w:bookmarkStart w:id="45" w:name="_Toc536010210"/>
      <w:r>
        <w:rPr>
          <w:bCs/>
          <w:iCs w:val="0"/>
          <w:lang w:val="en-GB"/>
        </w:rPr>
        <w:t xml:space="preserve">Training deduction </w:t>
      </w:r>
      <w:bookmarkEnd w:id="44"/>
      <w:r>
        <w:rPr>
          <w:bCs/>
          <w:iCs w:val="0"/>
          <w:lang w:val="en-GB"/>
        </w:rPr>
        <w:t>2019</w:t>
      </w:r>
      <w:bookmarkEnd w:id="45"/>
    </w:p>
    <w:p w14:paraId="136A9DE2" w14:textId="77777777" w:rsidR="00322AD9" w:rsidRPr="000A2ABB" w:rsidRDefault="00322AD9" w:rsidP="00322AD9">
      <w:pPr>
        <w:rPr>
          <w:rFonts w:ascii="Arial" w:eastAsia="Calibri" w:hAnsi="Arial" w:cs="Arial"/>
          <w:sz w:val="20"/>
          <w:szCs w:val="20"/>
        </w:rPr>
      </w:pPr>
    </w:p>
    <w:p w14:paraId="7C379B79"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 xml:space="preserve">The Coalition Agreement sets out that the tax deduction for training and education will be replaced </w:t>
      </w:r>
    </w:p>
    <w:p w14:paraId="7C546FE2"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by an individual learning fund. The training deduction would be eliminated for that reason; however, this measure will still continue through the end of 2019. The Cabinet chooses to first negotiate the terms of introducing an alternative.</w:t>
      </w:r>
    </w:p>
    <w:p w14:paraId="4E5525EA" w14:textId="77777777" w:rsidR="00322AD9" w:rsidRPr="008D49E6" w:rsidRDefault="00322AD9" w:rsidP="00322AD9">
      <w:pPr>
        <w:rPr>
          <w:rFonts w:ascii="Arial" w:eastAsia="Calibri" w:hAnsi="Arial" w:cs="Arial"/>
          <w:sz w:val="20"/>
          <w:szCs w:val="20"/>
          <w:lang w:val="en-GB"/>
        </w:rPr>
      </w:pPr>
    </w:p>
    <w:p w14:paraId="339C62BE"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Deduction for training expenses</w:t>
      </w:r>
    </w:p>
    <w:p w14:paraId="1184D99C"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A deduction is currently available for a number of training expenses. This concerns fees for training, education and exams and for mandatory class materials and personal protection equipment.</w:t>
      </w:r>
    </w:p>
    <w:p w14:paraId="309CED32" w14:textId="77777777" w:rsidR="00322AD9" w:rsidRPr="008D49E6" w:rsidRDefault="00322AD9" w:rsidP="00322AD9">
      <w:pPr>
        <w:rPr>
          <w:rFonts w:ascii="Arial" w:eastAsia="Calibri" w:hAnsi="Arial" w:cs="Arial"/>
          <w:sz w:val="20"/>
          <w:szCs w:val="20"/>
          <w:lang w:val="en-GB"/>
        </w:rPr>
      </w:pPr>
    </w:p>
    <w:p w14:paraId="0F44617F"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Threshold and ceiling</w:t>
      </w:r>
    </w:p>
    <w:p w14:paraId="4D5CFFCE"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 xml:space="preserve">The rule has a threshold and ceiling, and not all training expenses incurred will be eligible for deduction. For example, the cost of commuting to and from courses is not deductible. This means that the first </w:t>
      </w:r>
    </w:p>
    <w:p w14:paraId="03CE644C"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€250 of expenses cannot be deducted and that all expenses exceeding €15,000 are not eligible for deduction if these relate to a study outside the standard study period (see the website of the Tax and Customs Administration).</w:t>
      </w:r>
    </w:p>
    <w:p w14:paraId="1FEA5EA6" w14:textId="77777777" w:rsidR="00322AD9" w:rsidRPr="008D49E6" w:rsidRDefault="00322AD9" w:rsidP="00322AD9">
      <w:pPr>
        <w:rPr>
          <w:rFonts w:ascii="Arial" w:eastAsia="Calibri" w:hAnsi="Arial" w:cs="Arial"/>
          <w:sz w:val="20"/>
          <w:szCs w:val="20"/>
          <w:lang w:val="en-GB"/>
        </w:rPr>
      </w:pPr>
    </w:p>
    <w:p w14:paraId="7D3DD221"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No alternative</w:t>
      </w:r>
    </w:p>
    <w:p w14:paraId="47B3354C"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There will be no alternative for the deduction in 2019. An alternative must fulfil the objective of a life-long learning policy. Agreements will be made accordingly with relevant parties.</w:t>
      </w:r>
    </w:p>
    <w:p w14:paraId="41108172" w14:textId="77777777" w:rsidR="00322AD9" w:rsidRPr="008D49E6" w:rsidRDefault="00322AD9" w:rsidP="00322AD9">
      <w:pPr>
        <w:rPr>
          <w:rFonts w:ascii="Arial" w:eastAsia="Calibri" w:hAnsi="Arial" w:cs="Arial"/>
          <w:sz w:val="20"/>
          <w:szCs w:val="20"/>
          <w:lang w:val="en-GB"/>
        </w:rPr>
      </w:pPr>
    </w:p>
    <w:p w14:paraId="3142CE47"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Deductible from profit?</w:t>
      </w:r>
    </w:p>
    <w:p w14:paraId="1EFF13F6" w14:textId="61F90F9F"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Training expenses that relate to keeping your employees’ expertise up to date can be charged to the profit in the corporate income tax. If your employee expands his/her professional expertise, you may make use of the training deduction.</w:t>
      </w:r>
    </w:p>
    <w:p w14:paraId="062FF30C" w14:textId="77777777" w:rsidR="004746E7" w:rsidRPr="008D49E6" w:rsidRDefault="004746E7" w:rsidP="004746E7">
      <w:pPr>
        <w:pStyle w:val="Default"/>
        <w:rPr>
          <w:sz w:val="20"/>
          <w:szCs w:val="20"/>
          <w:lang w:val="en-GB"/>
        </w:rPr>
      </w:pPr>
    </w:p>
    <w:p w14:paraId="788BB5D3" w14:textId="10999D92" w:rsidR="004746E7" w:rsidRPr="008D49E6" w:rsidRDefault="004746E7" w:rsidP="004746E7">
      <w:pPr>
        <w:shd w:val="clear" w:color="auto" w:fill="D9D9D9"/>
        <w:rPr>
          <w:rFonts w:ascii="Arial" w:hAnsi="Arial" w:cs="Arial"/>
          <w:sz w:val="20"/>
          <w:szCs w:val="20"/>
          <w:lang w:val="en-GB"/>
        </w:rPr>
      </w:pPr>
      <w:r>
        <w:rPr>
          <w:rFonts w:ascii="Arial" w:hAnsi="Arial" w:cs="Arial"/>
          <w:b/>
          <w:bCs/>
          <w:sz w:val="20"/>
          <w:szCs w:val="20"/>
          <w:lang w:val="en-GB"/>
        </w:rPr>
        <w:t>Please note!</w:t>
      </w:r>
      <w:r>
        <w:rPr>
          <w:rFonts w:ascii="Arial" w:hAnsi="Arial" w:cs="Arial"/>
          <w:sz w:val="20"/>
          <w:szCs w:val="20"/>
          <w:lang w:val="en-GB"/>
        </w:rPr>
        <w:br/>
        <w:t>It is often better to charge the training expenses to the profit, as this is not subject to a threshold, ceiling and/or limitations. However, the SME profit exemption applies, which implies that just 86% of the expenses can be deducted.</w:t>
      </w:r>
    </w:p>
    <w:p w14:paraId="3BF902AE" w14:textId="77777777" w:rsidR="004746E7" w:rsidRPr="008D49E6" w:rsidRDefault="004746E7" w:rsidP="004746E7">
      <w:pPr>
        <w:pStyle w:val="Default"/>
        <w:rPr>
          <w:sz w:val="20"/>
          <w:szCs w:val="20"/>
          <w:lang w:val="en-GB"/>
        </w:rPr>
      </w:pPr>
    </w:p>
    <w:p w14:paraId="5AE8B330" w14:textId="45633517" w:rsidR="004746E7" w:rsidRPr="008D49E6" w:rsidRDefault="004746E7" w:rsidP="004746E7">
      <w:pPr>
        <w:shd w:val="clear" w:color="auto" w:fill="D9D9D9"/>
        <w:rPr>
          <w:rFonts w:ascii="Arial" w:hAnsi="Arial" w:cs="Arial"/>
          <w:sz w:val="20"/>
          <w:szCs w:val="20"/>
          <w:lang w:val="en-GB"/>
        </w:rPr>
      </w:pPr>
      <w:r>
        <w:rPr>
          <w:rFonts w:ascii="Arial" w:hAnsi="Arial" w:cs="Arial"/>
          <w:b/>
          <w:bCs/>
          <w:sz w:val="20"/>
          <w:szCs w:val="20"/>
          <w:lang w:val="en-GB"/>
        </w:rPr>
        <w:t>Tip!</w:t>
      </w:r>
      <w:r>
        <w:rPr>
          <w:rFonts w:ascii="Arial" w:hAnsi="Arial" w:cs="Arial"/>
          <w:sz w:val="20"/>
          <w:szCs w:val="20"/>
          <w:lang w:val="en-GB"/>
        </w:rPr>
        <w:br/>
        <w:t>As a DGA of a limited liability company, you may have training costs for expanding and for updating your knowledge charged to the company untaxed. This is subject to the requirement that the training must be designed to enhance your income.</w:t>
      </w:r>
    </w:p>
    <w:p w14:paraId="58F2E767" w14:textId="77777777" w:rsidR="00322AD9" w:rsidRDefault="00322AD9" w:rsidP="00322AD9">
      <w:pPr>
        <w:rPr>
          <w:rFonts w:ascii="Arial" w:hAnsi="Arial" w:cs="Arial"/>
          <w:sz w:val="20"/>
          <w:lang w:val="en-GB"/>
        </w:rPr>
      </w:pPr>
    </w:p>
    <w:p w14:paraId="79A44317" w14:textId="77777777" w:rsidR="00322AD9" w:rsidRDefault="00322AD9" w:rsidP="004746E7">
      <w:pPr>
        <w:pStyle w:val="Kop1"/>
      </w:pPr>
      <w:bookmarkStart w:id="46" w:name="_Toc536010211"/>
      <w:r>
        <w:rPr>
          <w:lang w:val="en-GB"/>
        </w:rPr>
        <w:t>GDPR</w:t>
      </w:r>
      <w:bookmarkEnd w:id="41"/>
      <w:bookmarkEnd w:id="46"/>
    </w:p>
    <w:p w14:paraId="2DAEC00B" w14:textId="77777777" w:rsidR="00322AD9" w:rsidRDefault="00322AD9" w:rsidP="00D57A7F"/>
    <w:p w14:paraId="240A350C" w14:textId="77777777" w:rsidR="00322AD9" w:rsidRDefault="00322AD9" w:rsidP="00D57A7F">
      <w:pPr>
        <w:rPr>
          <w:rFonts w:ascii="Arial" w:hAnsi="Arial" w:cs="Arial"/>
          <w:sz w:val="20"/>
          <w:szCs w:val="20"/>
          <w:lang w:val="en-GB"/>
        </w:rPr>
      </w:pPr>
      <w:r>
        <w:rPr>
          <w:rFonts w:ascii="Arial" w:hAnsi="Arial" w:cs="Arial"/>
          <w:sz w:val="20"/>
          <w:szCs w:val="20"/>
          <w:lang w:val="en-GB"/>
        </w:rPr>
        <w:t>On 25 May 2018, the General Data Protection Regulation (GDPR) has become fully applicable. The GDPR replaces the Wbp (Private Data Protection Act), which was abolished as per the same date. The GDPR introduces a number of new obligations and responsibilities. All companies and organisations that process private data must comply with the provisions of the GDPR - also smaller SMEs and self-employed contractors and professionals. The Private Data Authority is in charge of monitoring the application of the GDPR.</w:t>
      </w:r>
    </w:p>
    <w:p w14:paraId="13B59F86" w14:textId="77777777" w:rsidR="00D57A7F" w:rsidRPr="008D49E6" w:rsidRDefault="00D57A7F" w:rsidP="00322AD9">
      <w:pPr>
        <w:rPr>
          <w:rFonts w:ascii="Arial" w:hAnsi="Arial" w:cs="Arial"/>
          <w:sz w:val="20"/>
          <w:szCs w:val="20"/>
          <w:lang w:val="en-GB"/>
        </w:rPr>
      </w:pPr>
    </w:p>
    <w:p w14:paraId="7A1019A3" w14:textId="77777777" w:rsidR="00322AD9" w:rsidRPr="00BE4865" w:rsidRDefault="00322AD9" w:rsidP="004746E7">
      <w:pPr>
        <w:pStyle w:val="Kop2"/>
        <w:rPr>
          <w:rFonts w:eastAsia="Calibri"/>
        </w:rPr>
      </w:pPr>
      <w:bookmarkStart w:id="47" w:name="_Toc534204748"/>
      <w:bookmarkStart w:id="48" w:name="_Toc536010212"/>
      <w:r>
        <w:rPr>
          <w:rFonts w:eastAsia="Calibri"/>
          <w:bCs/>
          <w:iCs w:val="0"/>
          <w:lang w:val="en-GB"/>
        </w:rPr>
        <w:t>Employees’ rights to personnel data</w:t>
      </w:r>
      <w:bookmarkEnd w:id="47"/>
      <w:bookmarkEnd w:id="48"/>
    </w:p>
    <w:p w14:paraId="56B48D95" w14:textId="77777777" w:rsidR="00322AD9" w:rsidRPr="00BE4865" w:rsidRDefault="00322AD9" w:rsidP="00322AD9">
      <w:pPr>
        <w:rPr>
          <w:rFonts w:ascii="Arial" w:eastAsia="Calibri" w:hAnsi="Arial" w:cs="Arial"/>
          <w:sz w:val="20"/>
          <w:szCs w:val="20"/>
        </w:rPr>
      </w:pPr>
    </w:p>
    <w:p w14:paraId="67A86145"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 xml:space="preserve">Employers have a record of the private data of their employees. These employees have a right to disclosure of their personnel file according to the General Data Protection Regulation (GDPR), and at their request, a copy of the documents it contains. </w:t>
      </w:r>
    </w:p>
    <w:p w14:paraId="41A89398" w14:textId="77777777" w:rsidR="00322AD9" w:rsidRPr="008D49E6" w:rsidRDefault="00322AD9" w:rsidP="00322AD9">
      <w:pPr>
        <w:rPr>
          <w:rFonts w:ascii="Arial" w:eastAsia="Calibri" w:hAnsi="Arial" w:cs="Arial"/>
          <w:sz w:val="20"/>
          <w:szCs w:val="20"/>
          <w:lang w:val="en-GB"/>
        </w:rPr>
      </w:pPr>
    </w:p>
    <w:p w14:paraId="7B330DE6"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Court decision</w:t>
      </w:r>
    </w:p>
    <w:p w14:paraId="70A92F08"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Some time ago, an employee took his case to court because his employer refused to provide the employee’s personnel data. The reason for refusal was that the employee was familiar with the data requested.</w:t>
      </w:r>
    </w:p>
    <w:p w14:paraId="257E3720" w14:textId="77777777" w:rsidR="00322AD9" w:rsidRPr="008D49E6" w:rsidRDefault="00322AD9" w:rsidP="00322AD9">
      <w:pPr>
        <w:rPr>
          <w:rFonts w:ascii="Arial" w:eastAsia="Calibri" w:hAnsi="Arial" w:cs="Arial"/>
          <w:sz w:val="20"/>
          <w:szCs w:val="20"/>
          <w:lang w:val="en-GB"/>
        </w:rPr>
      </w:pPr>
    </w:p>
    <w:p w14:paraId="76158BC8"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Conflict</w:t>
      </w:r>
    </w:p>
    <w:p w14:paraId="33A06A99"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However, the details in the personnel file were needed due to an ongoing labour conflict. In this context, the employer had docked his pay. Parties had agreed to resolve the issue based on mediation. The employer’s opinion was that the employee was or could be assumed to be familiar with the documents requested. This concerned details regarding sick leave, among others.</w:t>
      </w:r>
    </w:p>
    <w:p w14:paraId="24458BEF" w14:textId="77777777" w:rsidR="004746E7" w:rsidRPr="008D49E6" w:rsidRDefault="004746E7" w:rsidP="004746E7">
      <w:pPr>
        <w:pStyle w:val="Default"/>
        <w:rPr>
          <w:sz w:val="20"/>
          <w:szCs w:val="20"/>
          <w:lang w:val="en-GB"/>
        </w:rPr>
      </w:pPr>
    </w:p>
    <w:p w14:paraId="51CA9DB4" w14:textId="68B158EA" w:rsidR="00322AD9" w:rsidRPr="008D49E6" w:rsidRDefault="004746E7" w:rsidP="004746E7">
      <w:pPr>
        <w:shd w:val="clear" w:color="auto" w:fill="D9D9D9"/>
        <w:rPr>
          <w:rFonts w:ascii="Arial" w:hAnsi="Arial" w:cs="Arial"/>
          <w:sz w:val="20"/>
          <w:szCs w:val="20"/>
          <w:lang w:val="en-GB"/>
        </w:rPr>
      </w:pPr>
      <w:r>
        <w:rPr>
          <w:rFonts w:ascii="Arial" w:hAnsi="Arial" w:cs="Arial"/>
          <w:b/>
          <w:bCs/>
          <w:sz w:val="20"/>
          <w:szCs w:val="20"/>
          <w:lang w:val="en-GB"/>
        </w:rPr>
        <w:t>Please note!</w:t>
      </w:r>
      <w:r>
        <w:rPr>
          <w:rFonts w:ascii="Arial" w:hAnsi="Arial" w:cs="Arial"/>
          <w:sz w:val="20"/>
          <w:szCs w:val="20"/>
          <w:lang w:val="en-GB"/>
        </w:rPr>
        <w:br/>
        <w:t>The fact that the employee is or should be familiar with the required personnel data is not a reason for the employer to refuse disclosure. The Court decided in favour of the employee, also regarding the claim for payment of docked salary.</w:t>
      </w:r>
    </w:p>
    <w:p w14:paraId="51736566" w14:textId="77777777" w:rsidR="00322AD9" w:rsidRPr="008D49E6" w:rsidRDefault="00322AD9" w:rsidP="00322AD9">
      <w:pPr>
        <w:rPr>
          <w:rFonts w:ascii="Arial" w:eastAsia="Calibri" w:hAnsi="Arial" w:cs="Arial"/>
          <w:sz w:val="20"/>
          <w:szCs w:val="20"/>
          <w:lang w:val="en-GB"/>
        </w:rPr>
      </w:pPr>
    </w:p>
    <w:p w14:paraId="5305E7F9"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Costs</w:t>
      </w:r>
    </w:p>
    <w:p w14:paraId="24A12735"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A fee may be charged for providing copies. This amount may not exceed a reasonable fee for administrative costs.</w:t>
      </w:r>
    </w:p>
    <w:p w14:paraId="5569D75F" w14:textId="77777777" w:rsidR="00322AD9" w:rsidRPr="008D49E6" w:rsidRDefault="00322AD9" w:rsidP="00322AD9">
      <w:pPr>
        <w:rPr>
          <w:rFonts w:ascii="Arial" w:eastAsia="Calibri" w:hAnsi="Arial" w:cs="Arial"/>
          <w:sz w:val="20"/>
          <w:szCs w:val="20"/>
          <w:lang w:val="en-GB"/>
        </w:rPr>
      </w:pPr>
    </w:p>
    <w:p w14:paraId="58783D6A"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Exceptions to disclosure</w:t>
      </w:r>
    </w:p>
    <w:p w14:paraId="17D8E68C"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Legislation sets out very limited exceptions to mandatory disclosure of personnel details. Exceptions are related to national or public security, for example.</w:t>
      </w:r>
    </w:p>
    <w:p w14:paraId="765EB134" w14:textId="77777777" w:rsidR="00322AD9" w:rsidRPr="008D49E6" w:rsidRDefault="00322AD9" w:rsidP="00322AD9">
      <w:pPr>
        <w:rPr>
          <w:rFonts w:ascii="Arial" w:eastAsia="Calibri" w:hAnsi="Arial" w:cs="Arial"/>
          <w:sz w:val="20"/>
          <w:szCs w:val="20"/>
          <w:lang w:val="en-GB"/>
        </w:rPr>
      </w:pPr>
    </w:p>
    <w:p w14:paraId="29C11CAA" w14:textId="76ACECCF" w:rsidR="00322AD9" w:rsidRPr="008D49E6" w:rsidRDefault="00322AD9" w:rsidP="004746E7">
      <w:pPr>
        <w:pStyle w:val="Kop2"/>
        <w:rPr>
          <w:rFonts w:eastAsia="Calibri"/>
          <w:lang w:val="en-GB"/>
        </w:rPr>
      </w:pPr>
      <w:bookmarkStart w:id="49" w:name="_Toc534204749"/>
      <w:bookmarkStart w:id="50" w:name="_Toc536010213"/>
      <w:r>
        <w:rPr>
          <w:rFonts w:eastAsia="Calibri"/>
          <w:bCs/>
          <w:iCs w:val="0"/>
          <w:lang w:val="en-GB"/>
        </w:rPr>
        <w:t>Request permission before using pictures!</w:t>
      </w:r>
      <w:bookmarkEnd w:id="49"/>
      <w:bookmarkEnd w:id="50"/>
    </w:p>
    <w:p w14:paraId="70757A80" w14:textId="77777777" w:rsidR="00322AD9" w:rsidRPr="008D49E6" w:rsidRDefault="00322AD9" w:rsidP="00322AD9">
      <w:pPr>
        <w:rPr>
          <w:rFonts w:ascii="Arial" w:eastAsia="Calibri" w:hAnsi="Arial" w:cs="Arial"/>
          <w:sz w:val="20"/>
          <w:szCs w:val="20"/>
          <w:lang w:val="en-GB"/>
        </w:rPr>
      </w:pPr>
    </w:p>
    <w:p w14:paraId="65E96B0C"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 xml:space="preserve">Do you use pictures of your employees or customers for your company website or newsletters? Then you must require their explicit permission in accordance with the provisions of the General Data Protection Regulation. What are the conditions of such permission? </w:t>
      </w:r>
    </w:p>
    <w:p w14:paraId="46BC9096" w14:textId="77777777" w:rsidR="00322AD9" w:rsidRPr="008D49E6" w:rsidRDefault="00322AD9" w:rsidP="00322AD9">
      <w:pPr>
        <w:rPr>
          <w:rFonts w:ascii="Arial" w:eastAsia="Calibri" w:hAnsi="Arial" w:cs="Arial"/>
          <w:sz w:val="20"/>
          <w:szCs w:val="20"/>
          <w:lang w:val="en-GB"/>
        </w:rPr>
      </w:pPr>
    </w:p>
    <w:p w14:paraId="4B03B38B"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Permission</w:t>
      </w:r>
    </w:p>
    <w:p w14:paraId="055C6BB7" w14:textId="3C703369" w:rsidR="00D57A7F" w:rsidRPr="00224370" w:rsidRDefault="00322AD9" w:rsidP="00322AD9">
      <w:pPr>
        <w:rPr>
          <w:rFonts w:ascii="Arial" w:eastAsia="Calibri" w:hAnsi="Arial" w:cs="Arial"/>
          <w:sz w:val="20"/>
          <w:szCs w:val="20"/>
          <w:lang w:val="en-GB"/>
        </w:rPr>
      </w:pPr>
      <w:r>
        <w:rPr>
          <w:rFonts w:ascii="Arial" w:eastAsia="Calibri" w:hAnsi="Arial" w:cs="Arial"/>
          <w:sz w:val="20"/>
          <w:szCs w:val="20"/>
          <w:lang w:val="en-GB"/>
        </w:rPr>
        <w:t>Permission is a key theme in the General Data Protection Regulation (GDPR). This legislation imposes various requirements to the use of (explicit) permission. An example of a requirement is that your organisation must be able to demonstrate that the person concerned granted permission for processing his/her private data (who, when, how). Both technical and organisational adjustments may be needed to demonstrate such permission.</w:t>
      </w:r>
    </w:p>
    <w:p w14:paraId="459D03E7" w14:textId="77777777" w:rsidR="00D57A7F" w:rsidRDefault="00D57A7F" w:rsidP="00322AD9">
      <w:pPr>
        <w:rPr>
          <w:rFonts w:ascii="Arial" w:eastAsia="Calibri" w:hAnsi="Arial" w:cs="Arial"/>
          <w:b/>
          <w:bCs/>
          <w:sz w:val="20"/>
          <w:szCs w:val="20"/>
          <w:lang w:val="en-GB"/>
        </w:rPr>
      </w:pPr>
    </w:p>
    <w:p w14:paraId="3134726C"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Permission conditions</w:t>
      </w:r>
    </w:p>
    <w:p w14:paraId="44167300"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If the person concerned is asked for permission, the following conditions must be fulfilled:</w:t>
      </w:r>
    </w:p>
    <w:p w14:paraId="6305BF4D" w14:textId="77777777" w:rsidR="004746E7" w:rsidRPr="008D49E6" w:rsidRDefault="004746E7" w:rsidP="00322AD9">
      <w:pPr>
        <w:rPr>
          <w:rFonts w:ascii="Arial" w:eastAsia="Calibri" w:hAnsi="Arial" w:cs="Arial"/>
          <w:sz w:val="20"/>
          <w:szCs w:val="20"/>
          <w:lang w:val="en-GB"/>
        </w:rPr>
      </w:pPr>
    </w:p>
    <w:p w14:paraId="2C4691B4" w14:textId="77777777" w:rsidR="00322AD9" w:rsidRPr="008D49E6" w:rsidRDefault="00322AD9" w:rsidP="00C80C29">
      <w:pPr>
        <w:numPr>
          <w:ilvl w:val="0"/>
          <w:numId w:val="9"/>
        </w:numPr>
        <w:contextualSpacing/>
        <w:rPr>
          <w:rFonts w:ascii="Arial" w:eastAsia="Calibri" w:hAnsi="Arial" w:cs="Arial"/>
          <w:sz w:val="20"/>
          <w:szCs w:val="20"/>
          <w:lang w:val="en-GB"/>
        </w:rPr>
      </w:pPr>
      <w:r>
        <w:rPr>
          <w:rFonts w:ascii="Arial" w:eastAsia="Calibri" w:hAnsi="Arial" w:cs="Arial"/>
          <w:sz w:val="20"/>
          <w:szCs w:val="20"/>
          <w:lang w:val="en-GB"/>
        </w:rPr>
        <w:t>determine in advance whether permission is the correct legal basis for processing the data;</w:t>
      </w:r>
    </w:p>
    <w:p w14:paraId="2A5083E7" w14:textId="77777777" w:rsidR="00322AD9" w:rsidRPr="008D49E6" w:rsidRDefault="00322AD9" w:rsidP="00C80C29">
      <w:pPr>
        <w:numPr>
          <w:ilvl w:val="0"/>
          <w:numId w:val="9"/>
        </w:numPr>
        <w:contextualSpacing/>
        <w:rPr>
          <w:rFonts w:ascii="Arial" w:eastAsia="Calibri" w:hAnsi="Arial" w:cs="Arial"/>
          <w:sz w:val="20"/>
          <w:szCs w:val="20"/>
          <w:lang w:val="en-GB"/>
        </w:rPr>
      </w:pPr>
      <w:r>
        <w:rPr>
          <w:rFonts w:ascii="Arial" w:eastAsia="Calibri" w:hAnsi="Arial" w:cs="Arial"/>
          <w:sz w:val="20"/>
          <w:szCs w:val="20"/>
          <w:lang w:val="en-GB"/>
        </w:rPr>
        <w:t>the permission should be obtained in a clear manner; the person concerned is requested for a positive action regarding giving permission (i.e. opt-in); this implies that ticking boxes (i.e. default reply) is not adequate;</w:t>
      </w:r>
    </w:p>
    <w:p w14:paraId="6DE102C4" w14:textId="77777777" w:rsidR="00322AD9" w:rsidRPr="008D49E6" w:rsidRDefault="00322AD9" w:rsidP="00C80C29">
      <w:pPr>
        <w:numPr>
          <w:ilvl w:val="0"/>
          <w:numId w:val="9"/>
        </w:numPr>
        <w:contextualSpacing/>
        <w:rPr>
          <w:rFonts w:ascii="Arial" w:eastAsia="Calibri" w:hAnsi="Arial" w:cs="Arial"/>
          <w:sz w:val="20"/>
          <w:szCs w:val="20"/>
          <w:lang w:val="en-GB"/>
        </w:rPr>
      </w:pPr>
      <w:r>
        <w:rPr>
          <w:rFonts w:ascii="Arial" w:eastAsia="Calibri" w:hAnsi="Arial" w:cs="Arial"/>
          <w:sz w:val="20"/>
          <w:szCs w:val="20"/>
          <w:lang w:val="en-GB"/>
        </w:rPr>
        <w:t>if the person concerned is age 16 or younger, you require the permission from a legal representative or guardian (parents);</w:t>
      </w:r>
    </w:p>
    <w:p w14:paraId="6C340ED7" w14:textId="77777777" w:rsidR="00322AD9" w:rsidRPr="008D49E6" w:rsidRDefault="00322AD9" w:rsidP="00C80C29">
      <w:pPr>
        <w:numPr>
          <w:ilvl w:val="0"/>
          <w:numId w:val="9"/>
        </w:numPr>
        <w:contextualSpacing/>
        <w:rPr>
          <w:rFonts w:ascii="Arial" w:eastAsia="Calibri" w:hAnsi="Arial" w:cs="Arial"/>
          <w:sz w:val="20"/>
          <w:szCs w:val="20"/>
          <w:lang w:val="en-GB"/>
        </w:rPr>
      </w:pPr>
      <w:r>
        <w:rPr>
          <w:rFonts w:ascii="Arial" w:eastAsia="Calibri" w:hAnsi="Arial" w:cs="Arial"/>
          <w:sz w:val="20"/>
          <w:szCs w:val="20"/>
          <w:lang w:val="en-GB"/>
        </w:rPr>
        <w:t>there must be a privacy statement or privacy policy providing all relevant information for data processing;</w:t>
      </w:r>
    </w:p>
    <w:p w14:paraId="242A2ED7" w14:textId="77777777" w:rsidR="00322AD9" w:rsidRPr="008D49E6" w:rsidRDefault="00322AD9" w:rsidP="00C80C29">
      <w:pPr>
        <w:numPr>
          <w:ilvl w:val="0"/>
          <w:numId w:val="9"/>
        </w:numPr>
        <w:contextualSpacing/>
        <w:rPr>
          <w:rFonts w:ascii="Arial" w:eastAsia="Calibri" w:hAnsi="Arial" w:cs="Arial"/>
          <w:sz w:val="20"/>
          <w:szCs w:val="20"/>
          <w:lang w:val="en-GB"/>
        </w:rPr>
      </w:pPr>
      <w:r>
        <w:rPr>
          <w:rFonts w:ascii="Arial" w:eastAsia="Calibri" w:hAnsi="Arial" w:cs="Arial"/>
          <w:sz w:val="20"/>
          <w:szCs w:val="20"/>
          <w:lang w:val="en-GB"/>
        </w:rPr>
        <w:t>if approval is requested for various purposes at the same time, separate permission must be requested for each purpose (for example for different forms of cookies on websites);</w:t>
      </w:r>
    </w:p>
    <w:p w14:paraId="0153B4C4" w14:textId="77777777" w:rsidR="00322AD9" w:rsidRPr="00BE4865" w:rsidRDefault="00322AD9" w:rsidP="00C80C29">
      <w:pPr>
        <w:numPr>
          <w:ilvl w:val="0"/>
          <w:numId w:val="9"/>
        </w:numPr>
        <w:contextualSpacing/>
        <w:rPr>
          <w:rFonts w:ascii="Arial" w:eastAsia="Calibri" w:hAnsi="Arial" w:cs="Arial"/>
          <w:sz w:val="20"/>
          <w:szCs w:val="20"/>
        </w:rPr>
      </w:pPr>
      <w:r>
        <w:rPr>
          <w:rFonts w:ascii="Arial" w:eastAsia="Calibri" w:hAnsi="Arial" w:cs="Arial"/>
          <w:sz w:val="20"/>
          <w:szCs w:val="20"/>
          <w:lang w:val="en-GB"/>
        </w:rPr>
        <w:t>ensuring that the persons concerned know that they have the right to refuse permission without any negative consequences. Permission can never be conditional to a certain service. For example, this may be an issue in labour relations with your employees. Certainly in labour relations, in view of the employees’ dependence, this raises the question whether the permission is a sound basis for processing. It is better to consider a different basis.</w:t>
      </w:r>
    </w:p>
    <w:p w14:paraId="034A81B3" w14:textId="77777777" w:rsidR="00322AD9" w:rsidRPr="00BE4865" w:rsidRDefault="00322AD9" w:rsidP="00322AD9">
      <w:pPr>
        <w:rPr>
          <w:rFonts w:ascii="Arial" w:eastAsia="Calibri" w:hAnsi="Arial" w:cs="Arial"/>
          <w:sz w:val="20"/>
          <w:szCs w:val="20"/>
        </w:rPr>
      </w:pPr>
    </w:p>
    <w:p w14:paraId="5C5E4FDF"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These conditions apply to all processing based on the permission basis.</w:t>
      </w:r>
    </w:p>
    <w:p w14:paraId="292B0AEB" w14:textId="77777777" w:rsidR="00322AD9" w:rsidRPr="008D49E6" w:rsidRDefault="00322AD9" w:rsidP="00322AD9">
      <w:pPr>
        <w:rPr>
          <w:rFonts w:ascii="Arial" w:eastAsia="Calibri" w:hAnsi="Arial" w:cs="Arial"/>
          <w:sz w:val="20"/>
          <w:szCs w:val="20"/>
          <w:lang w:val="en-GB"/>
        </w:rPr>
      </w:pPr>
    </w:p>
    <w:p w14:paraId="734EAFFC"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Revoking permission</w:t>
      </w:r>
    </w:p>
    <w:p w14:paraId="2CC255DA"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A person concerned may decide at any time to revoke his/her permission for using private data. This should be possible in the same straight-forward way as granting permission. Withdrawing permission does not undo previous processing of private data. This implies that permission cannot be revoked with retroactive effect.</w:t>
      </w:r>
    </w:p>
    <w:p w14:paraId="3664570D" w14:textId="77777777" w:rsidR="00322AD9" w:rsidRPr="008D49E6" w:rsidRDefault="00322AD9" w:rsidP="00322AD9">
      <w:pPr>
        <w:rPr>
          <w:rFonts w:ascii="Arial" w:eastAsia="Calibri" w:hAnsi="Arial" w:cs="Arial"/>
          <w:sz w:val="20"/>
          <w:szCs w:val="20"/>
          <w:lang w:val="en-GB"/>
        </w:rPr>
      </w:pPr>
    </w:p>
    <w:p w14:paraId="426C52CF"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 xml:space="preserve">The processing activities based on this permission must therefore be suspended (also with potential data processing providers and sub-providers, such as payroll administration providers). The relevant private data must be removed in that case, unless required for a different processing purpose. </w:t>
      </w:r>
    </w:p>
    <w:p w14:paraId="50B194CF" w14:textId="77777777" w:rsidR="00322AD9" w:rsidRPr="008D49E6" w:rsidRDefault="00322AD9" w:rsidP="00322AD9">
      <w:pPr>
        <w:rPr>
          <w:rFonts w:ascii="Arial" w:eastAsia="Calibri" w:hAnsi="Arial" w:cs="Arial"/>
          <w:sz w:val="20"/>
          <w:szCs w:val="20"/>
          <w:lang w:val="en-GB"/>
        </w:rPr>
      </w:pPr>
    </w:p>
    <w:p w14:paraId="47A69939"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Use pictures</w:t>
      </w:r>
    </w:p>
    <w:p w14:paraId="5D50F93F"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Pictures that show identifiable individuals are also classed as private data. In principle, a legal basis must be provided for using the pictures. In most cases, a person concerned must give permission for using his/her picture. This means that the conditions set out above regarding permission apply unabridged. It is good to be aware of this as a company when using pictures of persons such as employees or customers.</w:t>
      </w:r>
    </w:p>
    <w:p w14:paraId="0676C20D" w14:textId="77777777" w:rsidR="00322AD9" w:rsidRPr="008D49E6" w:rsidRDefault="00322AD9" w:rsidP="00322AD9">
      <w:pPr>
        <w:rPr>
          <w:rFonts w:ascii="Arial" w:eastAsia="Calibri" w:hAnsi="Arial" w:cs="Arial"/>
          <w:sz w:val="20"/>
          <w:szCs w:val="20"/>
          <w:lang w:val="en-GB"/>
        </w:rPr>
      </w:pPr>
    </w:p>
    <w:p w14:paraId="14FF303C"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Newsletter</w:t>
      </w:r>
    </w:p>
    <w:p w14:paraId="1CEA3A87"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 xml:space="preserve">It can be practical if, for example, your organisation describes in a procedure for employees that pictures may be taken at various occasions. Such pictures may be used for specific purposes, such as the company website, a newsletter or other media. Based on the procedure, you subsequently request explicit permission from your employees before using the images and you register the request for permission and approval (please refer to the conditions set out above). You can also arrange this similarly for one-off events for your customers or guests, for example. </w:t>
      </w:r>
    </w:p>
    <w:p w14:paraId="60D40084" w14:textId="77777777" w:rsidR="00322AD9" w:rsidRPr="008D49E6" w:rsidRDefault="00322AD9" w:rsidP="00322AD9">
      <w:pPr>
        <w:rPr>
          <w:rFonts w:ascii="Arial" w:eastAsia="Calibri" w:hAnsi="Arial" w:cs="Arial"/>
          <w:sz w:val="20"/>
          <w:szCs w:val="20"/>
          <w:lang w:val="en-GB"/>
        </w:rPr>
      </w:pPr>
    </w:p>
    <w:p w14:paraId="4024BFFD"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Using pictures from other websites</w:t>
      </w:r>
    </w:p>
    <w:p w14:paraId="04582634" w14:textId="37710648"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In principle, making use of pictures or other private data of other websites for your own corporate internet publications is not permitted. The fact that these data are already on the internet does not imply that your company is permitted to use them. The data are used in a different context and for a different purpose. This means you need to request explicit permission for the new purpose. An exception applies to household and personal use, as the GDPR does not apply for that purpose. This is subject to the condition of publishing the data privately, visible only to a limited circle of persons.</w:t>
      </w:r>
    </w:p>
    <w:p w14:paraId="1E6E278D" w14:textId="77777777" w:rsidR="00D57A7F" w:rsidRDefault="00D57A7F" w:rsidP="00322AD9">
      <w:pPr>
        <w:rPr>
          <w:rFonts w:ascii="Arial" w:eastAsia="Calibri" w:hAnsi="Arial" w:cs="Arial"/>
          <w:b/>
          <w:bCs/>
          <w:sz w:val="20"/>
          <w:szCs w:val="20"/>
          <w:lang w:val="en-GB"/>
        </w:rPr>
      </w:pPr>
    </w:p>
    <w:p w14:paraId="44BE3E48"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Pictures of children</w:t>
      </w:r>
    </w:p>
    <w:p w14:paraId="51681C22"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For pictures of children under age 16, the parents or legal representatives should be requested for permission to publish pictures or other private data, for example on social media or corporate or other websites. The user must be able to demonstrate that the required permission was obtained.</w:t>
      </w:r>
    </w:p>
    <w:p w14:paraId="46FD4351" w14:textId="453758E7" w:rsidR="00322AD9" w:rsidRDefault="00322AD9" w:rsidP="00322AD9">
      <w:pPr>
        <w:rPr>
          <w:rFonts w:ascii="Arial" w:hAnsi="Arial"/>
          <w:b/>
          <w:bCs/>
          <w:sz w:val="28"/>
          <w:lang w:val="en-GB"/>
        </w:rPr>
      </w:pPr>
    </w:p>
    <w:p w14:paraId="77CD1F54" w14:textId="77777777" w:rsidR="007164CA" w:rsidRDefault="007164CA" w:rsidP="00322AD9">
      <w:pPr>
        <w:rPr>
          <w:rFonts w:ascii="Arial" w:hAnsi="Arial"/>
          <w:b/>
          <w:bCs/>
          <w:sz w:val="28"/>
          <w:lang w:val="en-GB"/>
        </w:rPr>
      </w:pPr>
    </w:p>
    <w:p w14:paraId="1337C2F1" w14:textId="77777777" w:rsidR="007164CA" w:rsidRPr="008D49E6" w:rsidRDefault="007164CA" w:rsidP="00322AD9">
      <w:pPr>
        <w:rPr>
          <w:rFonts w:ascii="Arial" w:hAnsi="Arial"/>
          <w:b/>
          <w:bCs/>
          <w:sz w:val="28"/>
          <w:lang w:val="en-GB"/>
        </w:rPr>
      </w:pPr>
    </w:p>
    <w:p w14:paraId="7D0C5011" w14:textId="77777777" w:rsidR="00322AD9" w:rsidRPr="00BE4865" w:rsidRDefault="00322AD9" w:rsidP="004746E7">
      <w:pPr>
        <w:pStyle w:val="Kop1"/>
      </w:pPr>
      <w:bookmarkStart w:id="51" w:name="_Toc534204750"/>
      <w:bookmarkStart w:id="52" w:name="_Toc536010214"/>
      <w:r>
        <w:rPr>
          <w:lang w:val="en-GB"/>
        </w:rPr>
        <w:t>Labour law and miscellaneous</w:t>
      </w:r>
      <w:bookmarkEnd w:id="51"/>
      <w:bookmarkEnd w:id="52"/>
    </w:p>
    <w:p w14:paraId="5C688D9E" w14:textId="77777777" w:rsidR="00322AD9" w:rsidRPr="00BE4865" w:rsidRDefault="00322AD9" w:rsidP="00322AD9">
      <w:pPr>
        <w:rPr>
          <w:rFonts w:ascii="Arial" w:eastAsia="Calibri" w:hAnsi="Arial" w:cs="Arial"/>
          <w:sz w:val="20"/>
          <w:szCs w:val="20"/>
        </w:rPr>
      </w:pPr>
    </w:p>
    <w:p w14:paraId="320DC08A" w14:textId="77777777" w:rsidR="00322AD9" w:rsidRPr="008D49E6" w:rsidRDefault="00322AD9" w:rsidP="004746E7">
      <w:pPr>
        <w:pStyle w:val="Kop2"/>
        <w:rPr>
          <w:rFonts w:eastAsia="Calibri"/>
          <w:lang w:val="en-GB"/>
        </w:rPr>
      </w:pPr>
      <w:bookmarkStart w:id="53" w:name="_Toc534204751"/>
      <w:bookmarkStart w:id="54" w:name="_Toc536010215"/>
      <w:r>
        <w:rPr>
          <w:rFonts w:eastAsia="Calibri"/>
          <w:bCs/>
          <w:iCs w:val="0"/>
          <w:lang w:val="en-GB"/>
        </w:rPr>
        <w:t>New rules for compensation of minimum wage overtime</w:t>
      </w:r>
      <w:bookmarkEnd w:id="53"/>
      <w:bookmarkEnd w:id="54"/>
    </w:p>
    <w:p w14:paraId="775A5EAC" w14:textId="77777777" w:rsidR="004746E7" w:rsidRPr="008D49E6" w:rsidRDefault="004746E7" w:rsidP="004746E7">
      <w:pPr>
        <w:rPr>
          <w:rFonts w:ascii="Arial" w:eastAsia="Calibri" w:hAnsi="Arial" w:cs="Arial"/>
          <w:sz w:val="20"/>
          <w:lang w:val="en-GB"/>
        </w:rPr>
      </w:pPr>
    </w:p>
    <w:p w14:paraId="54A03550"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 xml:space="preserve">As from 1 January 2019, employers may no longer make arrangements with individual employees regarding overtime (this includes extra hours and overtime hours) based on time in lieu. As from 2019, this is permitted only if this is set out in a CLA and agreed in writing. This applies only if the employee is paid the minimum wage or less on the hours worked. </w:t>
      </w:r>
    </w:p>
    <w:p w14:paraId="212A2D55" w14:textId="77777777" w:rsidR="00322AD9" w:rsidRPr="008D49E6" w:rsidRDefault="00322AD9" w:rsidP="00322AD9">
      <w:pPr>
        <w:rPr>
          <w:rFonts w:ascii="Arial" w:eastAsia="Calibri" w:hAnsi="Arial" w:cs="Arial"/>
          <w:sz w:val="20"/>
          <w:szCs w:val="20"/>
          <w:lang w:val="en-GB"/>
        </w:rPr>
      </w:pPr>
    </w:p>
    <w:p w14:paraId="6A19E59A"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More than the minimum?</w:t>
      </w:r>
    </w:p>
    <w:p w14:paraId="7E8A28F9"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For employees with a higher wage, this does not apply; you may still make time in lieu arrangements. Please note that the employee receives at least the minimum wage on all hours worked combined in the regular payment period. Employees earning less than the minimum wage due to time in lieu must be paid out in money as from 2019.</w:t>
      </w:r>
    </w:p>
    <w:p w14:paraId="1552C51B"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 xml:space="preserve">In zero-hour contracts, a time in lieu arrangement is not at all permitted. </w:t>
      </w:r>
    </w:p>
    <w:p w14:paraId="23605EF9" w14:textId="77777777" w:rsidR="00322AD9" w:rsidRPr="008D49E6" w:rsidRDefault="00322AD9" w:rsidP="00322AD9">
      <w:pPr>
        <w:rPr>
          <w:rFonts w:ascii="Arial" w:eastAsia="Calibri" w:hAnsi="Arial" w:cs="Arial"/>
          <w:sz w:val="20"/>
          <w:szCs w:val="20"/>
          <w:lang w:val="en-GB"/>
        </w:rPr>
      </w:pPr>
    </w:p>
    <w:p w14:paraId="432838D8"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Using before 1 July</w:t>
      </w:r>
    </w:p>
    <w:p w14:paraId="79198DC2" w14:textId="77777777" w:rsidR="00322AD9" w:rsidRPr="00BE4865" w:rsidRDefault="00322AD9" w:rsidP="00322AD9">
      <w:pPr>
        <w:rPr>
          <w:rFonts w:ascii="Arial" w:eastAsia="Calibri" w:hAnsi="Arial" w:cs="Arial"/>
          <w:sz w:val="20"/>
          <w:szCs w:val="20"/>
        </w:rPr>
      </w:pPr>
      <w:r>
        <w:rPr>
          <w:rFonts w:ascii="Arial" w:eastAsia="Calibri" w:hAnsi="Arial" w:cs="Arial"/>
          <w:sz w:val="20"/>
          <w:szCs w:val="20"/>
          <w:lang w:val="en-GB"/>
        </w:rPr>
        <w:t>If a CLA sets out a scheme for time in lieu to compensate overtime, such time in lieu must be used by 1 July of the following year. If not, the employer must pay the remaining amount.</w:t>
      </w:r>
    </w:p>
    <w:p w14:paraId="64603CC4" w14:textId="77777777" w:rsidR="00322AD9" w:rsidRPr="00BE4865" w:rsidRDefault="00322AD9" w:rsidP="00322AD9">
      <w:pPr>
        <w:rPr>
          <w:rFonts w:ascii="Arial" w:eastAsia="Calibri" w:hAnsi="Arial" w:cs="Arial"/>
          <w:sz w:val="20"/>
          <w:szCs w:val="20"/>
        </w:rPr>
      </w:pPr>
    </w:p>
    <w:p w14:paraId="5B081D9E" w14:textId="77777777" w:rsidR="00322AD9" w:rsidRPr="008D49E6" w:rsidRDefault="00322AD9" w:rsidP="004746E7">
      <w:pPr>
        <w:pStyle w:val="Kop2"/>
        <w:rPr>
          <w:rFonts w:eastAsia="Calibri"/>
          <w:lang w:val="en-GB"/>
        </w:rPr>
      </w:pPr>
      <w:bookmarkStart w:id="55" w:name="_Toc534204752"/>
      <w:bookmarkStart w:id="56" w:name="_Toc536010216"/>
      <w:r>
        <w:rPr>
          <w:rFonts w:eastAsia="Calibri"/>
          <w:bCs/>
          <w:iCs w:val="0"/>
          <w:lang w:val="en-GB"/>
        </w:rPr>
        <w:t>Maximum transition allowance higher in 2019</w:t>
      </w:r>
      <w:bookmarkEnd w:id="55"/>
      <w:bookmarkEnd w:id="56"/>
    </w:p>
    <w:p w14:paraId="36AEB9AB" w14:textId="77777777" w:rsidR="004746E7" w:rsidRPr="008D49E6" w:rsidRDefault="004746E7" w:rsidP="004746E7">
      <w:pPr>
        <w:rPr>
          <w:rFonts w:ascii="Arial" w:eastAsia="Calibri" w:hAnsi="Arial" w:cs="Arial"/>
          <w:sz w:val="20"/>
          <w:lang w:val="en-GB"/>
        </w:rPr>
      </w:pPr>
    </w:p>
    <w:p w14:paraId="61651E3F"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 xml:space="preserve">The maximum transition allowance was increased to €81,000 on 1 January 2019, which is a €2,000 increase compared with 2018. An employee may receive more only if his/her annual salary exceeds €81,000. </w:t>
      </w:r>
    </w:p>
    <w:p w14:paraId="7F464DA5" w14:textId="77777777" w:rsidR="00322AD9" w:rsidRPr="008D49E6" w:rsidRDefault="00322AD9" w:rsidP="00322AD9">
      <w:pPr>
        <w:rPr>
          <w:rFonts w:ascii="Arial" w:eastAsia="Calibri" w:hAnsi="Arial" w:cs="Arial"/>
          <w:sz w:val="20"/>
          <w:szCs w:val="20"/>
          <w:lang w:val="en-GB"/>
        </w:rPr>
      </w:pPr>
    </w:p>
    <w:p w14:paraId="471DAF52"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Increase transition allowance based on development of contract wages</w:t>
      </w:r>
    </w:p>
    <w:p w14:paraId="58DBCAB5"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 xml:space="preserve">The Minister of Social Affairs and Employment annually adjusts the amount of the maximum transition allowance based on the contract wages agreed between employer and employee organisations. The increase for next year is estimated at 2.9%. The maximum transition allowance rounds off to €81,000 and the allowance applies to contracts expiring on or after 1 January 2019. </w:t>
      </w:r>
    </w:p>
    <w:p w14:paraId="02FC6D81" w14:textId="77777777" w:rsidR="00322AD9" w:rsidRPr="008D49E6" w:rsidRDefault="00322AD9" w:rsidP="00322AD9">
      <w:pPr>
        <w:rPr>
          <w:rFonts w:ascii="Arial" w:eastAsia="Calibri" w:hAnsi="Arial" w:cs="Arial"/>
          <w:sz w:val="20"/>
          <w:szCs w:val="20"/>
          <w:lang w:val="en-GB"/>
        </w:rPr>
      </w:pPr>
    </w:p>
    <w:p w14:paraId="2901A8FC"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Exceeding the maximum allowance?</w:t>
      </w:r>
    </w:p>
    <w:p w14:paraId="3FBC8B17"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You may apply a higher transition allowance only if the employee’s annual salary is higher. In that case, the maximum transition allowance is the wage over 12 months. In turn, this depends on the number of service years of the employee and the amount of the monthly salary.</w:t>
      </w:r>
    </w:p>
    <w:p w14:paraId="3F30BD09" w14:textId="77777777" w:rsidR="00322AD9" w:rsidRPr="008D49E6" w:rsidRDefault="00322AD9" w:rsidP="00322AD9">
      <w:pPr>
        <w:rPr>
          <w:rFonts w:ascii="Arial" w:eastAsia="Calibri" w:hAnsi="Arial" w:cs="Arial"/>
          <w:sz w:val="20"/>
          <w:szCs w:val="20"/>
          <w:lang w:val="en-GB"/>
        </w:rPr>
      </w:pPr>
    </w:p>
    <w:p w14:paraId="4BD0C747"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New legislation</w:t>
      </w:r>
    </w:p>
    <w:p w14:paraId="2379D3CC"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 xml:space="preserve">An employee is entitled to a transition allowance if the employment contract is terminated after 24 months. According to the WAB (Balanced Labour Market Bill), an employee is entitled to a transition allowance from the first day of employment. This Bill is intended to </w:t>
      </w:r>
      <w:r>
        <w:rPr>
          <w:rFonts w:ascii="Arial" w:eastAsia="Calibri" w:hAnsi="Arial" w:cs="Arial"/>
          <w:sz w:val="20"/>
          <w:szCs w:val="20"/>
          <w:lang w:val="en-GB"/>
        </w:rPr>
        <w:br/>
        <w:t>become effective as per 1 January 2020.</w:t>
      </w:r>
    </w:p>
    <w:p w14:paraId="13BF0D42" w14:textId="77777777" w:rsidR="00322AD9" w:rsidRPr="008D49E6" w:rsidRDefault="00322AD9" w:rsidP="00322AD9">
      <w:pPr>
        <w:rPr>
          <w:rFonts w:ascii="Arial" w:eastAsia="Calibri" w:hAnsi="Arial" w:cs="Arial"/>
          <w:sz w:val="20"/>
          <w:szCs w:val="20"/>
          <w:lang w:val="en-GB"/>
        </w:rPr>
      </w:pPr>
    </w:p>
    <w:p w14:paraId="236C4FC8" w14:textId="77777777" w:rsidR="00322AD9" w:rsidRPr="008D49E6" w:rsidRDefault="00322AD9" w:rsidP="004746E7">
      <w:pPr>
        <w:pStyle w:val="Kop2"/>
        <w:rPr>
          <w:rFonts w:eastAsia="Calibri"/>
          <w:lang w:val="en-GB"/>
        </w:rPr>
      </w:pPr>
      <w:bookmarkStart w:id="57" w:name="_Toc534204753"/>
      <w:bookmarkStart w:id="58" w:name="_Toc536010217"/>
      <w:r>
        <w:rPr>
          <w:rFonts w:eastAsia="Calibri"/>
          <w:bCs/>
          <w:iCs w:val="0"/>
          <w:lang w:val="en-GB"/>
        </w:rPr>
        <w:t>Change criteria bridging scheme transition allowance</w:t>
      </w:r>
      <w:bookmarkEnd w:id="57"/>
      <w:bookmarkEnd w:id="58"/>
    </w:p>
    <w:p w14:paraId="0D3D64FB" w14:textId="77777777" w:rsidR="00322AD9" w:rsidRPr="008D49E6" w:rsidRDefault="00322AD9" w:rsidP="00322AD9">
      <w:pPr>
        <w:rPr>
          <w:rFonts w:ascii="Arial" w:eastAsia="Calibri" w:hAnsi="Arial" w:cs="Arial"/>
          <w:sz w:val="20"/>
          <w:lang w:val="en-GB"/>
        </w:rPr>
      </w:pPr>
    </w:p>
    <w:p w14:paraId="0757A2F1"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 xml:space="preserve">Small employers (&lt; 25 employees) may make use of the bridging scheme transition allowance in the event of very challenging financial situations, subject to strict conditions. This scheme implies that employers only need to consider the years from May 2013 when calculating the transition allowance. Up to 1 January 2019, challenging financial situations were classed as situations where: </w:t>
      </w:r>
    </w:p>
    <w:p w14:paraId="48129C0A" w14:textId="77777777" w:rsidR="00322AD9" w:rsidRPr="008D49E6" w:rsidRDefault="00322AD9" w:rsidP="00322AD9">
      <w:pPr>
        <w:rPr>
          <w:rFonts w:ascii="Arial" w:eastAsia="Calibri" w:hAnsi="Arial" w:cs="Arial"/>
          <w:sz w:val="20"/>
          <w:szCs w:val="20"/>
          <w:lang w:val="en-GB"/>
        </w:rPr>
      </w:pPr>
    </w:p>
    <w:p w14:paraId="0CF91715" w14:textId="77777777" w:rsidR="00322AD9" w:rsidRPr="008D49E6" w:rsidRDefault="00322AD9" w:rsidP="00C80C29">
      <w:pPr>
        <w:pStyle w:val="Lijstalinea"/>
        <w:numPr>
          <w:ilvl w:val="0"/>
          <w:numId w:val="19"/>
        </w:numPr>
        <w:rPr>
          <w:rFonts w:ascii="Arial" w:hAnsi="Arial" w:cs="Arial"/>
          <w:sz w:val="20"/>
          <w:szCs w:val="20"/>
          <w:lang w:val="en-GB"/>
        </w:rPr>
      </w:pPr>
      <w:r>
        <w:rPr>
          <w:rFonts w:ascii="Arial" w:hAnsi="Arial" w:cs="Arial"/>
          <w:sz w:val="20"/>
          <w:szCs w:val="20"/>
          <w:lang w:val="en-GB"/>
        </w:rPr>
        <w:t xml:space="preserve">the employer company’s net result on the financial year prior to the financial year during which the procedure for termination of the employment contract started and the two previous financial years was below zero; </w:t>
      </w:r>
    </w:p>
    <w:p w14:paraId="4AF7463D" w14:textId="77777777" w:rsidR="00322AD9" w:rsidRPr="008D49E6" w:rsidRDefault="00322AD9" w:rsidP="00322AD9">
      <w:pPr>
        <w:rPr>
          <w:rFonts w:ascii="Arial" w:eastAsia="Calibri" w:hAnsi="Arial" w:cs="Arial"/>
          <w:sz w:val="20"/>
          <w:szCs w:val="20"/>
          <w:lang w:val="en-GB"/>
        </w:rPr>
      </w:pPr>
    </w:p>
    <w:p w14:paraId="0B4E6230" w14:textId="77777777" w:rsidR="00322AD9" w:rsidRPr="008D49E6" w:rsidRDefault="00322AD9" w:rsidP="00C80C29">
      <w:pPr>
        <w:pStyle w:val="Lijstalinea"/>
        <w:numPr>
          <w:ilvl w:val="0"/>
          <w:numId w:val="19"/>
        </w:numPr>
        <w:rPr>
          <w:rFonts w:ascii="Arial" w:hAnsi="Arial" w:cs="Arial"/>
          <w:sz w:val="20"/>
          <w:szCs w:val="20"/>
          <w:lang w:val="en-GB"/>
        </w:rPr>
      </w:pPr>
      <w:r>
        <w:rPr>
          <w:rFonts w:ascii="Arial" w:hAnsi="Arial" w:cs="Arial"/>
          <w:sz w:val="20"/>
          <w:szCs w:val="20"/>
          <w:lang w:val="en-GB"/>
        </w:rPr>
        <w:t xml:space="preserve">the value of the employer company’s equity was negative at the end of the financial year prior to the financial year during which the procedure for termination of the employment contract started; and </w:t>
      </w:r>
    </w:p>
    <w:p w14:paraId="59197E9D" w14:textId="77777777" w:rsidR="00322AD9" w:rsidRPr="008D49E6" w:rsidRDefault="00322AD9" w:rsidP="00322AD9">
      <w:pPr>
        <w:rPr>
          <w:rFonts w:ascii="Arial" w:eastAsia="Calibri" w:hAnsi="Arial" w:cs="Arial"/>
          <w:sz w:val="20"/>
          <w:szCs w:val="20"/>
          <w:lang w:val="en-GB"/>
        </w:rPr>
      </w:pPr>
    </w:p>
    <w:p w14:paraId="421B2932" w14:textId="77777777" w:rsidR="00322AD9" w:rsidRPr="008D49E6" w:rsidRDefault="00322AD9" w:rsidP="00C80C29">
      <w:pPr>
        <w:pStyle w:val="Lijstalinea"/>
        <w:numPr>
          <w:ilvl w:val="0"/>
          <w:numId w:val="19"/>
        </w:numPr>
        <w:rPr>
          <w:rFonts w:ascii="Arial" w:hAnsi="Arial" w:cs="Arial"/>
          <w:sz w:val="20"/>
          <w:szCs w:val="20"/>
          <w:lang w:val="en-GB"/>
        </w:rPr>
      </w:pPr>
      <w:r>
        <w:rPr>
          <w:rFonts w:ascii="Arial" w:hAnsi="Arial" w:cs="Arial"/>
          <w:sz w:val="20"/>
          <w:szCs w:val="20"/>
          <w:lang w:val="en-GB"/>
        </w:rPr>
        <w:t xml:space="preserve">the value of the employer’s company’s current assets was lower than the current liabilities due within one year at the end of the financial year prior to the financial year during which the procedure for termination of the employment contract started. </w:t>
      </w:r>
    </w:p>
    <w:p w14:paraId="27084D0A" w14:textId="77777777" w:rsidR="00322AD9" w:rsidRPr="008D49E6" w:rsidRDefault="00322AD9" w:rsidP="00322AD9">
      <w:pPr>
        <w:pStyle w:val="Lijstalinea"/>
        <w:rPr>
          <w:rFonts w:ascii="Arial" w:hAnsi="Arial" w:cs="Arial"/>
          <w:sz w:val="20"/>
          <w:szCs w:val="20"/>
          <w:lang w:val="en-GB"/>
        </w:rPr>
      </w:pPr>
    </w:p>
    <w:p w14:paraId="0480455D"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All three conditions must be fulfilled. The criteria became less strict as per 1 January 2019. The first condition is currently based on an average negative result on the three prior financial years combined. The second condition effective as from 1 January 2019 is that the equity at the end of the prior financial year can be a maximum of 15% of the employer’s company’s total equity. The third condition remains unchanged.</w:t>
      </w:r>
    </w:p>
    <w:p w14:paraId="3B85DBE7" w14:textId="77777777" w:rsidR="004746E7" w:rsidRPr="008D49E6" w:rsidRDefault="004746E7" w:rsidP="004746E7">
      <w:pPr>
        <w:pStyle w:val="Default"/>
        <w:rPr>
          <w:sz w:val="20"/>
          <w:szCs w:val="20"/>
          <w:lang w:val="en-GB"/>
        </w:rPr>
      </w:pPr>
    </w:p>
    <w:p w14:paraId="1951F3E1" w14:textId="0A5DB16D" w:rsidR="004746E7" w:rsidRPr="008D49E6" w:rsidRDefault="004746E7" w:rsidP="004746E7">
      <w:pPr>
        <w:shd w:val="clear" w:color="auto" w:fill="D9D9D9"/>
        <w:rPr>
          <w:rFonts w:ascii="Arial" w:hAnsi="Arial" w:cs="Arial"/>
          <w:sz w:val="20"/>
          <w:szCs w:val="20"/>
          <w:lang w:val="en-GB"/>
        </w:rPr>
      </w:pPr>
      <w:r>
        <w:rPr>
          <w:rFonts w:ascii="Arial" w:hAnsi="Arial" w:cs="Arial"/>
          <w:b/>
          <w:bCs/>
          <w:sz w:val="20"/>
          <w:szCs w:val="20"/>
          <w:lang w:val="en-GB"/>
        </w:rPr>
        <w:t>Please note!</w:t>
      </w:r>
      <w:r>
        <w:rPr>
          <w:rFonts w:ascii="Arial" w:hAnsi="Arial" w:cs="Arial"/>
          <w:sz w:val="20"/>
          <w:szCs w:val="20"/>
          <w:lang w:val="en-GB"/>
        </w:rPr>
        <w:br/>
        <w:t>If the procedure for termination of the employment contract started before 1 January 2019, the previous, stricter conditions still apply.</w:t>
      </w:r>
    </w:p>
    <w:p w14:paraId="49F318E9" w14:textId="77777777" w:rsidR="00322AD9" w:rsidRPr="008D49E6" w:rsidRDefault="00322AD9" w:rsidP="00322AD9">
      <w:pPr>
        <w:rPr>
          <w:rFonts w:eastAsia="Calibri"/>
          <w:lang w:val="en-GB"/>
        </w:rPr>
      </w:pPr>
    </w:p>
    <w:p w14:paraId="0E0F6E67" w14:textId="77777777" w:rsidR="00322AD9" w:rsidRDefault="00322AD9" w:rsidP="004746E7">
      <w:pPr>
        <w:pStyle w:val="Kop2"/>
        <w:rPr>
          <w:rFonts w:eastAsia="Calibri"/>
        </w:rPr>
      </w:pPr>
      <w:bookmarkStart w:id="59" w:name="_Toc534204754"/>
      <w:bookmarkStart w:id="60" w:name="_Toc536010218"/>
      <w:r>
        <w:rPr>
          <w:rFonts w:eastAsia="Calibri"/>
          <w:bCs/>
          <w:iCs w:val="0"/>
          <w:lang w:val="en-GB"/>
        </w:rPr>
        <w:t>Transition allowance and facility?</w:t>
      </w:r>
      <w:bookmarkEnd w:id="59"/>
      <w:bookmarkEnd w:id="60"/>
    </w:p>
    <w:p w14:paraId="476C5CE4" w14:textId="77777777" w:rsidR="004746E7" w:rsidRPr="004746E7" w:rsidRDefault="004746E7" w:rsidP="004746E7">
      <w:pPr>
        <w:rPr>
          <w:rFonts w:ascii="Arial" w:eastAsia="Calibri" w:hAnsi="Arial" w:cs="Arial"/>
          <w:sz w:val="20"/>
        </w:rPr>
      </w:pPr>
    </w:p>
    <w:p w14:paraId="010B0B09" w14:textId="77777777" w:rsidR="00322AD9" w:rsidRPr="008D49E6" w:rsidRDefault="00322AD9" w:rsidP="00322AD9">
      <w:pPr>
        <w:rPr>
          <w:rFonts w:eastAsia="Calibri" w:cs="Arial"/>
          <w:sz w:val="20"/>
          <w:szCs w:val="20"/>
          <w:lang w:val="en-GB"/>
        </w:rPr>
      </w:pPr>
      <w:r>
        <w:rPr>
          <w:rFonts w:ascii="Arial" w:eastAsia="Calibri" w:hAnsi="Arial" w:cs="Arial"/>
          <w:sz w:val="20"/>
          <w:szCs w:val="20"/>
          <w:lang w:val="en-GB"/>
        </w:rPr>
        <w:t>In a letter of 17 December 2018, Minister Koolmees set out the reason why in principle, no tax provision may be created for the transition allowance.</w:t>
      </w:r>
    </w:p>
    <w:p w14:paraId="1FB312CA" w14:textId="77777777" w:rsidR="00322AD9" w:rsidRPr="008D49E6" w:rsidRDefault="00322AD9" w:rsidP="00322AD9">
      <w:pPr>
        <w:rPr>
          <w:rFonts w:eastAsia="Calibri" w:cs="Arial"/>
          <w:sz w:val="20"/>
          <w:szCs w:val="20"/>
          <w:lang w:val="en-GB"/>
        </w:rPr>
      </w:pPr>
    </w:p>
    <w:p w14:paraId="33E4A3E7" w14:textId="77777777" w:rsidR="00322AD9" w:rsidRPr="008D49E6" w:rsidRDefault="00322AD9" w:rsidP="00322AD9">
      <w:pPr>
        <w:rPr>
          <w:rFonts w:eastAsia="Calibri" w:cs="Arial"/>
          <w:sz w:val="20"/>
          <w:szCs w:val="20"/>
          <w:lang w:val="en-GB"/>
        </w:rPr>
      </w:pPr>
      <w:r>
        <w:rPr>
          <w:rFonts w:ascii="Arial" w:eastAsia="Calibri" w:hAnsi="Arial" w:cs="Arial"/>
          <w:sz w:val="20"/>
          <w:szCs w:val="20"/>
          <w:lang w:val="en-GB"/>
        </w:rPr>
        <w:t xml:space="preserve">In order to create a provision, the tax rules and jurisprudence set out that as at balance sheet date, there must be reasonable certainty that the expense in the form of a transition allowance will actually occur in the future. Entitlement to a transition allowance does not arise until the date of the employer initiating the termination of employment. This is not always clear at balance sheet date. This may change in any future restructuring. </w:t>
      </w:r>
    </w:p>
    <w:p w14:paraId="23F01C8F" w14:textId="77777777" w:rsidR="004746E7" w:rsidRPr="008D49E6" w:rsidRDefault="004746E7" w:rsidP="004746E7">
      <w:pPr>
        <w:pStyle w:val="Default"/>
        <w:rPr>
          <w:sz w:val="20"/>
          <w:szCs w:val="20"/>
          <w:lang w:val="en-GB"/>
        </w:rPr>
      </w:pPr>
    </w:p>
    <w:p w14:paraId="30055D8A" w14:textId="19131A31" w:rsidR="00322AD9" w:rsidRPr="008D49E6" w:rsidRDefault="004746E7" w:rsidP="004746E7">
      <w:pPr>
        <w:shd w:val="clear" w:color="auto" w:fill="D9D9D9"/>
        <w:rPr>
          <w:rFonts w:ascii="Arial" w:hAnsi="Arial" w:cs="Arial"/>
          <w:sz w:val="20"/>
          <w:szCs w:val="20"/>
          <w:lang w:val="en-GB"/>
        </w:rPr>
      </w:pPr>
      <w:r>
        <w:rPr>
          <w:rFonts w:ascii="Arial" w:hAnsi="Arial" w:cs="Arial"/>
          <w:b/>
          <w:bCs/>
          <w:sz w:val="20"/>
          <w:szCs w:val="20"/>
          <w:lang w:val="en-GB"/>
        </w:rPr>
        <w:t>Please note!</w:t>
      </w:r>
      <w:r>
        <w:rPr>
          <w:rFonts w:ascii="Arial" w:hAnsi="Arial" w:cs="Arial"/>
          <w:sz w:val="20"/>
          <w:szCs w:val="20"/>
          <w:lang w:val="en-GB"/>
        </w:rPr>
        <w:br/>
        <w:t>The Minister will specify this issue in a policy decree in the spring of 2019.</w:t>
      </w:r>
    </w:p>
    <w:p w14:paraId="7D5D5138" w14:textId="77777777" w:rsidR="00322AD9" w:rsidRPr="008D49E6" w:rsidRDefault="00322AD9" w:rsidP="00322AD9">
      <w:pPr>
        <w:rPr>
          <w:rFonts w:eastAsia="Calibri" w:cs="Arial"/>
          <w:sz w:val="20"/>
          <w:szCs w:val="20"/>
          <w:lang w:val="en-GB"/>
        </w:rPr>
      </w:pPr>
    </w:p>
    <w:p w14:paraId="0001DA9E" w14:textId="77777777" w:rsidR="00322AD9" w:rsidRPr="008D49E6" w:rsidRDefault="00322AD9" w:rsidP="004746E7">
      <w:pPr>
        <w:pStyle w:val="Kop2"/>
        <w:rPr>
          <w:rFonts w:eastAsia="Calibri"/>
          <w:lang w:val="en-GB"/>
        </w:rPr>
      </w:pPr>
      <w:bookmarkStart w:id="61" w:name="_Toc534204759"/>
      <w:bookmarkStart w:id="62" w:name="_Toc536010219"/>
      <w:r>
        <w:rPr>
          <w:rFonts w:eastAsia="Calibri"/>
          <w:bCs/>
          <w:iCs w:val="0"/>
          <w:lang w:val="en-GB"/>
        </w:rPr>
        <w:t>From 2020 onwards, compensation for transition allowance during sick leave</w:t>
      </w:r>
      <w:bookmarkEnd w:id="61"/>
      <w:bookmarkEnd w:id="62"/>
    </w:p>
    <w:p w14:paraId="0CE088D2" w14:textId="77777777" w:rsidR="004746E7" w:rsidRPr="008D49E6" w:rsidRDefault="004746E7" w:rsidP="00322AD9">
      <w:pPr>
        <w:rPr>
          <w:rFonts w:ascii="Arial" w:eastAsia="Calibri" w:hAnsi="Arial" w:cs="Arial"/>
          <w:sz w:val="20"/>
          <w:szCs w:val="20"/>
          <w:lang w:val="en-GB"/>
        </w:rPr>
      </w:pPr>
    </w:p>
    <w:p w14:paraId="622C89E2"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 xml:space="preserve">From 2020 onwards, employers will be granted compensation for the transition allowance to be paid upon termination of employment of employees on long-term sick leave. </w:t>
      </w:r>
    </w:p>
    <w:p w14:paraId="61B27C91" w14:textId="77777777" w:rsidR="00322AD9" w:rsidRPr="008D49E6" w:rsidRDefault="00322AD9" w:rsidP="00322AD9">
      <w:pPr>
        <w:rPr>
          <w:rFonts w:ascii="Arial" w:eastAsia="Calibri" w:hAnsi="Arial" w:cs="Arial"/>
          <w:sz w:val="20"/>
          <w:szCs w:val="20"/>
          <w:lang w:val="en-GB"/>
        </w:rPr>
      </w:pPr>
    </w:p>
    <w:p w14:paraId="1761A9BC"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After the House of Representatives, the Senate also approved the bill regarding compensation of transition allowances during sick leave. Both the House of Representatives and the Senate feel it is justified to have a compensation for a transition allowance if long-term sick leave preceded the termination of employment. The transition allowance must also be paid in such cases.</w:t>
      </w:r>
    </w:p>
    <w:p w14:paraId="18B949B8" w14:textId="77777777" w:rsidR="00322AD9" w:rsidRPr="008D49E6" w:rsidRDefault="00322AD9" w:rsidP="00322AD9">
      <w:pPr>
        <w:rPr>
          <w:rFonts w:ascii="Arial" w:eastAsia="Calibri" w:hAnsi="Arial" w:cs="Arial"/>
          <w:sz w:val="20"/>
          <w:szCs w:val="20"/>
          <w:lang w:val="en-GB"/>
        </w:rPr>
      </w:pPr>
    </w:p>
    <w:p w14:paraId="174DE912"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Amount of compensation</w:t>
      </w:r>
    </w:p>
    <w:p w14:paraId="22F3071F"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 xml:space="preserve">The compensation payable by UWV (Employee Insurance Administration Agency) to the employer is not necessarily equal to the transition allowance paid out to the employee by the employer. Initially, this should concern an allowance paid after a sick leave period of at least 104 weeks. No right of compensation is granted on the accrued transition allowance over a period when the employer suspended the employment contract. In this context, the lowest amount of the double cost incurred by the employer is paid out, i.e. either continued payment of wages or the transition allowance. It is possible that the continued payment of wages was a fairly low amount due to a low wage, and the transition allowance was higher due to a high number of service years. </w:t>
      </w:r>
    </w:p>
    <w:p w14:paraId="6064F0D9" w14:textId="77777777" w:rsidR="00322AD9" w:rsidRDefault="00322AD9" w:rsidP="00322AD9">
      <w:pPr>
        <w:rPr>
          <w:rFonts w:ascii="Arial" w:eastAsia="Calibri" w:hAnsi="Arial" w:cs="Arial"/>
          <w:sz w:val="20"/>
          <w:szCs w:val="20"/>
          <w:lang w:val="en-GB"/>
        </w:rPr>
      </w:pPr>
    </w:p>
    <w:p w14:paraId="5D3E60E7" w14:textId="77777777" w:rsidR="007164CA" w:rsidRDefault="007164CA" w:rsidP="00322AD9">
      <w:pPr>
        <w:rPr>
          <w:rFonts w:ascii="Arial" w:eastAsia="Calibri" w:hAnsi="Arial" w:cs="Arial"/>
          <w:sz w:val="20"/>
          <w:szCs w:val="20"/>
          <w:lang w:val="en-GB"/>
        </w:rPr>
      </w:pPr>
    </w:p>
    <w:p w14:paraId="40D2A5F2" w14:textId="77777777" w:rsidR="007164CA" w:rsidRPr="008D49E6" w:rsidRDefault="007164CA" w:rsidP="00322AD9">
      <w:pPr>
        <w:rPr>
          <w:rFonts w:ascii="Arial" w:eastAsia="Calibri" w:hAnsi="Arial" w:cs="Arial"/>
          <w:sz w:val="20"/>
          <w:szCs w:val="20"/>
          <w:lang w:val="en-GB"/>
        </w:rPr>
      </w:pPr>
    </w:p>
    <w:p w14:paraId="1B78A4B4"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Application for Employee Insurance Agency</w:t>
      </w:r>
    </w:p>
    <w:p w14:paraId="7E534822"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This implies that UWV may grant compensation with retroactive effect. UWV will check the applications. For this purpose, UWV requires information from the employer. The employer should submit the following documents with the application:</w:t>
      </w:r>
    </w:p>
    <w:p w14:paraId="1CED8A8D" w14:textId="77777777" w:rsidR="004746E7" w:rsidRPr="008D49E6" w:rsidRDefault="004746E7" w:rsidP="00322AD9">
      <w:pPr>
        <w:rPr>
          <w:rFonts w:ascii="Arial" w:eastAsia="Calibri" w:hAnsi="Arial" w:cs="Arial"/>
          <w:sz w:val="20"/>
          <w:szCs w:val="20"/>
          <w:lang w:val="en-GB"/>
        </w:rPr>
      </w:pPr>
    </w:p>
    <w:p w14:paraId="5C0329C6" w14:textId="77777777" w:rsidR="00322AD9" w:rsidRPr="008D49E6" w:rsidRDefault="00322AD9" w:rsidP="00C80C29">
      <w:pPr>
        <w:numPr>
          <w:ilvl w:val="0"/>
          <w:numId w:val="12"/>
        </w:numPr>
        <w:contextualSpacing/>
        <w:rPr>
          <w:rFonts w:ascii="Arial" w:eastAsia="Calibri" w:hAnsi="Arial" w:cs="Arial"/>
          <w:sz w:val="20"/>
          <w:szCs w:val="20"/>
          <w:lang w:val="en-GB"/>
        </w:rPr>
      </w:pPr>
      <w:r>
        <w:rPr>
          <w:rFonts w:ascii="Arial" w:eastAsia="Calibri" w:hAnsi="Arial" w:cs="Arial"/>
          <w:sz w:val="20"/>
          <w:szCs w:val="20"/>
          <w:lang w:val="en-GB"/>
        </w:rPr>
        <w:t xml:space="preserve">a copy of the employment contract; </w:t>
      </w:r>
    </w:p>
    <w:p w14:paraId="006680A7" w14:textId="77777777" w:rsidR="00322AD9" w:rsidRPr="008D49E6" w:rsidRDefault="00322AD9" w:rsidP="00C80C29">
      <w:pPr>
        <w:numPr>
          <w:ilvl w:val="0"/>
          <w:numId w:val="12"/>
        </w:numPr>
        <w:contextualSpacing/>
        <w:rPr>
          <w:rFonts w:ascii="Arial" w:eastAsia="Calibri" w:hAnsi="Arial" w:cs="Arial"/>
          <w:sz w:val="20"/>
          <w:szCs w:val="20"/>
          <w:lang w:val="en-GB"/>
        </w:rPr>
      </w:pPr>
      <w:r>
        <w:rPr>
          <w:rFonts w:ascii="Arial" w:eastAsia="Calibri" w:hAnsi="Arial" w:cs="Arial"/>
          <w:sz w:val="20"/>
          <w:szCs w:val="20"/>
          <w:lang w:val="en-GB"/>
        </w:rPr>
        <w:t>proof of termination of the contract due to sick leave;</w:t>
      </w:r>
    </w:p>
    <w:p w14:paraId="77623379" w14:textId="77777777" w:rsidR="00322AD9" w:rsidRPr="008D49E6" w:rsidRDefault="00322AD9" w:rsidP="00C80C29">
      <w:pPr>
        <w:numPr>
          <w:ilvl w:val="0"/>
          <w:numId w:val="12"/>
        </w:numPr>
        <w:contextualSpacing/>
        <w:rPr>
          <w:rFonts w:ascii="Arial" w:eastAsia="Calibri" w:hAnsi="Arial" w:cs="Arial"/>
          <w:sz w:val="20"/>
          <w:szCs w:val="20"/>
          <w:lang w:val="en-GB"/>
        </w:rPr>
      </w:pPr>
      <w:r>
        <w:rPr>
          <w:rFonts w:ascii="Arial" w:eastAsia="Calibri" w:hAnsi="Arial" w:cs="Arial"/>
          <w:sz w:val="20"/>
          <w:szCs w:val="20"/>
          <w:lang w:val="en-GB"/>
        </w:rPr>
        <w:t>proof of continued payment of wages (payslips);</w:t>
      </w:r>
    </w:p>
    <w:p w14:paraId="0D5D9AA1" w14:textId="77777777" w:rsidR="00322AD9" w:rsidRPr="008D49E6" w:rsidRDefault="00322AD9" w:rsidP="00C80C29">
      <w:pPr>
        <w:numPr>
          <w:ilvl w:val="0"/>
          <w:numId w:val="12"/>
        </w:numPr>
        <w:contextualSpacing/>
        <w:rPr>
          <w:rFonts w:ascii="Arial" w:eastAsia="Calibri" w:hAnsi="Arial" w:cs="Arial"/>
          <w:sz w:val="20"/>
          <w:szCs w:val="20"/>
          <w:lang w:val="en-GB"/>
        </w:rPr>
      </w:pPr>
      <w:r>
        <w:rPr>
          <w:rFonts w:ascii="Arial" w:eastAsia="Calibri" w:hAnsi="Arial" w:cs="Arial"/>
          <w:sz w:val="20"/>
          <w:szCs w:val="20"/>
          <w:lang w:val="en-GB"/>
        </w:rPr>
        <w:t xml:space="preserve">proof of the amount of the transition allowance; </w:t>
      </w:r>
    </w:p>
    <w:p w14:paraId="5B01C31E" w14:textId="77777777" w:rsidR="00322AD9" w:rsidRPr="008D49E6" w:rsidRDefault="00322AD9" w:rsidP="00C80C29">
      <w:pPr>
        <w:numPr>
          <w:ilvl w:val="0"/>
          <w:numId w:val="12"/>
        </w:numPr>
        <w:contextualSpacing/>
        <w:rPr>
          <w:rFonts w:ascii="Arial" w:eastAsia="Calibri" w:hAnsi="Arial" w:cs="Arial"/>
          <w:sz w:val="20"/>
          <w:szCs w:val="20"/>
          <w:lang w:val="en-GB"/>
        </w:rPr>
      </w:pPr>
      <w:r>
        <w:rPr>
          <w:rFonts w:ascii="Arial" w:eastAsia="Calibri" w:hAnsi="Arial" w:cs="Arial"/>
          <w:sz w:val="20"/>
          <w:szCs w:val="20"/>
          <w:lang w:val="en-GB"/>
        </w:rPr>
        <w:t>proof of payment for such allowances.</w:t>
      </w:r>
    </w:p>
    <w:p w14:paraId="6DA72B50" w14:textId="77777777" w:rsidR="00322AD9" w:rsidRPr="008D49E6" w:rsidRDefault="00322AD9" w:rsidP="00322AD9">
      <w:pPr>
        <w:rPr>
          <w:rFonts w:ascii="Arial" w:eastAsia="Calibri" w:hAnsi="Arial" w:cs="Arial"/>
          <w:sz w:val="20"/>
          <w:szCs w:val="20"/>
          <w:lang w:val="en-GB"/>
        </w:rPr>
      </w:pPr>
    </w:p>
    <w:p w14:paraId="41359EF6"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Compensation for any employer</w:t>
      </w:r>
    </w:p>
    <w:p w14:paraId="412029CB"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The Coalition Agreement sets out that the scheme was designed for small businesses. The government decided that larger employers were also allowed to make use of the scheme. Any employer may make use of the scheme provided that the requirements are fulfilled. This makes the scheme more affordable, as the employer is charged a higher premium for the General Unemployment Fund.</w:t>
      </w:r>
    </w:p>
    <w:p w14:paraId="09F03634" w14:textId="77777777" w:rsidR="00322AD9" w:rsidRPr="008D49E6" w:rsidRDefault="00322AD9" w:rsidP="00322AD9">
      <w:pPr>
        <w:rPr>
          <w:rFonts w:ascii="Arial" w:eastAsia="Calibri" w:hAnsi="Arial" w:cs="Arial"/>
          <w:sz w:val="20"/>
          <w:szCs w:val="20"/>
          <w:lang w:val="en-GB"/>
        </w:rPr>
      </w:pPr>
    </w:p>
    <w:p w14:paraId="5F5C1A1E"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Start date</w:t>
      </w:r>
    </w:p>
    <w:p w14:paraId="49F9CFF5" w14:textId="2E62889A"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You may request compensation from UWV from 1 April 2020, within six months of payment of the full transition allowance. Employers may claim compensation with retroactive effect for transition allowances paid after 1 July 2015. This is possible from 1 April 2020 through 30 September 2020. These dates were determined in consultation with UWV. UWV indicated that their organisation needs time to prepare this measure.</w:t>
      </w:r>
    </w:p>
    <w:p w14:paraId="0FABD36E" w14:textId="77777777" w:rsidR="00322AD9" w:rsidRPr="008D49E6" w:rsidRDefault="00322AD9" w:rsidP="00322AD9">
      <w:pPr>
        <w:rPr>
          <w:rFonts w:ascii="Arial" w:eastAsia="Calibri" w:hAnsi="Arial" w:cs="Arial"/>
          <w:sz w:val="20"/>
          <w:szCs w:val="20"/>
          <w:lang w:val="en-GB"/>
        </w:rPr>
      </w:pPr>
    </w:p>
    <w:p w14:paraId="4DDAEC3E" w14:textId="77777777" w:rsidR="00322AD9" w:rsidRPr="008D49E6" w:rsidRDefault="00322AD9" w:rsidP="004746E7">
      <w:pPr>
        <w:pStyle w:val="Kop2"/>
        <w:rPr>
          <w:rFonts w:eastAsia="Calibri"/>
          <w:lang w:val="en-GB"/>
        </w:rPr>
      </w:pPr>
      <w:bookmarkStart w:id="63" w:name="_Toc534204762"/>
      <w:bookmarkStart w:id="64" w:name="_Toc536010220"/>
      <w:r>
        <w:rPr>
          <w:rFonts w:eastAsia="Calibri"/>
          <w:bCs/>
          <w:iCs w:val="0"/>
          <w:lang w:val="en-GB"/>
        </w:rPr>
        <w:t>Transition allowance also applies for reduced contractual working hours</w:t>
      </w:r>
      <w:bookmarkEnd w:id="63"/>
      <w:bookmarkEnd w:id="64"/>
    </w:p>
    <w:p w14:paraId="151F4A53" w14:textId="77777777" w:rsidR="004746E7" w:rsidRPr="008D49E6" w:rsidRDefault="004746E7" w:rsidP="00322AD9">
      <w:pPr>
        <w:rPr>
          <w:rFonts w:ascii="Arial" w:eastAsia="Calibri" w:hAnsi="Arial" w:cs="Arial"/>
          <w:sz w:val="20"/>
          <w:szCs w:val="20"/>
          <w:lang w:val="en-GB"/>
        </w:rPr>
      </w:pPr>
    </w:p>
    <w:p w14:paraId="62A5D2B9"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 xml:space="preserve">If the employment contract has continued for at least two years and was terminated at the employer’s initiative, the employer must pay out a transition allowance. The Supreme Court recently issued a decision, ruling that in some cases, a transition allowance is also due if the employment contract is not terminated in full, i.e. if the contractual working hours are reduced. </w:t>
      </w:r>
    </w:p>
    <w:p w14:paraId="0E91F8FF" w14:textId="77777777" w:rsidR="00322AD9" w:rsidRPr="008D49E6" w:rsidRDefault="00322AD9" w:rsidP="00322AD9">
      <w:pPr>
        <w:rPr>
          <w:rFonts w:ascii="Arial" w:eastAsia="Calibri" w:hAnsi="Arial" w:cs="Arial"/>
          <w:sz w:val="20"/>
          <w:szCs w:val="20"/>
          <w:lang w:val="en-GB"/>
        </w:rPr>
      </w:pPr>
    </w:p>
    <w:p w14:paraId="110A16CC"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A 55% employment contract</w:t>
      </w:r>
    </w:p>
    <w:p w14:paraId="4B194083"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 xml:space="preserve">This concerned a teacher with a full-time employment contract that was fully terminated after two years of sick leave, and subsequently reappointed based on an employment contract for 55% of the regular contractual working hours. The teacher requested payment of the full transition allowance due to full termination of her employment contract, or payment of a partial transition allowance for the portion of the employment contract that was terminated. </w:t>
      </w:r>
    </w:p>
    <w:p w14:paraId="22CCC878" w14:textId="77777777" w:rsidR="00322AD9" w:rsidRPr="008D49E6" w:rsidRDefault="00322AD9" w:rsidP="00322AD9">
      <w:pPr>
        <w:rPr>
          <w:rFonts w:ascii="Arial" w:eastAsia="Calibri" w:hAnsi="Arial" w:cs="Arial"/>
          <w:sz w:val="20"/>
          <w:szCs w:val="20"/>
          <w:lang w:val="en-GB"/>
        </w:rPr>
      </w:pPr>
    </w:p>
    <w:p w14:paraId="25336622"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The Supreme Court ruled that the legislation does not set out rules for a partial transition allowance if the contractual working hours are reduced, but that in special cases, the person would be entitled to a partial transition allowance.</w:t>
      </w:r>
    </w:p>
    <w:p w14:paraId="3FE1E537" w14:textId="77777777" w:rsidR="00322AD9" w:rsidRPr="008D49E6" w:rsidRDefault="00322AD9" w:rsidP="00322AD9">
      <w:pPr>
        <w:rPr>
          <w:rFonts w:ascii="Arial" w:eastAsia="Calibri" w:hAnsi="Arial" w:cs="Arial"/>
          <w:sz w:val="20"/>
          <w:szCs w:val="20"/>
          <w:lang w:val="en-GB"/>
        </w:rPr>
      </w:pPr>
    </w:p>
    <w:p w14:paraId="58235807"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What qualifies as a special case?</w:t>
      </w:r>
    </w:p>
    <w:p w14:paraId="5EF4F7B5"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 xml:space="preserve">A special case based on a claim for partial transition allowance is defined as when an employer is forced by circumstances to proceed with substantial and structural reduction of the employee’s contractual working hours. Substantial reduction is classed as a decrease of contractual working hours by at least 20%, and it is structural if the reduction can reasonably be expected to be permanent. </w:t>
      </w:r>
    </w:p>
    <w:p w14:paraId="76CFBB8F" w14:textId="77777777" w:rsidR="00322AD9" w:rsidRPr="008D49E6" w:rsidRDefault="00322AD9" w:rsidP="00322AD9">
      <w:pPr>
        <w:rPr>
          <w:rFonts w:ascii="Arial" w:eastAsia="Calibri" w:hAnsi="Arial" w:cs="Arial"/>
          <w:sz w:val="20"/>
          <w:szCs w:val="20"/>
          <w:lang w:val="en-GB"/>
        </w:rPr>
      </w:pPr>
    </w:p>
    <w:p w14:paraId="1A5B50DE"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The conditions forcing the employer to implement substantial and structural reduction include necessary partial redundancy due to economic or business conditions, or due to permanent partial occupational disability of the employee. The employees should not be held liable for circumstances that resulted in reduced contractual working hours.</w:t>
      </w:r>
    </w:p>
    <w:p w14:paraId="3C3A0820" w14:textId="77777777" w:rsidR="00322AD9" w:rsidRDefault="00322AD9" w:rsidP="00322AD9">
      <w:pPr>
        <w:rPr>
          <w:rFonts w:ascii="Arial" w:eastAsia="Calibri" w:hAnsi="Arial" w:cs="Arial"/>
          <w:sz w:val="20"/>
          <w:szCs w:val="20"/>
          <w:lang w:val="en-GB"/>
        </w:rPr>
      </w:pPr>
    </w:p>
    <w:p w14:paraId="6C350828" w14:textId="77777777" w:rsidR="007164CA" w:rsidRDefault="007164CA" w:rsidP="00322AD9">
      <w:pPr>
        <w:rPr>
          <w:rFonts w:ascii="Arial" w:eastAsia="Calibri" w:hAnsi="Arial" w:cs="Arial"/>
          <w:sz w:val="20"/>
          <w:szCs w:val="20"/>
          <w:lang w:val="en-GB"/>
        </w:rPr>
      </w:pPr>
    </w:p>
    <w:p w14:paraId="4986DF2A" w14:textId="77777777" w:rsidR="007164CA" w:rsidRPr="008D49E6" w:rsidRDefault="007164CA" w:rsidP="00322AD9">
      <w:pPr>
        <w:rPr>
          <w:rFonts w:ascii="Arial" w:eastAsia="Calibri" w:hAnsi="Arial" w:cs="Arial"/>
          <w:sz w:val="20"/>
          <w:szCs w:val="20"/>
          <w:lang w:val="en-GB"/>
        </w:rPr>
      </w:pPr>
    </w:p>
    <w:p w14:paraId="1956854D"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Partial transition allowance</w:t>
      </w:r>
    </w:p>
    <w:p w14:paraId="27448E00"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Please remember that an employee who has been with the company longer than two years and loses a substantial portion of contractual working hours due to circumstances for which the employee is not responsible is entitled to a partial transition allowance, pro-rated for the wage that he/she was entitled to originally.</w:t>
      </w:r>
    </w:p>
    <w:p w14:paraId="79EC7F56" w14:textId="77777777" w:rsidR="004746E7" w:rsidRPr="008D49E6" w:rsidRDefault="004746E7" w:rsidP="004746E7">
      <w:pPr>
        <w:pStyle w:val="Default"/>
        <w:rPr>
          <w:sz w:val="20"/>
          <w:szCs w:val="20"/>
          <w:lang w:val="en-GB"/>
        </w:rPr>
      </w:pPr>
    </w:p>
    <w:p w14:paraId="6334B807" w14:textId="24D97390" w:rsidR="00322AD9" w:rsidRPr="008D49E6" w:rsidRDefault="004746E7" w:rsidP="004746E7">
      <w:pPr>
        <w:shd w:val="clear" w:color="auto" w:fill="D9D9D9"/>
        <w:rPr>
          <w:rFonts w:ascii="Arial" w:hAnsi="Arial" w:cs="Arial"/>
          <w:sz w:val="20"/>
          <w:szCs w:val="20"/>
          <w:lang w:val="en-GB"/>
        </w:rPr>
      </w:pPr>
      <w:r>
        <w:rPr>
          <w:rFonts w:ascii="Arial" w:hAnsi="Arial" w:cs="Arial"/>
          <w:b/>
          <w:bCs/>
          <w:sz w:val="20"/>
          <w:szCs w:val="20"/>
          <w:lang w:val="en-GB"/>
        </w:rPr>
        <w:t>Tip!</w:t>
      </w:r>
      <w:r>
        <w:rPr>
          <w:rFonts w:ascii="Arial" w:hAnsi="Arial" w:cs="Arial"/>
          <w:sz w:val="20"/>
          <w:szCs w:val="20"/>
          <w:lang w:val="en-GB"/>
        </w:rPr>
        <w:br/>
        <w:t>As from 1 April 2020, employers may become eligible for a compensation scheme for the transition allowance in the event of termination of employment after long-term occupational disability. This scheme will apply to all employers. The compensation will amount to a maximum of the transition allowance or the wages paid out over the period of long-term occupational disability if lower.</w:t>
      </w:r>
    </w:p>
    <w:p w14:paraId="7884E08C" w14:textId="77777777" w:rsidR="00322AD9" w:rsidRPr="008D49E6" w:rsidRDefault="00322AD9" w:rsidP="00322AD9">
      <w:pPr>
        <w:rPr>
          <w:rFonts w:eastAsia="Calibri" w:cs="Arial"/>
          <w:sz w:val="22"/>
          <w:lang w:val="en-GB"/>
        </w:rPr>
      </w:pPr>
    </w:p>
    <w:p w14:paraId="1CA74C4E" w14:textId="77777777" w:rsidR="00322AD9" w:rsidRPr="008D49E6" w:rsidRDefault="00322AD9" w:rsidP="004746E7">
      <w:pPr>
        <w:pStyle w:val="Kop2"/>
        <w:rPr>
          <w:rFonts w:eastAsia="Calibri"/>
          <w:lang w:val="en-GB"/>
        </w:rPr>
      </w:pPr>
      <w:bookmarkStart w:id="65" w:name="_Toc534204755"/>
      <w:bookmarkStart w:id="66" w:name="_Toc536010221"/>
      <w:r>
        <w:rPr>
          <w:rFonts w:eastAsia="Calibri"/>
          <w:bCs/>
          <w:iCs w:val="0"/>
          <w:lang w:val="en-GB"/>
        </w:rPr>
        <w:t>Significant reform of legislation regarding termination of employment</w:t>
      </w:r>
      <w:bookmarkEnd w:id="65"/>
      <w:bookmarkEnd w:id="66"/>
    </w:p>
    <w:p w14:paraId="45332531" w14:textId="77777777" w:rsidR="004746E7" w:rsidRPr="008D49E6" w:rsidRDefault="004746E7" w:rsidP="00322AD9">
      <w:pPr>
        <w:rPr>
          <w:rFonts w:ascii="Arial" w:eastAsia="Calibri" w:hAnsi="Arial" w:cs="Arial"/>
          <w:sz w:val="20"/>
          <w:szCs w:val="20"/>
          <w:lang w:val="en-GB"/>
        </w:rPr>
      </w:pPr>
    </w:p>
    <w:p w14:paraId="5927001C"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 xml:space="preserve">The Cabinet has agreed on rigorous reform of labour law. This resulted in the Balanced Labour Market Bill. This bill makes the provisions regarding termination of employment less strict, and offers an option of a longer temporary contract and a longer trial period. The rules regarding the transition allowance after termination of employment are also revised. </w:t>
      </w:r>
    </w:p>
    <w:p w14:paraId="483C1FB8" w14:textId="77777777" w:rsidR="00322AD9" w:rsidRPr="008D49E6" w:rsidRDefault="00322AD9" w:rsidP="00322AD9">
      <w:pPr>
        <w:rPr>
          <w:rFonts w:ascii="Arial" w:eastAsia="Calibri" w:hAnsi="Arial" w:cs="Arial"/>
          <w:sz w:val="20"/>
          <w:szCs w:val="20"/>
          <w:lang w:val="en-GB"/>
        </w:rPr>
      </w:pPr>
    </w:p>
    <w:p w14:paraId="45999EC0"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Coalition Agreement</w:t>
      </w:r>
    </w:p>
    <w:p w14:paraId="316BFB7A"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The plans are part of the Coalition Agreement. The Cabinet also agrees on the specifics of these measures. The changes are subject to parliamentary approval.</w:t>
      </w:r>
    </w:p>
    <w:p w14:paraId="169B34FD" w14:textId="77777777" w:rsidR="00322AD9" w:rsidRPr="008D49E6" w:rsidRDefault="00322AD9" w:rsidP="00322AD9">
      <w:pPr>
        <w:rPr>
          <w:rFonts w:ascii="Arial" w:eastAsia="Calibri" w:hAnsi="Arial" w:cs="Arial"/>
          <w:sz w:val="20"/>
          <w:szCs w:val="20"/>
          <w:lang w:val="en-GB"/>
        </w:rPr>
      </w:pPr>
    </w:p>
    <w:p w14:paraId="5B4C9431"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Provisions regarding termination of employment less strict</w:t>
      </w:r>
    </w:p>
    <w:p w14:paraId="23DE042E"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 xml:space="preserve">The less strict provisions ruling termination of employment mean that reasonable grounds, which individually would not be sufficient grounds for dismissal, can be combined to have sufficient grounds for dismissal. This concerns a so-called ‘accumulation of grounds’. </w:t>
      </w:r>
    </w:p>
    <w:p w14:paraId="17530D2A" w14:textId="77777777" w:rsidR="00322AD9" w:rsidRPr="008D49E6" w:rsidRDefault="00322AD9" w:rsidP="00322AD9">
      <w:pPr>
        <w:rPr>
          <w:rFonts w:ascii="Arial" w:eastAsia="Calibri" w:hAnsi="Arial" w:cs="Arial"/>
          <w:sz w:val="20"/>
          <w:szCs w:val="20"/>
          <w:lang w:val="en-GB"/>
        </w:rPr>
      </w:pPr>
    </w:p>
    <w:p w14:paraId="682CBD6D"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Transition allowance</w:t>
      </w:r>
    </w:p>
    <w:p w14:paraId="176BEF25"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 xml:space="preserve">The Balanced Labour Market Bill sets out that the transition allowance is accrued from the start of the employment contract rather than after two years, as is the case now. On the other hand, the transition allowance no longer increases for an employment contract covering ten years or longer. If dissolution is granted based on the aforementioned accumulation of grounds, the transition allowance can be increased by a maximum of 50% by the Court. </w:t>
      </w:r>
    </w:p>
    <w:p w14:paraId="22C20B2D" w14:textId="77777777" w:rsidR="00322AD9" w:rsidRPr="008D49E6" w:rsidRDefault="00322AD9" w:rsidP="00322AD9">
      <w:pPr>
        <w:rPr>
          <w:rFonts w:ascii="Arial" w:eastAsia="Calibri" w:hAnsi="Arial" w:cs="Arial"/>
          <w:sz w:val="20"/>
          <w:szCs w:val="20"/>
          <w:lang w:val="en-GB"/>
        </w:rPr>
      </w:pPr>
    </w:p>
    <w:p w14:paraId="093381B0"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Longer temporary contract</w:t>
      </w:r>
    </w:p>
    <w:p w14:paraId="1802E33B"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 xml:space="preserve">Employers have the option of offering a permanent employment contract after three years, rather than the current period of two years. This is designed as an incentive to hire more employees based on a permanent employment contract. </w:t>
      </w:r>
    </w:p>
    <w:p w14:paraId="41D3FAF1" w14:textId="77777777" w:rsidR="00322AD9" w:rsidRPr="008D49E6" w:rsidRDefault="00322AD9" w:rsidP="00322AD9">
      <w:pPr>
        <w:rPr>
          <w:rFonts w:ascii="Arial" w:eastAsia="Calibri" w:hAnsi="Arial" w:cs="Arial"/>
          <w:sz w:val="20"/>
          <w:szCs w:val="20"/>
          <w:lang w:val="en-GB"/>
        </w:rPr>
      </w:pPr>
    </w:p>
    <w:p w14:paraId="7C4EC557"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Longer trial period</w:t>
      </w:r>
    </w:p>
    <w:p w14:paraId="0D212A4C" w14:textId="33AB8624"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The trial period is also subject to change. Currently, the maximum trial period is two months for an employment contract of two years or longer, or a permanent employment contract. This is extended to five months for a first contract if the employer offers a permanent employment contract. For a first contract for more than two years, the trial period may amount to a maximum of three months.</w:t>
      </w:r>
    </w:p>
    <w:p w14:paraId="4C605FAE" w14:textId="77777777" w:rsidR="00322AD9" w:rsidRPr="008D49E6" w:rsidRDefault="00322AD9" w:rsidP="00322AD9">
      <w:pPr>
        <w:rPr>
          <w:rFonts w:ascii="Arial" w:eastAsia="Calibri" w:hAnsi="Arial" w:cs="Arial"/>
          <w:sz w:val="20"/>
          <w:szCs w:val="20"/>
          <w:lang w:val="en-GB"/>
        </w:rPr>
      </w:pPr>
    </w:p>
    <w:p w14:paraId="28436749" w14:textId="77777777" w:rsidR="00322AD9" w:rsidRPr="00BE4865" w:rsidRDefault="00322AD9" w:rsidP="004746E7">
      <w:pPr>
        <w:pStyle w:val="Kop2"/>
        <w:rPr>
          <w:rFonts w:eastAsia="Calibri"/>
        </w:rPr>
      </w:pPr>
      <w:bookmarkStart w:id="67" w:name="_Toc534204756"/>
      <w:bookmarkStart w:id="68" w:name="_Toc536010222"/>
      <w:r>
        <w:rPr>
          <w:rFonts w:eastAsia="Calibri"/>
          <w:bCs/>
          <w:iCs w:val="0"/>
          <w:lang w:val="en-GB"/>
        </w:rPr>
        <w:t>More partner leave for childbirth</w:t>
      </w:r>
      <w:bookmarkEnd w:id="67"/>
      <w:bookmarkEnd w:id="68"/>
    </w:p>
    <w:p w14:paraId="5626A663" w14:textId="77777777" w:rsidR="004746E7" w:rsidRDefault="004746E7" w:rsidP="00322AD9">
      <w:pPr>
        <w:rPr>
          <w:rFonts w:ascii="Arial" w:eastAsia="Calibri" w:hAnsi="Arial" w:cs="Arial"/>
          <w:sz w:val="20"/>
          <w:szCs w:val="20"/>
        </w:rPr>
      </w:pPr>
    </w:p>
    <w:p w14:paraId="3CDE2387" w14:textId="77777777" w:rsidR="00322AD9" w:rsidRDefault="00322AD9" w:rsidP="00322AD9">
      <w:pPr>
        <w:rPr>
          <w:rFonts w:ascii="Arial" w:eastAsia="Calibri" w:hAnsi="Arial" w:cs="Arial"/>
          <w:sz w:val="20"/>
          <w:szCs w:val="20"/>
          <w:lang w:val="en-GB"/>
        </w:rPr>
      </w:pPr>
      <w:r>
        <w:rPr>
          <w:rFonts w:ascii="Arial" w:eastAsia="Calibri" w:hAnsi="Arial" w:cs="Arial"/>
          <w:sz w:val="20"/>
          <w:szCs w:val="20"/>
          <w:lang w:val="en-GB"/>
        </w:rPr>
        <w:t xml:space="preserve">Partners will be entitled to a longer leave period when a child is born as from 2019. Maternity leave/paternity leave (currently two days) is renamed to childbirth leave in 2019, amounting to once the agreed weekly contractual working hours. The cost of such extra leave is fully charged to the employer. </w:t>
      </w:r>
    </w:p>
    <w:p w14:paraId="562C392E" w14:textId="77777777" w:rsidR="007164CA" w:rsidRDefault="007164CA" w:rsidP="00322AD9">
      <w:pPr>
        <w:rPr>
          <w:rFonts w:ascii="Arial" w:eastAsia="Calibri" w:hAnsi="Arial" w:cs="Arial"/>
          <w:sz w:val="20"/>
          <w:szCs w:val="20"/>
          <w:lang w:val="en-GB"/>
        </w:rPr>
      </w:pPr>
    </w:p>
    <w:p w14:paraId="799A7B44" w14:textId="77777777" w:rsidR="007164CA" w:rsidRDefault="007164CA" w:rsidP="00322AD9">
      <w:pPr>
        <w:rPr>
          <w:rFonts w:ascii="Arial" w:eastAsia="Calibri" w:hAnsi="Arial" w:cs="Arial"/>
          <w:sz w:val="20"/>
          <w:szCs w:val="20"/>
          <w:lang w:val="en-GB"/>
        </w:rPr>
      </w:pPr>
    </w:p>
    <w:p w14:paraId="3677CC93" w14:textId="77777777" w:rsidR="007164CA" w:rsidRDefault="007164CA" w:rsidP="00322AD9">
      <w:pPr>
        <w:rPr>
          <w:rFonts w:ascii="Arial" w:eastAsia="Calibri" w:hAnsi="Arial" w:cs="Arial"/>
          <w:sz w:val="20"/>
          <w:szCs w:val="20"/>
          <w:lang w:val="en-GB"/>
        </w:rPr>
      </w:pPr>
    </w:p>
    <w:p w14:paraId="2CEFFA65" w14:textId="77777777" w:rsidR="007164CA" w:rsidRPr="008D49E6" w:rsidRDefault="007164CA" w:rsidP="00322AD9">
      <w:pPr>
        <w:rPr>
          <w:rFonts w:ascii="Arial" w:eastAsia="Calibri" w:hAnsi="Arial" w:cs="Arial"/>
          <w:sz w:val="20"/>
          <w:szCs w:val="20"/>
          <w:lang w:val="en-GB"/>
        </w:rPr>
      </w:pPr>
    </w:p>
    <w:p w14:paraId="43DEEC21"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Extra leave from 1 July 2020</w:t>
      </w:r>
    </w:p>
    <w:p w14:paraId="5A159623"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 xml:space="preserve">As from 1 July 2020, partners will be entitled to an even longer leave period when a child is born. This concerns a total of five extra weeks, which implies that the total childbirth leave is a maximum of six weeks. </w:t>
      </w:r>
    </w:p>
    <w:p w14:paraId="092DA8FD" w14:textId="77777777" w:rsidR="00322AD9" w:rsidRPr="008D49E6" w:rsidRDefault="00322AD9" w:rsidP="00322AD9">
      <w:pPr>
        <w:rPr>
          <w:rFonts w:ascii="Arial" w:eastAsia="Calibri" w:hAnsi="Arial" w:cs="Arial"/>
          <w:sz w:val="20"/>
          <w:szCs w:val="20"/>
          <w:lang w:val="en-GB"/>
        </w:rPr>
      </w:pPr>
    </w:p>
    <w:p w14:paraId="37B8B772"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Benefit</w:t>
      </w:r>
    </w:p>
    <w:p w14:paraId="44625978"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During the five weeks of extra leave, the partner is entitled to an UWV benefit amounting to 70% of the (maximum) daily wage. An employer may supplement this benefit on a voluntary basis.</w:t>
      </w:r>
    </w:p>
    <w:p w14:paraId="52020827" w14:textId="77777777" w:rsidR="004746E7" w:rsidRPr="008D49E6" w:rsidRDefault="004746E7" w:rsidP="004746E7">
      <w:pPr>
        <w:pStyle w:val="Default"/>
        <w:rPr>
          <w:sz w:val="20"/>
          <w:szCs w:val="20"/>
          <w:lang w:val="en-GB"/>
        </w:rPr>
      </w:pPr>
    </w:p>
    <w:p w14:paraId="3D6E4F67" w14:textId="5A0B8445" w:rsidR="00322AD9" w:rsidRPr="008D49E6" w:rsidRDefault="004746E7" w:rsidP="004746E7">
      <w:pPr>
        <w:shd w:val="clear" w:color="auto" w:fill="D9D9D9"/>
        <w:rPr>
          <w:rFonts w:ascii="Arial" w:hAnsi="Arial" w:cs="Arial"/>
          <w:sz w:val="20"/>
          <w:szCs w:val="20"/>
          <w:lang w:val="en-GB"/>
        </w:rPr>
      </w:pPr>
      <w:r>
        <w:rPr>
          <w:rFonts w:ascii="Arial" w:hAnsi="Arial" w:cs="Arial"/>
          <w:b/>
          <w:bCs/>
          <w:sz w:val="20"/>
          <w:szCs w:val="20"/>
          <w:lang w:val="en-GB"/>
        </w:rPr>
        <w:t>Please note!</w:t>
      </w:r>
      <w:r>
        <w:rPr>
          <w:rFonts w:ascii="Arial" w:hAnsi="Arial" w:cs="Arial"/>
          <w:sz w:val="20"/>
          <w:szCs w:val="20"/>
          <w:lang w:val="en-GB"/>
        </w:rPr>
        <w:br/>
        <w:t>The new legislation does not apply to ZZP contractors.</w:t>
      </w:r>
    </w:p>
    <w:p w14:paraId="4150C21C" w14:textId="77777777" w:rsidR="00322AD9" w:rsidRPr="008D49E6" w:rsidRDefault="00322AD9" w:rsidP="00322AD9">
      <w:pPr>
        <w:rPr>
          <w:rFonts w:ascii="Arial" w:eastAsia="Calibri" w:hAnsi="Arial" w:cs="Arial"/>
          <w:sz w:val="20"/>
          <w:szCs w:val="20"/>
          <w:lang w:val="en-GB"/>
        </w:rPr>
      </w:pPr>
    </w:p>
    <w:p w14:paraId="52338423"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When to take up leave?</w:t>
      </w:r>
    </w:p>
    <w:p w14:paraId="1D6115FF"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The week of childbirth leave can be taken up in the first four weeks after childbirth. The extra five weeks of leave can be taken up to six months after childbirth. The employee is in principle free to decide when to take up the extra time, but this may be rescheduled in the event of significant business interests.</w:t>
      </w:r>
    </w:p>
    <w:p w14:paraId="3095A4F7" w14:textId="77777777" w:rsidR="00322AD9" w:rsidRPr="008D49E6" w:rsidRDefault="00322AD9" w:rsidP="00322AD9">
      <w:pPr>
        <w:rPr>
          <w:rFonts w:ascii="Arial" w:eastAsia="Calibri" w:hAnsi="Arial" w:cs="Arial"/>
          <w:sz w:val="20"/>
          <w:szCs w:val="20"/>
          <w:lang w:val="en-GB"/>
        </w:rPr>
      </w:pPr>
    </w:p>
    <w:p w14:paraId="77E65C96"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Extension of adoption and foster care leave</w:t>
      </w:r>
    </w:p>
    <w:p w14:paraId="5B7AE3EC"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The period of adoption and foster care leave was extended as from 1 January 2019. This period is now four weeks, and is extended to six weeks.</w:t>
      </w:r>
    </w:p>
    <w:p w14:paraId="1486B146" w14:textId="77777777" w:rsidR="00322AD9" w:rsidRPr="008D49E6" w:rsidRDefault="00322AD9" w:rsidP="00322AD9">
      <w:pPr>
        <w:rPr>
          <w:rFonts w:ascii="Arial" w:eastAsia="Calibri" w:hAnsi="Arial" w:cs="Arial"/>
          <w:sz w:val="20"/>
          <w:szCs w:val="20"/>
          <w:lang w:val="en-GB"/>
        </w:rPr>
      </w:pPr>
    </w:p>
    <w:p w14:paraId="0E4B8A6C" w14:textId="77777777" w:rsidR="00322AD9" w:rsidRPr="008D49E6" w:rsidRDefault="00322AD9" w:rsidP="004746E7">
      <w:pPr>
        <w:pStyle w:val="Kop2"/>
        <w:rPr>
          <w:rFonts w:eastAsia="Calibri"/>
          <w:lang w:val="en-GB"/>
        </w:rPr>
      </w:pPr>
      <w:bookmarkStart w:id="69" w:name="_Toc534204757"/>
      <w:bookmarkStart w:id="70" w:name="_Toc536010223"/>
      <w:r>
        <w:rPr>
          <w:rFonts w:eastAsia="Calibri"/>
          <w:bCs/>
          <w:iCs w:val="0"/>
          <w:lang w:val="en-GB"/>
        </w:rPr>
        <w:t>What changed in the Termination of Employment Implementation Rules?</w:t>
      </w:r>
      <w:bookmarkEnd w:id="69"/>
      <w:bookmarkEnd w:id="70"/>
    </w:p>
    <w:p w14:paraId="06DE3398" w14:textId="77777777" w:rsidR="004746E7" w:rsidRPr="008D49E6" w:rsidRDefault="004746E7" w:rsidP="00322AD9">
      <w:pPr>
        <w:rPr>
          <w:rFonts w:ascii="Arial" w:eastAsia="Calibri" w:hAnsi="Arial" w:cs="Arial"/>
          <w:sz w:val="20"/>
          <w:szCs w:val="20"/>
          <w:lang w:val="en-GB"/>
        </w:rPr>
      </w:pPr>
    </w:p>
    <w:p w14:paraId="030A095C"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 xml:space="preserve">The Termination of Employment Implementation Rules were updated as per 1 August 2018. The Termination of Employment Implementation Rules are a specification of the statutory rules for dismissal via UWV (Employee Insurance Administration Agency). This concerns updates and additions to the Termination of Employment Implementation Rules for redundancy and dismissal due to long-term occupational disability. As the employer, you can apply these statutory implementation rules if you want more clarity regarding the way UWV assesses an application for dismissal. </w:t>
      </w:r>
    </w:p>
    <w:p w14:paraId="3315C3C6" w14:textId="77777777" w:rsidR="00322AD9" w:rsidRPr="008D49E6" w:rsidRDefault="00322AD9" w:rsidP="00322AD9">
      <w:pPr>
        <w:rPr>
          <w:rFonts w:ascii="Arial" w:eastAsia="Calibri" w:hAnsi="Arial" w:cs="Arial"/>
          <w:sz w:val="20"/>
          <w:szCs w:val="20"/>
          <w:lang w:val="en-GB"/>
        </w:rPr>
      </w:pPr>
    </w:p>
    <w:p w14:paraId="650442FE"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The main changes are:</w:t>
      </w:r>
    </w:p>
    <w:p w14:paraId="6F8B06BA" w14:textId="77777777" w:rsidR="00322AD9" w:rsidRPr="008D49E6" w:rsidRDefault="00322AD9" w:rsidP="00322AD9">
      <w:pPr>
        <w:rPr>
          <w:rFonts w:ascii="Arial" w:eastAsia="Calibri" w:hAnsi="Arial" w:cs="Arial"/>
          <w:sz w:val="20"/>
          <w:szCs w:val="20"/>
          <w:lang w:val="en-GB"/>
        </w:rPr>
      </w:pPr>
    </w:p>
    <w:p w14:paraId="438E0275" w14:textId="77777777" w:rsidR="00322AD9" w:rsidRPr="008D49E6" w:rsidRDefault="00322AD9" w:rsidP="00322AD9">
      <w:pPr>
        <w:rPr>
          <w:rFonts w:ascii="Arial" w:eastAsia="Calibri" w:hAnsi="Arial" w:cs="Arial"/>
          <w:i/>
          <w:sz w:val="20"/>
          <w:szCs w:val="20"/>
          <w:lang w:val="en-GB"/>
        </w:rPr>
      </w:pPr>
      <w:r>
        <w:rPr>
          <w:rFonts w:ascii="Arial" w:eastAsia="Calibri" w:hAnsi="Arial" w:cs="Arial"/>
          <w:i/>
          <w:iCs/>
          <w:sz w:val="20"/>
          <w:szCs w:val="20"/>
          <w:lang w:val="en-GB"/>
        </w:rPr>
        <w:t>In the event of redundancy:</w:t>
      </w:r>
    </w:p>
    <w:p w14:paraId="156E109C" w14:textId="77777777" w:rsidR="004746E7" w:rsidRPr="008D49E6" w:rsidRDefault="004746E7" w:rsidP="00322AD9">
      <w:pPr>
        <w:rPr>
          <w:rFonts w:ascii="Arial" w:eastAsia="Calibri" w:hAnsi="Arial" w:cs="Arial"/>
          <w:i/>
          <w:sz w:val="20"/>
          <w:szCs w:val="20"/>
          <w:lang w:val="en-GB"/>
        </w:rPr>
      </w:pPr>
    </w:p>
    <w:p w14:paraId="3A012A21" w14:textId="77777777" w:rsidR="00322AD9" w:rsidRPr="008D49E6" w:rsidRDefault="00322AD9" w:rsidP="00C80C29">
      <w:pPr>
        <w:numPr>
          <w:ilvl w:val="0"/>
          <w:numId w:val="10"/>
        </w:numPr>
        <w:contextualSpacing/>
        <w:rPr>
          <w:rFonts w:ascii="Arial" w:eastAsia="Calibri" w:hAnsi="Arial" w:cs="Arial"/>
          <w:sz w:val="20"/>
          <w:szCs w:val="20"/>
          <w:lang w:val="en-GB"/>
        </w:rPr>
      </w:pPr>
      <w:r>
        <w:rPr>
          <w:rFonts w:ascii="Arial" w:eastAsia="Calibri" w:hAnsi="Arial" w:cs="Arial"/>
          <w:sz w:val="20"/>
          <w:szCs w:val="20"/>
          <w:lang w:val="en-GB"/>
        </w:rPr>
        <w:t>Your compliance with obligations set out in the WOR Act (Works Councils Act) if you are an employer without a Works Council or employee representative;</w:t>
      </w:r>
    </w:p>
    <w:p w14:paraId="59BA15D8" w14:textId="77777777" w:rsidR="00322AD9" w:rsidRPr="008D49E6" w:rsidRDefault="00322AD9" w:rsidP="00C80C29">
      <w:pPr>
        <w:numPr>
          <w:ilvl w:val="0"/>
          <w:numId w:val="10"/>
        </w:numPr>
        <w:contextualSpacing/>
        <w:rPr>
          <w:rFonts w:ascii="Arial" w:eastAsia="Calibri" w:hAnsi="Arial" w:cs="Arial"/>
          <w:sz w:val="20"/>
          <w:szCs w:val="20"/>
          <w:lang w:val="en-GB"/>
        </w:rPr>
      </w:pPr>
      <w:r>
        <w:rPr>
          <w:rFonts w:ascii="Arial" w:eastAsia="Calibri" w:hAnsi="Arial" w:cs="Arial"/>
          <w:sz w:val="20"/>
          <w:szCs w:val="20"/>
          <w:lang w:val="en-GB"/>
        </w:rPr>
        <w:t>A further explanation of how to deal with international situations, redundancy and proportional representation;</w:t>
      </w:r>
    </w:p>
    <w:p w14:paraId="52E4E1D9" w14:textId="77777777" w:rsidR="00322AD9" w:rsidRPr="008D49E6" w:rsidRDefault="00322AD9" w:rsidP="00C80C29">
      <w:pPr>
        <w:numPr>
          <w:ilvl w:val="0"/>
          <w:numId w:val="10"/>
        </w:numPr>
        <w:contextualSpacing/>
        <w:rPr>
          <w:rFonts w:ascii="Arial" w:eastAsia="Calibri" w:hAnsi="Arial" w:cs="Arial"/>
          <w:sz w:val="20"/>
          <w:szCs w:val="20"/>
          <w:lang w:val="en-GB"/>
        </w:rPr>
      </w:pPr>
      <w:r>
        <w:rPr>
          <w:rFonts w:ascii="Arial" w:eastAsia="Calibri" w:hAnsi="Arial" w:cs="Arial"/>
          <w:sz w:val="20"/>
          <w:szCs w:val="20"/>
          <w:lang w:val="en-GB"/>
        </w:rPr>
        <w:t>A further explanation of in-placement and out-placement of employees;</w:t>
      </w:r>
    </w:p>
    <w:p w14:paraId="31B92EA1" w14:textId="77777777" w:rsidR="00322AD9" w:rsidRPr="008D49E6" w:rsidRDefault="00322AD9" w:rsidP="00C80C29">
      <w:pPr>
        <w:numPr>
          <w:ilvl w:val="0"/>
          <w:numId w:val="10"/>
        </w:numPr>
        <w:contextualSpacing/>
        <w:rPr>
          <w:rFonts w:ascii="Arial" w:eastAsia="Calibri" w:hAnsi="Arial" w:cs="Arial"/>
          <w:sz w:val="20"/>
          <w:szCs w:val="20"/>
          <w:lang w:val="en-GB"/>
        </w:rPr>
      </w:pPr>
      <w:r>
        <w:rPr>
          <w:rFonts w:ascii="Arial" w:eastAsia="Calibri" w:hAnsi="Arial" w:cs="Arial"/>
          <w:sz w:val="20"/>
          <w:szCs w:val="20"/>
          <w:lang w:val="en-GB"/>
        </w:rPr>
        <w:t>How to deal with payroll employees as an employer;</w:t>
      </w:r>
    </w:p>
    <w:p w14:paraId="283EA670" w14:textId="77777777" w:rsidR="00322AD9" w:rsidRPr="008D49E6" w:rsidRDefault="00322AD9" w:rsidP="00C80C29">
      <w:pPr>
        <w:numPr>
          <w:ilvl w:val="0"/>
          <w:numId w:val="10"/>
        </w:numPr>
        <w:contextualSpacing/>
        <w:rPr>
          <w:rFonts w:ascii="Arial" w:eastAsia="Calibri" w:hAnsi="Arial" w:cs="Arial"/>
          <w:sz w:val="20"/>
          <w:szCs w:val="20"/>
          <w:lang w:val="en-GB"/>
        </w:rPr>
      </w:pPr>
      <w:r>
        <w:rPr>
          <w:rFonts w:ascii="Arial" w:eastAsia="Calibri" w:hAnsi="Arial" w:cs="Arial"/>
          <w:sz w:val="20"/>
          <w:szCs w:val="20"/>
          <w:lang w:val="en-GB"/>
        </w:rPr>
        <w:t>A new Chapter on the Reporting Mass Redundancy Act.</w:t>
      </w:r>
    </w:p>
    <w:p w14:paraId="0683E943" w14:textId="77777777" w:rsidR="00322AD9" w:rsidRPr="008D49E6" w:rsidRDefault="00322AD9" w:rsidP="00322AD9">
      <w:pPr>
        <w:rPr>
          <w:rFonts w:ascii="Arial" w:eastAsia="Calibri" w:hAnsi="Arial" w:cs="Arial"/>
          <w:sz w:val="20"/>
          <w:szCs w:val="20"/>
          <w:lang w:val="en-GB"/>
        </w:rPr>
      </w:pPr>
    </w:p>
    <w:p w14:paraId="0D986943" w14:textId="77777777" w:rsidR="00322AD9" w:rsidRPr="008D49E6" w:rsidRDefault="00322AD9" w:rsidP="00322AD9">
      <w:pPr>
        <w:rPr>
          <w:rFonts w:ascii="Arial" w:eastAsia="Calibri" w:hAnsi="Arial" w:cs="Arial"/>
          <w:i/>
          <w:sz w:val="20"/>
          <w:szCs w:val="20"/>
          <w:lang w:val="en-GB"/>
        </w:rPr>
      </w:pPr>
      <w:r>
        <w:rPr>
          <w:rFonts w:ascii="Arial" w:eastAsia="Calibri" w:hAnsi="Arial" w:cs="Arial"/>
          <w:i/>
          <w:iCs/>
          <w:sz w:val="20"/>
          <w:szCs w:val="20"/>
          <w:lang w:val="en-GB"/>
        </w:rPr>
        <w:t>In the event of termination of employment after long-term occupational disability:</w:t>
      </w:r>
    </w:p>
    <w:p w14:paraId="4874BA38" w14:textId="77777777" w:rsidR="004746E7" w:rsidRPr="008D49E6" w:rsidRDefault="004746E7" w:rsidP="00322AD9">
      <w:pPr>
        <w:rPr>
          <w:rFonts w:ascii="Arial" w:eastAsia="Calibri" w:hAnsi="Arial" w:cs="Arial"/>
          <w:i/>
          <w:sz w:val="20"/>
          <w:szCs w:val="20"/>
          <w:lang w:val="en-GB"/>
        </w:rPr>
      </w:pPr>
    </w:p>
    <w:p w14:paraId="2B0AF27A" w14:textId="77777777" w:rsidR="00322AD9" w:rsidRPr="008D49E6" w:rsidRDefault="00322AD9" w:rsidP="00C80C29">
      <w:pPr>
        <w:numPr>
          <w:ilvl w:val="0"/>
          <w:numId w:val="11"/>
        </w:numPr>
        <w:contextualSpacing/>
        <w:rPr>
          <w:rFonts w:ascii="Arial" w:eastAsia="Calibri" w:hAnsi="Arial" w:cs="Arial"/>
          <w:sz w:val="20"/>
          <w:szCs w:val="20"/>
          <w:lang w:val="en-GB"/>
        </w:rPr>
      </w:pPr>
      <w:r>
        <w:rPr>
          <w:rFonts w:ascii="Arial" w:eastAsia="Calibri" w:hAnsi="Arial" w:cs="Arial"/>
          <w:sz w:val="20"/>
          <w:szCs w:val="20"/>
          <w:lang w:val="en-GB"/>
        </w:rPr>
        <w:t>An explanation of situations concerning the WIA, including overdue applications and the appeals procedure;</w:t>
      </w:r>
    </w:p>
    <w:p w14:paraId="5E050291" w14:textId="77777777" w:rsidR="00322AD9" w:rsidRPr="008D49E6" w:rsidRDefault="00322AD9" w:rsidP="00C80C29">
      <w:pPr>
        <w:numPr>
          <w:ilvl w:val="0"/>
          <w:numId w:val="11"/>
        </w:numPr>
        <w:contextualSpacing/>
        <w:rPr>
          <w:rFonts w:ascii="Arial" w:eastAsia="Calibri" w:hAnsi="Arial" w:cs="Arial"/>
          <w:sz w:val="20"/>
          <w:szCs w:val="20"/>
          <w:lang w:val="en-GB"/>
        </w:rPr>
      </w:pPr>
      <w:r>
        <w:rPr>
          <w:rFonts w:ascii="Arial" w:eastAsia="Calibri" w:hAnsi="Arial" w:cs="Arial"/>
          <w:sz w:val="20"/>
          <w:szCs w:val="20"/>
          <w:lang w:val="en-GB"/>
        </w:rPr>
        <w:t>A further explanation of in-placement and out-placement of employees;</w:t>
      </w:r>
    </w:p>
    <w:p w14:paraId="1E276C10" w14:textId="42AF368B" w:rsidR="00322AD9" w:rsidRPr="008D49E6" w:rsidRDefault="00322AD9" w:rsidP="00C80C29">
      <w:pPr>
        <w:numPr>
          <w:ilvl w:val="0"/>
          <w:numId w:val="11"/>
        </w:numPr>
        <w:contextualSpacing/>
        <w:rPr>
          <w:rFonts w:ascii="Arial" w:eastAsia="Calibri" w:hAnsi="Arial" w:cs="Arial"/>
          <w:sz w:val="20"/>
          <w:szCs w:val="20"/>
          <w:lang w:val="en-GB"/>
        </w:rPr>
      </w:pPr>
      <w:r>
        <w:rPr>
          <w:rFonts w:ascii="Arial" w:eastAsia="Calibri" w:hAnsi="Arial" w:cs="Arial"/>
          <w:sz w:val="20"/>
          <w:szCs w:val="20"/>
          <w:lang w:val="en-GB"/>
        </w:rPr>
        <w:t>How UWV (Employee Insurance Administration Agency) assesses the reasonable ground for termination of employment of a payroll employee after long-term occupational disability.</w:t>
      </w:r>
    </w:p>
    <w:p w14:paraId="3A2A92E9" w14:textId="77777777" w:rsidR="004746E7" w:rsidRPr="008D49E6" w:rsidRDefault="004746E7" w:rsidP="004746E7">
      <w:pPr>
        <w:pStyle w:val="Default"/>
        <w:rPr>
          <w:sz w:val="20"/>
          <w:szCs w:val="20"/>
          <w:lang w:val="en-GB"/>
        </w:rPr>
      </w:pPr>
    </w:p>
    <w:p w14:paraId="0E52C98B" w14:textId="0E0B687E" w:rsidR="004746E7" w:rsidRPr="008D49E6" w:rsidRDefault="004746E7" w:rsidP="004746E7">
      <w:pPr>
        <w:shd w:val="clear" w:color="auto" w:fill="D9D9D9"/>
        <w:rPr>
          <w:rFonts w:ascii="Arial" w:eastAsia="Calibri" w:hAnsi="Arial" w:cs="Arial"/>
          <w:sz w:val="20"/>
          <w:szCs w:val="20"/>
          <w:lang w:val="en-GB"/>
        </w:rPr>
      </w:pPr>
      <w:r>
        <w:rPr>
          <w:rFonts w:ascii="Arial" w:hAnsi="Arial" w:cs="Arial"/>
          <w:b/>
          <w:bCs/>
          <w:sz w:val="20"/>
          <w:szCs w:val="20"/>
          <w:lang w:val="en-GB"/>
        </w:rPr>
        <w:t>Tip!</w:t>
      </w:r>
      <w:r>
        <w:rPr>
          <w:rFonts w:ascii="Arial" w:hAnsi="Arial" w:cs="Arial"/>
          <w:sz w:val="20"/>
          <w:szCs w:val="20"/>
          <w:lang w:val="en-GB"/>
        </w:rPr>
        <w:br/>
        <w:t>The documents are available from UWV’s website:</w:t>
      </w:r>
    </w:p>
    <w:p w14:paraId="065962A3" w14:textId="109ECCC8" w:rsidR="00322AD9" w:rsidRPr="008D49E6" w:rsidRDefault="004746E7" w:rsidP="004746E7">
      <w:pPr>
        <w:shd w:val="clear" w:color="auto" w:fill="D9D9D9"/>
        <w:rPr>
          <w:rFonts w:ascii="Arial" w:hAnsi="Arial" w:cs="Arial"/>
          <w:sz w:val="20"/>
          <w:szCs w:val="20"/>
          <w:lang w:val="en-GB"/>
        </w:rPr>
      </w:pPr>
      <w:r>
        <w:rPr>
          <w:rFonts w:ascii="Arial" w:hAnsi="Arial" w:cs="Arial"/>
          <w:sz w:val="20"/>
          <w:szCs w:val="20"/>
          <w:lang w:val="en-GB"/>
        </w:rPr>
        <w:t>- Redundancy</w:t>
      </w:r>
      <w:r>
        <w:rPr>
          <w:rFonts w:ascii="Arial" w:hAnsi="Arial" w:cs="Arial"/>
          <w:sz w:val="20"/>
          <w:szCs w:val="20"/>
          <w:lang w:val="en-GB"/>
        </w:rPr>
        <w:br/>
        <w:t>- Termination of employment due to long-term occupational disability</w:t>
      </w:r>
    </w:p>
    <w:p w14:paraId="0F5F6755" w14:textId="77777777" w:rsidR="00322AD9" w:rsidRPr="008D49E6" w:rsidRDefault="00322AD9" w:rsidP="004746E7">
      <w:pPr>
        <w:pStyle w:val="Kop2"/>
        <w:rPr>
          <w:rFonts w:eastAsia="Calibri"/>
          <w:lang w:val="en-GB"/>
        </w:rPr>
      </w:pPr>
      <w:bookmarkStart w:id="71" w:name="_Toc534204760"/>
      <w:bookmarkStart w:id="72" w:name="_Toc536010224"/>
      <w:r>
        <w:rPr>
          <w:rFonts w:eastAsia="Calibri"/>
          <w:bCs/>
          <w:iCs w:val="0"/>
          <w:lang w:val="en-GB"/>
        </w:rPr>
        <w:t>Continued payment of wage during sick leave</w:t>
      </w:r>
      <w:bookmarkEnd w:id="71"/>
      <w:bookmarkEnd w:id="72"/>
    </w:p>
    <w:p w14:paraId="3722C0A4" w14:textId="77777777" w:rsidR="004746E7" w:rsidRPr="008D49E6" w:rsidRDefault="004746E7" w:rsidP="00322AD9">
      <w:pPr>
        <w:rPr>
          <w:rFonts w:ascii="Arial" w:eastAsia="Calibri" w:hAnsi="Arial" w:cs="Arial"/>
          <w:sz w:val="20"/>
          <w:szCs w:val="20"/>
          <w:lang w:val="en-GB"/>
        </w:rPr>
      </w:pPr>
    </w:p>
    <w:p w14:paraId="5A0BE9AA"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The Coalition Agreement sets out proposals to mitigate the bottlenecks concerning continued payment of wages during sick leave. In a letter of 20 December 2018, Minister Koolmees indicated that he was able to make agreements with employers regarding a feasible package of measures. The package would be a better fit for the needs of smaller employers, but large and medium-sized businesses would also benefit.</w:t>
      </w:r>
    </w:p>
    <w:p w14:paraId="16100B08" w14:textId="77777777" w:rsidR="00322AD9" w:rsidRPr="008D49E6" w:rsidRDefault="00322AD9" w:rsidP="00322AD9">
      <w:pPr>
        <w:rPr>
          <w:rFonts w:ascii="Arial" w:eastAsia="Calibri" w:hAnsi="Arial" w:cs="Arial"/>
          <w:sz w:val="20"/>
          <w:szCs w:val="20"/>
          <w:lang w:val="en-GB"/>
        </w:rPr>
      </w:pPr>
    </w:p>
    <w:p w14:paraId="0083F772"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This would concern the following measures:</w:t>
      </w:r>
    </w:p>
    <w:p w14:paraId="4B451EF5" w14:textId="77777777" w:rsidR="004746E7" w:rsidRPr="008D49E6" w:rsidRDefault="004746E7" w:rsidP="00322AD9">
      <w:pPr>
        <w:rPr>
          <w:rFonts w:ascii="Arial" w:eastAsia="Calibri" w:hAnsi="Arial" w:cs="Arial"/>
          <w:sz w:val="20"/>
          <w:szCs w:val="20"/>
          <w:lang w:val="en-GB"/>
        </w:rPr>
      </w:pPr>
    </w:p>
    <w:p w14:paraId="61B8731B" w14:textId="77777777" w:rsidR="00322AD9" w:rsidRPr="008D49E6" w:rsidRDefault="00322AD9" w:rsidP="00C80C29">
      <w:pPr>
        <w:pStyle w:val="Lijstalinea"/>
        <w:numPr>
          <w:ilvl w:val="0"/>
          <w:numId w:val="21"/>
        </w:numPr>
        <w:rPr>
          <w:rFonts w:ascii="Arial" w:hAnsi="Arial" w:cs="Arial"/>
          <w:sz w:val="20"/>
          <w:szCs w:val="20"/>
          <w:lang w:val="en-GB"/>
        </w:rPr>
      </w:pPr>
      <w:r>
        <w:rPr>
          <w:rFonts w:ascii="Arial" w:hAnsi="Arial" w:cs="Arial"/>
          <w:sz w:val="20"/>
          <w:szCs w:val="20"/>
          <w:lang w:val="en-GB"/>
        </w:rPr>
        <w:t>introduction of an SME sick leave unburdening insurance as per 1 January 2020;</w:t>
      </w:r>
    </w:p>
    <w:p w14:paraId="7C24B077" w14:textId="77777777" w:rsidR="00322AD9" w:rsidRPr="008D49E6" w:rsidRDefault="00322AD9" w:rsidP="00C80C29">
      <w:pPr>
        <w:pStyle w:val="Lijstalinea"/>
        <w:numPr>
          <w:ilvl w:val="0"/>
          <w:numId w:val="21"/>
        </w:numPr>
        <w:rPr>
          <w:rFonts w:ascii="Arial" w:hAnsi="Arial" w:cs="Arial"/>
          <w:sz w:val="20"/>
          <w:szCs w:val="20"/>
          <w:lang w:val="en-GB"/>
        </w:rPr>
      </w:pPr>
      <w:r>
        <w:rPr>
          <w:rFonts w:ascii="Arial" w:hAnsi="Arial" w:cs="Arial"/>
          <w:sz w:val="20"/>
          <w:szCs w:val="20"/>
          <w:lang w:val="en-GB"/>
        </w:rPr>
        <w:t>continued payment of wage rebate on premiums for the cost of continued payment of wages as per 2021;</w:t>
      </w:r>
    </w:p>
    <w:p w14:paraId="2692D2D9" w14:textId="77777777" w:rsidR="00322AD9" w:rsidRPr="008D49E6" w:rsidRDefault="00322AD9" w:rsidP="00C80C29">
      <w:pPr>
        <w:pStyle w:val="Lijstalinea"/>
        <w:numPr>
          <w:ilvl w:val="0"/>
          <w:numId w:val="21"/>
        </w:numPr>
        <w:rPr>
          <w:rFonts w:ascii="Arial" w:hAnsi="Arial" w:cs="Arial"/>
          <w:sz w:val="20"/>
          <w:szCs w:val="20"/>
          <w:lang w:val="en-GB"/>
        </w:rPr>
      </w:pPr>
      <w:r>
        <w:rPr>
          <w:rFonts w:ascii="Arial" w:hAnsi="Arial" w:cs="Arial"/>
          <w:sz w:val="20"/>
          <w:szCs w:val="20"/>
          <w:lang w:val="en-GB"/>
        </w:rPr>
        <w:t>medical advice company doctor to be leading as from 1 January 2021;</w:t>
      </w:r>
    </w:p>
    <w:p w14:paraId="69AF8DFF" w14:textId="77777777" w:rsidR="00322AD9" w:rsidRPr="008D49E6" w:rsidRDefault="00322AD9" w:rsidP="00C80C29">
      <w:pPr>
        <w:pStyle w:val="Lijstalinea"/>
        <w:numPr>
          <w:ilvl w:val="0"/>
          <w:numId w:val="21"/>
        </w:numPr>
        <w:rPr>
          <w:rFonts w:ascii="Arial" w:hAnsi="Arial" w:cs="Arial"/>
          <w:sz w:val="20"/>
          <w:szCs w:val="20"/>
          <w:lang w:val="en-GB"/>
        </w:rPr>
      </w:pPr>
      <w:r>
        <w:rPr>
          <w:rFonts w:ascii="Arial" w:hAnsi="Arial" w:cs="Arial"/>
          <w:sz w:val="20"/>
          <w:szCs w:val="20"/>
          <w:lang w:val="en-GB"/>
        </w:rPr>
        <w:t>improvement transparency continued payment of wages during sick leave;</w:t>
      </w:r>
    </w:p>
    <w:p w14:paraId="0EE74E33" w14:textId="77777777" w:rsidR="00322AD9" w:rsidRPr="008D49E6" w:rsidRDefault="00322AD9" w:rsidP="00C80C29">
      <w:pPr>
        <w:pStyle w:val="Lijstalinea"/>
        <w:numPr>
          <w:ilvl w:val="0"/>
          <w:numId w:val="21"/>
        </w:numPr>
        <w:rPr>
          <w:rFonts w:ascii="Arial" w:hAnsi="Arial" w:cs="Arial"/>
          <w:sz w:val="20"/>
          <w:szCs w:val="20"/>
          <w:lang w:val="en-GB"/>
        </w:rPr>
      </w:pPr>
      <w:r>
        <w:rPr>
          <w:rFonts w:ascii="Arial" w:hAnsi="Arial" w:cs="Arial"/>
          <w:sz w:val="20"/>
          <w:szCs w:val="20"/>
          <w:lang w:val="en-GB"/>
        </w:rPr>
        <w:t>reinforcing the employer’s role in the second track to increase the grip on reintegration.</w:t>
      </w:r>
    </w:p>
    <w:p w14:paraId="5AAFB6D8" w14:textId="77777777" w:rsidR="00322AD9" w:rsidRPr="008D49E6" w:rsidRDefault="00322AD9" w:rsidP="00322AD9">
      <w:pPr>
        <w:rPr>
          <w:rFonts w:ascii="Arial" w:eastAsia="Calibri" w:hAnsi="Arial" w:cs="Arial"/>
          <w:sz w:val="20"/>
          <w:szCs w:val="20"/>
          <w:lang w:val="en-GB"/>
        </w:rPr>
      </w:pPr>
    </w:p>
    <w:p w14:paraId="22065EC7"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The eventual purpose is to give employers an incentive to hire more permanent employees.</w:t>
      </w:r>
    </w:p>
    <w:p w14:paraId="696EB7C1" w14:textId="77777777" w:rsidR="00322AD9" w:rsidRPr="008D49E6" w:rsidRDefault="00322AD9" w:rsidP="00322AD9">
      <w:pPr>
        <w:rPr>
          <w:rFonts w:ascii="Arial" w:eastAsia="Calibri" w:hAnsi="Arial" w:cs="Arial"/>
          <w:sz w:val="20"/>
          <w:szCs w:val="20"/>
          <w:lang w:val="en-GB"/>
        </w:rPr>
      </w:pPr>
    </w:p>
    <w:p w14:paraId="578C618C"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Latest by the summer recess, the Minister will provide more information on this subject.</w:t>
      </w:r>
    </w:p>
    <w:p w14:paraId="3F870A0E" w14:textId="77777777" w:rsidR="00322AD9" w:rsidRPr="008D49E6" w:rsidRDefault="00322AD9" w:rsidP="00322AD9">
      <w:pPr>
        <w:rPr>
          <w:rFonts w:ascii="Arial" w:eastAsia="Calibri" w:hAnsi="Arial" w:cs="Arial"/>
          <w:sz w:val="20"/>
          <w:szCs w:val="20"/>
          <w:lang w:val="en-GB"/>
        </w:rPr>
      </w:pPr>
    </w:p>
    <w:p w14:paraId="3A999EE4" w14:textId="77777777" w:rsidR="00322AD9" w:rsidRPr="008D49E6" w:rsidRDefault="00322AD9" w:rsidP="004746E7">
      <w:pPr>
        <w:pStyle w:val="Kop2"/>
        <w:rPr>
          <w:rFonts w:eastAsia="Calibri"/>
          <w:lang w:val="en-GB"/>
        </w:rPr>
      </w:pPr>
      <w:bookmarkStart w:id="73" w:name="_Toc534204761"/>
      <w:bookmarkStart w:id="74" w:name="_Toc536010225"/>
      <w:r>
        <w:rPr>
          <w:rFonts w:eastAsia="Calibri"/>
          <w:bCs/>
          <w:iCs w:val="0"/>
          <w:lang w:val="en-GB"/>
        </w:rPr>
        <w:t>Employees with occupational limitations continue to be entitled to a minimum wage</w:t>
      </w:r>
      <w:bookmarkEnd w:id="73"/>
      <w:bookmarkEnd w:id="74"/>
    </w:p>
    <w:p w14:paraId="635E1695" w14:textId="77777777" w:rsidR="004746E7" w:rsidRPr="008D49E6" w:rsidRDefault="004746E7" w:rsidP="00322AD9">
      <w:pPr>
        <w:rPr>
          <w:rFonts w:ascii="Arial" w:eastAsia="Calibri" w:hAnsi="Arial" w:cs="Arial"/>
          <w:sz w:val="20"/>
          <w:szCs w:val="20"/>
          <w:lang w:val="en-GB"/>
        </w:rPr>
      </w:pPr>
    </w:p>
    <w:p w14:paraId="32716892"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 xml:space="preserve">The plan to pay people with occupational limitations below the minimum wage is off the agenda. The measure was designed to make it easier for people with an impairment to find a job. The government is reviewing to see other options. </w:t>
      </w:r>
    </w:p>
    <w:p w14:paraId="43C5776A" w14:textId="77777777" w:rsidR="00322AD9" w:rsidRPr="008D49E6" w:rsidRDefault="00322AD9" w:rsidP="00322AD9">
      <w:pPr>
        <w:rPr>
          <w:rFonts w:ascii="Arial" w:eastAsia="Calibri" w:hAnsi="Arial" w:cs="Arial"/>
          <w:sz w:val="20"/>
          <w:szCs w:val="20"/>
          <w:lang w:val="en-GB"/>
        </w:rPr>
      </w:pPr>
    </w:p>
    <w:p w14:paraId="0982F733"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Subsidy via municipal authorities</w:t>
      </w:r>
    </w:p>
    <w:p w14:paraId="00522344"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 xml:space="preserve">An employer hiring a person with an impairment is currently eligible for a subsidy paid by the municipal authorities. This way, the minimum wage can always be paid. </w:t>
      </w:r>
    </w:p>
    <w:p w14:paraId="1365AE2A" w14:textId="77777777" w:rsidR="00FB6BA7" w:rsidRPr="008D49E6" w:rsidRDefault="00FB6BA7" w:rsidP="00FB6BA7">
      <w:pPr>
        <w:rPr>
          <w:rFonts w:ascii="Arial" w:eastAsia="Calibri" w:hAnsi="Arial" w:cs="Arial"/>
          <w:sz w:val="20"/>
          <w:szCs w:val="20"/>
          <w:lang w:val="en-GB"/>
        </w:rPr>
      </w:pPr>
    </w:p>
    <w:p w14:paraId="3ED73B7A" w14:textId="31E65877" w:rsidR="00FB6BA7" w:rsidRPr="008D49E6" w:rsidRDefault="00FB6BA7" w:rsidP="00FB6BA7">
      <w:pPr>
        <w:shd w:val="clear" w:color="auto" w:fill="D9D9D9"/>
        <w:rPr>
          <w:rFonts w:ascii="Arial" w:eastAsia="Calibri" w:hAnsi="Arial" w:cs="Arial"/>
          <w:sz w:val="20"/>
          <w:szCs w:val="20"/>
          <w:lang w:val="en-GB"/>
        </w:rPr>
      </w:pPr>
      <w:r>
        <w:rPr>
          <w:rFonts w:ascii="Arial" w:hAnsi="Arial" w:cs="Arial"/>
          <w:b/>
          <w:bCs/>
          <w:sz w:val="20"/>
          <w:szCs w:val="20"/>
          <w:lang w:val="en-GB"/>
        </w:rPr>
        <w:t>Tip!</w:t>
      </w:r>
      <w:r>
        <w:rPr>
          <w:rFonts w:ascii="Arial" w:hAnsi="Arial" w:cs="Arial"/>
          <w:sz w:val="20"/>
          <w:szCs w:val="20"/>
          <w:lang w:val="en-GB"/>
        </w:rPr>
        <w:br/>
        <w:t>As an employer, you may also be eligible for adjusting the workplace for an employee with an occupational impairment.</w:t>
      </w:r>
    </w:p>
    <w:p w14:paraId="78236D01" w14:textId="77777777" w:rsidR="00322AD9" w:rsidRPr="008D49E6" w:rsidRDefault="00322AD9" w:rsidP="00322AD9">
      <w:pPr>
        <w:rPr>
          <w:rFonts w:ascii="Arial" w:eastAsia="Calibri" w:hAnsi="Arial" w:cs="Arial"/>
          <w:sz w:val="20"/>
          <w:szCs w:val="20"/>
          <w:lang w:val="en-GB"/>
        </w:rPr>
      </w:pPr>
    </w:p>
    <w:p w14:paraId="0219AFC3"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Amount of subsidy</w:t>
      </w:r>
    </w:p>
    <w:p w14:paraId="2E786AA3"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The subsidy for the income amounts to a maximum of 70% of the minimum wage and depends on the employee’s labour factor. The subsidy has no time limit.</w:t>
      </w:r>
    </w:p>
    <w:p w14:paraId="59562185" w14:textId="77777777" w:rsidR="004746E7" w:rsidRPr="008D49E6" w:rsidRDefault="004746E7" w:rsidP="00322AD9">
      <w:pPr>
        <w:rPr>
          <w:rFonts w:ascii="Arial" w:eastAsia="Calibri" w:hAnsi="Arial" w:cs="Arial"/>
          <w:sz w:val="20"/>
          <w:szCs w:val="20"/>
          <w:lang w:val="en-GB"/>
        </w:rPr>
      </w:pPr>
    </w:p>
    <w:p w14:paraId="76F43DA6" w14:textId="4F8B7F46" w:rsidR="00322AD9" w:rsidRPr="008D49E6" w:rsidRDefault="004746E7" w:rsidP="004746E7">
      <w:pPr>
        <w:shd w:val="clear" w:color="auto" w:fill="D9D9D9"/>
        <w:rPr>
          <w:rFonts w:ascii="Arial" w:eastAsia="Calibri" w:hAnsi="Arial" w:cs="Arial"/>
          <w:sz w:val="20"/>
          <w:szCs w:val="20"/>
          <w:lang w:val="en-GB"/>
        </w:rPr>
      </w:pPr>
      <w:r>
        <w:rPr>
          <w:rFonts w:ascii="Arial" w:hAnsi="Arial" w:cs="Arial"/>
          <w:b/>
          <w:bCs/>
          <w:sz w:val="20"/>
          <w:szCs w:val="20"/>
          <w:lang w:val="en-GB"/>
        </w:rPr>
        <w:t>Tip!</w:t>
      </w:r>
      <w:r>
        <w:rPr>
          <w:rFonts w:ascii="Arial" w:hAnsi="Arial" w:cs="Arial"/>
          <w:sz w:val="20"/>
          <w:szCs w:val="20"/>
          <w:lang w:val="en-GB"/>
        </w:rPr>
        <w:br/>
        <w:t>For employees with an occupational limitation, employers are also entitled to a payroll benefit subject to certain conditions. This amounts to a maximum of €6,000 per year and is available for a maximum of three years.</w:t>
      </w:r>
    </w:p>
    <w:p w14:paraId="12EE0085" w14:textId="77777777" w:rsidR="00322AD9" w:rsidRPr="008D49E6" w:rsidRDefault="00322AD9" w:rsidP="00322AD9">
      <w:pPr>
        <w:rPr>
          <w:rFonts w:ascii="Arial" w:eastAsia="Calibri" w:hAnsi="Arial" w:cs="Arial"/>
          <w:sz w:val="20"/>
          <w:szCs w:val="20"/>
          <w:lang w:val="en-GB"/>
        </w:rPr>
      </w:pPr>
    </w:p>
    <w:p w14:paraId="0C01C651" w14:textId="77777777" w:rsidR="00322AD9" w:rsidRDefault="00322AD9" w:rsidP="004746E7">
      <w:pPr>
        <w:pStyle w:val="Kop1"/>
      </w:pPr>
      <w:bookmarkStart w:id="75" w:name="_Toc536010226"/>
      <w:r>
        <w:rPr>
          <w:lang w:val="en-GB"/>
        </w:rPr>
        <w:t>Salary Costs (Incentive Allowances) Act</w:t>
      </w:r>
      <w:bookmarkEnd w:id="75"/>
    </w:p>
    <w:p w14:paraId="3B21C474" w14:textId="77777777" w:rsidR="00322AD9" w:rsidRDefault="00322AD9" w:rsidP="00322AD9">
      <w:pPr>
        <w:rPr>
          <w:rFonts w:ascii="Arial" w:hAnsi="Arial" w:cs="Arial"/>
          <w:sz w:val="20"/>
          <w:szCs w:val="20"/>
        </w:rPr>
      </w:pPr>
    </w:p>
    <w:p w14:paraId="076935E8" w14:textId="0D65CA1D" w:rsidR="00322AD9" w:rsidRDefault="00322AD9" w:rsidP="00322AD9">
      <w:pPr>
        <w:rPr>
          <w:rFonts w:ascii="Arial" w:hAnsi="Arial" w:cs="Arial"/>
          <w:sz w:val="20"/>
          <w:szCs w:val="20"/>
          <w:lang w:val="en-GB"/>
        </w:rPr>
      </w:pPr>
      <w:r>
        <w:rPr>
          <w:rFonts w:ascii="Arial" w:hAnsi="Arial" w:cs="Arial"/>
          <w:sz w:val="20"/>
          <w:szCs w:val="20"/>
          <w:lang w:val="en-GB"/>
        </w:rPr>
        <w:t>The Wtl (Salary Costs (Incentive Allowances) Act) consists of three components: 1) the low-income benefit, 2) the youth low-income benefit and 3) the payroll benefit. The low-income benefit (LIV) was introduced as per 1 January 2017. As per 2018, the payroll benefit (LKV) and the youth LIV were introduced.</w:t>
      </w:r>
    </w:p>
    <w:p w14:paraId="7C368408" w14:textId="77777777" w:rsidR="007164CA" w:rsidRDefault="007164CA" w:rsidP="00322AD9">
      <w:pPr>
        <w:rPr>
          <w:rFonts w:ascii="Arial" w:hAnsi="Arial" w:cs="Arial"/>
          <w:sz w:val="20"/>
          <w:szCs w:val="20"/>
          <w:lang w:val="en-GB"/>
        </w:rPr>
      </w:pPr>
    </w:p>
    <w:p w14:paraId="527422E9" w14:textId="77777777" w:rsidR="007164CA" w:rsidRPr="008D49E6" w:rsidRDefault="007164CA" w:rsidP="00322AD9">
      <w:pPr>
        <w:rPr>
          <w:rFonts w:ascii="Arial" w:hAnsi="Arial" w:cs="Arial"/>
          <w:sz w:val="20"/>
          <w:szCs w:val="20"/>
          <w:lang w:val="en-GB"/>
        </w:rPr>
      </w:pPr>
    </w:p>
    <w:p w14:paraId="6A36BDC7" w14:textId="77777777" w:rsidR="004746E7" w:rsidRPr="008D49E6" w:rsidRDefault="004746E7" w:rsidP="004746E7">
      <w:pPr>
        <w:pStyle w:val="Default"/>
        <w:rPr>
          <w:sz w:val="20"/>
          <w:szCs w:val="20"/>
          <w:lang w:val="en-GB"/>
        </w:rPr>
      </w:pPr>
    </w:p>
    <w:p w14:paraId="6A45AAE5" w14:textId="363C59C9" w:rsidR="00322AD9" w:rsidRPr="004746E7" w:rsidRDefault="004746E7" w:rsidP="004746E7">
      <w:pPr>
        <w:shd w:val="clear" w:color="auto" w:fill="D9D9D9"/>
        <w:rPr>
          <w:rFonts w:ascii="Arial" w:hAnsi="Arial" w:cs="Arial"/>
          <w:sz w:val="20"/>
          <w:szCs w:val="20"/>
        </w:rPr>
      </w:pPr>
      <w:r>
        <w:rPr>
          <w:rFonts w:ascii="Arial" w:hAnsi="Arial" w:cs="Arial"/>
          <w:b/>
          <w:bCs/>
          <w:sz w:val="20"/>
          <w:szCs w:val="20"/>
          <w:lang w:val="en-GB"/>
        </w:rPr>
        <w:t>Please note!</w:t>
      </w:r>
      <w:r>
        <w:rPr>
          <w:rFonts w:ascii="Arial" w:hAnsi="Arial" w:cs="Arial"/>
          <w:sz w:val="20"/>
          <w:szCs w:val="20"/>
          <w:lang w:val="en-GB"/>
        </w:rPr>
        <w:br/>
        <w:t>Regarding premium discounts, there was still an option to claim a rebate retrospectively if this had been omitted. This does not apply to the payroll benefits! If the employer does not fulfil the requirements in due time, retrospective application for the payroll benefits is not accepted. Timely detecting when to apply is therefore crucial.</w:t>
      </w:r>
    </w:p>
    <w:p w14:paraId="0DB9F414" w14:textId="77777777" w:rsidR="00322AD9" w:rsidRDefault="00322AD9" w:rsidP="00322AD9">
      <w:pPr>
        <w:rPr>
          <w:rFonts w:ascii="Arial" w:hAnsi="Arial" w:cs="Arial"/>
          <w:sz w:val="20"/>
          <w:szCs w:val="20"/>
        </w:rPr>
      </w:pPr>
    </w:p>
    <w:p w14:paraId="31D5516C" w14:textId="77777777" w:rsidR="00322AD9" w:rsidRDefault="00322AD9" w:rsidP="004746E7">
      <w:pPr>
        <w:pStyle w:val="Kop2"/>
      </w:pPr>
      <w:bookmarkStart w:id="76" w:name="_Toc534204700"/>
      <w:bookmarkStart w:id="77" w:name="_Toc536010227"/>
      <w:r>
        <w:rPr>
          <w:bCs/>
          <w:iCs w:val="0"/>
          <w:lang w:val="en-GB"/>
        </w:rPr>
        <w:t>Paying out allowances</w:t>
      </w:r>
      <w:bookmarkEnd w:id="76"/>
      <w:bookmarkEnd w:id="77"/>
    </w:p>
    <w:p w14:paraId="5FA171E0" w14:textId="77777777" w:rsidR="00322AD9" w:rsidRDefault="00322AD9" w:rsidP="00322AD9"/>
    <w:p w14:paraId="4F9A8FD1" w14:textId="5EF4FB44" w:rsidR="00322AD9" w:rsidRDefault="00322AD9" w:rsidP="00322AD9">
      <w:pPr>
        <w:pStyle w:val="Default"/>
        <w:rPr>
          <w:bCs/>
          <w:sz w:val="20"/>
          <w:szCs w:val="20"/>
        </w:rPr>
      </w:pPr>
      <w:r>
        <w:rPr>
          <w:sz w:val="20"/>
          <w:szCs w:val="20"/>
          <w:lang w:val="en-GB"/>
        </w:rPr>
        <w:t>The LIV, youth LIV and LKV on 2018 are automatically paid out in 2019 if the payroll tax returns show that the employer is eligible. This process is as follows:</w:t>
      </w:r>
    </w:p>
    <w:p w14:paraId="444D361B" w14:textId="77777777" w:rsidR="004746E7" w:rsidRPr="00A14C21" w:rsidRDefault="004746E7" w:rsidP="00322AD9">
      <w:pPr>
        <w:pStyle w:val="Default"/>
        <w:rPr>
          <w:sz w:val="20"/>
          <w:szCs w:val="20"/>
        </w:rPr>
      </w:pPr>
    </w:p>
    <w:p w14:paraId="778C1EE9" w14:textId="77777777" w:rsidR="00322AD9" w:rsidRPr="008D49E6" w:rsidRDefault="00322AD9" w:rsidP="00C80C29">
      <w:pPr>
        <w:pStyle w:val="Lijstalinea"/>
        <w:numPr>
          <w:ilvl w:val="0"/>
          <w:numId w:val="7"/>
        </w:numPr>
        <w:tabs>
          <w:tab w:val="left" w:pos="426"/>
        </w:tabs>
        <w:spacing w:line="240" w:lineRule="auto"/>
        <w:ind w:left="426" w:hanging="426"/>
        <w:rPr>
          <w:rFonts w:ascii="Arial" w:hAnsi="Arial" w:cs="Arial"/>
          <w:sz w:val="20"/>
          <w:szCs w:val="20"/>
          <w:lang w:val="en-GB"/>
        </w:rPr>
      </w:pPr>
      <w:r>
        <w:rPr>
          <w:rFonts w:ascii="Arial" w:hAnsi="Arial" w:cs="Arial"/>
          <w:sz w:val="20"/>
          <w:szCs w:val="20"/>
          <w:lang w:val="en-GB"/>
        </w:rPr>
        <w:t>Before 15 March, the Tax and Customs Administration sends the employer a preliminary calculation of LIV, youth LIV and LKV. The calculation is based on the returns and corrections on 2018 submitted through 31 January 2019.</w:t>
      </w:r>
    </w:p>
    <w:p w14:paraId="558AD69E" w14:textId="77777777" w:rsidR="00322AD9" w:rsidRPr="008D49E6" w:rsidRDefault="00322AD9" w:rsidP="00C80C29">
      <w:pPr>
        <w:pStyle w:val="Lijstalinea"/>
        <w:numPr>
          <w:ilvl w:val="0"/>
          <w:numId w:val="7"/>
        </w:numPr>
        <w:tabs>
          <w:tab w:val="left" w:pos="426"/>
        </w:tabs>
        <w:spacing w:line="240" w:lineRule="auto"/>
        <w:ind w:left="426" w:hanging="426"/>
        <w:rPr>
          <w:rFonts w:ascii="Arial" w:hAnsi="Arial" w:cs="Arial"/>
          <w:sz w:val="20"/>
          <w:szCs w:val="20"/>
          <w:lang w:val="en-GB"/>
        </w:rPr>
      </w:pPr>
      <w:r>
        <w:rPr>
          <w:rFonts w:ascii="Arial" w:hAnsi="Arial" w:cs="Arial"/>
          <w:sz w:val="20"/>
          <w:szCs w:val="20"/>
          <w:lang w:val="en-GB"/>
        </w:rPr>
        <w:t>You may submit corrections on 2018 until 1 May 2019. These will still be considered in the final calculation. Corrections received after 1 May are accepted, but will not be factored in the calculations of the various allowances.</w:t>
      </w:r>
    </w:p>
    <w:p w14:paraId="4A583C8C" w14:textId="77777777" w:rsidR="00322AD9" w:rsidRPr="008D49E6" w:rsidRDefault="00322AD9" w:rsidP="00C80C29">
      <w:pPr>
        <w:pStyle w:val="Lijstalinea"/>
        <w:numPr>
          <w:ilvl w:val="0"/>
          <w:numId w:val="7"/>
        </w:numPr>
        <w:tabs>
          <w:tab w:val="left" w:pos="426"/>
        </w:tabs>
        <w:spacing w:line="240" w:lineRule="auto"/>
        <w:ind w:left="426" w:hanging="426"/>
        <w:rPr>
          <w:rFonts w:ascii="Arial" w:hAnsi="Arial" w:cs="Arial"/>
          <w:sz w:val="20"/>
          <w:szCs w:val="20"/>
          <w:lang w:val="en-GB"/>
        </w:rPr>
      </w:pPr>
      <w:r>
        <w:rPr>
          <w:rFonts w:ascii="Arial" w:hAnsi="Arial" w:cs="Arial"/>
          <w:sz w:val="20"/>
          <w:szCs w:val="20"/>
          <w:lang w:val="en-GB"/>
        </w:rPr>
        <w:t xml:space="preserve">The Tax and Customs Administration sends the employer a decision presenting the final calculation of the LIV, youth LIV and LKV. This is completed by 1 August 2019, based on the data in the system. This employer may submit an objection or appeal against this decision. </w:t>
      </w:r>
    </w:p>
    <w:p w14:paraId="361795D6" w14:textId="77777777" w:rsidR="00322AD9" w:rsidRDefault="00322AD9" w:rsidP="00C80C29">
      <w:pPr>
        <w:pStyle w:val="Lijstalinea"/>
        <w:numPr>
          <w:ilvl w:val="0"/>
          <w:numId w:val="7"/>
        </w:numPr>
        <w:tabs>
          <w:tab w:val="left" w:pos="426"/>
        </w:tabs>
        <w:spacing w:line="240" w:lineRule="auto"/>
        <w:ind w:left="426" w:hanging="426"/>
        <w:rPr>
          <w:rFonts w:ascii="Arial" w:hAnsi="Arial" w:cs="Arial"/>
          <w:sz w:val="20"/>
          <w:szCs w:val="20"/>
        </w:rPr>
      </w:pPr>
      <w:r>
        <w:rPr>
          <w:rFonts w:ascii="Arial" w:hAnsi="Arial" w:cs="Arial"/>
          <w:sz w:val="20"/>
          <w:szCs w:val="20"/>
          <w:lang w:val="en-GB"/>
        </w:rPr>
        <w:t>The amounts are paid out within six weeks of the date of the decision. This will be latest by 12 September 2019.</w:t>
      </w:r>
    </w:p>
    <w:p w14:paraId="41DBF774" w14:textId="77777777" w:rsidR="00322AD9" w:rsidRDefault="00322AD9" w:rsidP="00322AD9">
      <w:pPr>
        <w:tabs>
          <w:tab w:val="left" w:pos="426"/>
        </w:tabs>
        <w:rPr>
          <w:rFonts w:ascii="Arial" w:hAnsi="Arial" w:cs="Arial"/>
          <w:sz w:val="20"/>
          <w:szCs w:val="20"/>
        </w:rPr>
      </w:pPr>
    </w:p>
    <w:p w14:paraId="2EB0E646" w14:textId="77777777" w:rsidR="00322AD9" w:rsidRPr="008D49E6" w:rsidRDefault="00322AD9" w:rsidP="004746E7">
      <w:pPr>
        <w:pStyle w:val="Kop2"/>
        <w:rPr>
          <w:rFonts w:eastAsia="Calibri"/>
          <w:lang w:val="en-GB"/>
        </w:rPr>
      </w:pPr>
      <w:bookmarkStart w:id="78" w:name="_Toc534204701"/>
      <w:bookmarkStart w:id="79" w:name="_Toc536010228"/>
      <w:r>
        <w:rPr>
          <w:rFonts w:eastAsia="Calibri"/>
          <w:bCs/>
          <w:iCs w:val="0"/>
          <w:lang w:val="en-GB"/>
        </w:rPr>
        <w:t>The low-income benefit in 2019</w:t>
      </w:r>
      <w:bookmarkEnd w:id="78"/>
      <w:bookmarkEnd w:id="79"/>
    </w:p>
    <w:p w14:paraId="537EC9B2" w14:textId="77777777" w:rsidR="00322AD9" w:rsidRPr="008D49E6" w:rsidRDefault="00322AD9" w:rsidP="00322AD9">
      <w:pPr>
        <w:rPr>
          <w:rFonts w:ascii="Arial" w:eastAsia="Calibri" w:hAnsi="Arial" w:cs="Arial"/>
          <w:sz w:val="20"/>
          <w:szCs w:val="20"/>
          <w:lang w:val="en-GB"/>
        </w:rPr>
      </w:pPr>
    </w:p>
    <w:p w14:paraId="420C8955"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The limits for hourly wage regarding the low-income benefit (LIV) were determined for the year 2019. The limits were adjusted due to the increase in the minimum wage as per 1 January 2019.</w:t>
      </w:r>
    </w:p>
    <w:p w14:paraId="75FD4948" w14:textId="77777777" w:rsidR="00322AD9" w:rsidRPr="00F12090" w:rsidRDefault="00322AD9" w:rsidP="004746E7">
      <w:pPr>
        <w:pStyle w:val="Kop3"/>
        <w:ind w:hanging="1260"/>
        <w:rPr>
          <w:rFonts w:eastAsia="Calibri"/>
        </w:rPr>
      </w:pPr>
      <w:bookmarkStart w:id="80" w:name="_Toc534204702"/>
      <w:bookmarkStart w:id="81" w:name="_Toc536010229"/>
      <w:r>
        <w:rPr>
          <w:rFonts w:eastAsia="Calibri"/>
          <w:lang w:val="en-GB"/>
        </w:rPr>
        <w:t>LIV conditions</w:t>
      </w:r>
      <w:bookmarkEnd w:id="80"/>
      <w:bookmarkEnd w:id="81"/>
    </w:p>
    <w:p w14:paraId="10F15355"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Eligibility for LIV is subject to the following conditions:</w:t>
      </w:r>
    </w:p>
    <w:p w14:paraId="65BB0345" w14:textId="77777777" w:rsidR="004746E7" w:rsidRPr="008D49E6" w:rsidRDefault="004746E7" w:rsidP="00322AD9">
      <w:pPr>
        <w:rPr>
          <w:rFonts w:ascii="Arial" w:eastAsia="Calibri" w:hAnsi="Arial" w:cs="Arial"/>
          <w:sz w:val="20"/>
          <w:szCs w:val="20"/>
          <w:lang w:val="en-GB"/>
        </w:rPr>
      </w:pPr>
    </w:p>
    <w:p w14:paraId="1516A73E" w14:textId="77777777" w:rsidR="00322AD9" w:rsidRPr="008D49E6" w:rsidRDefault="00322AD9" w:rsidP="00C80C29">
      <w:pPr>
        <w:pStyle w:val="Lijstalinea"/>
        <w:numPr>
          <w:ilvl w:val="0"/>
          <w:numId w:val="14"/>
        </w:numPr>
        <w:rPr>
          <w:rFonts w:ascii="Arial" w:hAnsi="Arial" w:cs="Arial"/>
          <w:sz w:val="20"/>
          <w:szCs w:val="20"/>
          <w:lang w:val="en-GB"/>
        </w:rPr>
      </w:pPr>
      <w:r>
        <w:rPr>
          <w:rFonts w:ascii="Arial" w:hAnsi="Arial" w:cs="Arial"/>
          <w:sz w:val="20"/>
          <w:szCs w:val="20"/>
          <w:lang w:val="en-GB"/>
        </w:rPr>
        <w:t>The employee fulfils a certain average hourly wage (based on at least 100% and a maximum of 125% of the statutory minimum wage).</w:t>
      </w:r>
    </w:p>
    <w:p w14:paraId="211AB451" w14:textId="77777777" w:rsidR="00322AD9" w:rsidRPr="008D49E6" w:rsidRDefault="00322AD9" w:rsidP="00C80C29">
      <w:pPr>
        <w:pStyle w:val="Lijstalinea"/>
        <w:numPr>
          <w:ilvl w:val="0"/>
          <w:numId w:val="14"/>
        </w:numPr>
        <w:rPr>
          <w:rFonts w:ascii="Arial" w:hAnsi="Arial" w:cs="Arial"/>
          <w:sz w:val="20"/>
          <w:szCs w:val="20"/>
          <w:lang w:val="en-GB"/>
        </w:rPr>
      </w:pPr>
      <w:r>
        <w:rPr>
          <w:rFonts w:ascii="Arial" w:hAnsi="Arial" w:cs="Arial"/>
          <w:sz w:val="20"/>
          <w:szCs w:val="20"/>
          <w:lang w:val="en-GB"/>
        </w:rPr>
        <w:t>The employee has social insurance.</w:t>
      </w:r>
    </w:p>
    <w:p w14:paraId="18844325" w14:textId="77777777" w:rsidR="00322AD9" w:rsidRPr="008D49E6" w:rsidRDefault="00322AD9" w:rsidP="00C80C29">
      <w:pPr>
        <w:pStyle w:val="Lijstalinea"/>
        <w:numPr>
          <w:ilvl w:val="0"/>
          <w:numId w:val="14"/>
        </w:numPr>
        <w:rPr>
          <w:rFonts w:ascii="Arial" w:hAnsi="Arial" w:cs="Arial"/>
          <w:sz w:val="20"/>
          <w:szCs w:val="20"/>
          <w:lang w:val="en-GB"/>
        </w:rPr>
      </w:pPr>
      <w:r>
        <w:rPr>
          <w:rFonts w:ascii="Arial" w:hAnsi="Arial" w:cs="Arial"/>
          <w:sz w:val="20"/>
          <w:szCs w:val="20"/>
          <w:lang w:val="en-GB"/>
        </w:rPr>
        <w:t>This concerns a substantial job (at least 1,248 payrolled hours per calendar year).</w:t>
      </w:r>
    </w:p>
    <w:p w14:paraId="2510B35E" w14:textId="77777777" w:rsidR="00322AD9" w:rsidRPr="008D49E6" w:rsidRDefault="00322AD9" w:rsidP="00C80C29">
      <w:pPr>
        <w:pStyle w:val="Lijstalinea"/>
        <w:numPr>
          <w:ilvl w:val="0"/>
          <w:numId w:val="14"/>
        </w:numPr>
        <w:rPr>
          <w:rFonts w:ascii="Arial" w:hAnsi="Arial" w:cs="Arial"/>
          <w:sz w:val="20"/>
          <w:szCs w:val="20"/>
          <w:lang w:val="en-GB"/>
        </w:rPr>
      </w:pPr>
      <w:r>
        <w:rPr>
          <w:rFonts w:ascii="Arial" w:hAnsi="Arial" w:cs="Arial"/>
          <w:sz w:val="20"/>
          <w:szCs w:val="20"/>
          <w:lang w:val="en-GB"/>
        </w:rPr>
        <w:t>The employee has not yet reached the statutory retirement age for AOW state pension.</w:t>
      </w:r>
    </w:p>
    <w:p w14:paraId="0CBDD739" w14:textId="77777777" w:rsidR="00322AD9" w:rsidRPr="007744E4" w:rsidRDefault="00322AD9" w:rsidP="004746E7">
      <w:pPr>
        <w:pStyle w:val="Kop3"/>
        <w:ind w:hanging="1260"/>
        <w:rPr>
          <w:rFonts w:eastAsia="Calibri"/>
        </w:rPr>
      </w:pPr>
      <w:bookmarkStart w:id="82" w:name="_Toc534204703"/>
      <w:bookmarkStart w:id="83" w:name="_Toc536010230"/>
      <w:r>
        <w:rPr>
          <w:rFonts w:eastAsia="Calibri"/>
          <w:lang w:val="en-GB"/>
        </w:rPr>
        <w:t>2019 LIV amounts</w:t>
      </w:r>
      <w:bookmarkEnd w:id="82"/>
      <w:bookmarkEnd w:id="83"/>
    </w:p>
    <w:p w14:paraId="2977E0E1" w14:textId="5907E36E"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 xml:space="preserve">In 2019 the high allowance will be granted to the employer for employees with an hourly wage of at least €10.05 and maximum €11.07. In 2019 the low allowance will be granted to the employer for employees with an hourly wage of at least €11.07 and maximum €12.58. The amount of the hourly allowance has not changed compared with 2018. </w:t>
      </w:r>
    </w:p>
    <w:p w14:paraId="76FAE091" w14:textId="77777777" w:rsidR="00322AD9" w:rsidRPr="008D49E6" w:rsidRDefault="00322AD9" w:rsidP="00322AD9">
      <w:pPr>
        <w:rPr>
          <w:rFonts w:ascii="Arial" w:eastAsia="Calibri" w:hAnsi="Arial" w:cs="Arial"/>
          <w:sz w:val="20"/>
          <w:szCs w:val="20"/>
          <w:lang w:val="en-GB"/>
        </w:rPr>
      </w:pPr>
    </w:p>
    <w:tbl>
      <w:tblPr>
        <w:tblStyle w:val="Tabelraster"/>
        <w:tblW w:w="9062" w:type="dxa"/>
        <w:tblLook w:val="0420" w:firstRow="1" w:lastRow="0" w:firstColumn="0" w:lastColumn="0" w:noHBand="0" w:noVBand="1"/>
      </w:tblPr>
      <w:tblGrid>
        <w:gridCol w:w="2597"/>
        <w:gridCol w:w="3258"/>
        <w:gridCol w:w="3207"/>
      </w:tblGrid>
      <w:tr w:rsidR="00322AD9" w:rsidRPr="008D49E6" w14:paraId="644D4776" w14:textId="77777777" w:rsidTr="0004786C">
        <w:trPr>
          <w:trHeight w:val="378"/>
        </w:trPr>
        <w:tc>
          <w:tcPr>
            <w:tcW w:w="2597" w:type="dxa"/>
            <w:hideMark/>
          </w:tcPr>
          <w:p w14:paraId="118609CC" w14:textId="77777777" w:rsidR="00322AD9" w:rsidRPr="00A14C21" w:rsidRDefault="00322AD9" w:rsidP="0004786C">
            <w:pPr>
              <w:jc w:val="center"/>
              <w:rPr>
                <w:rFonts w:ascii="Arial" w:hAnsi="Arial" w:cs="Arial"/>
                <w:sz w:val="20"/>
                <w:szCs w:val="20"/>
              </w:rPr>
            </w:pPr>
            <w:r>
              <w:rPr>
                <w:rFonts w:ascii="Arial" w:hAnsi="Arial" w:cs="Arial"/>
                <w:b/>
                <w:bCs/>
                <w:sz w:val="20"/>
                <w:szCs w:val="20"/>
                <w:lang w:val="en-GB"/>
              </w:rPr>
              <w:t>Average hourly wage 2019</w:t>
            </w:r>
          </w:p>
        </w:tc>
        <w:tc>
          <w:tcPr>
            <w:tcW w:w="3258" w:type="dxa"/>
            <w:hideMark/>
          </w:tcPr>
          <w:p w14:paraId="5E3298F8" w14:textId="77777777" w:rsidR="00322AD9" w:rsidRPr="008D49E6" w:rsidRDefault="00322AD9" w:rsidP="0004786C">
            <w:pPr>
              <w:jc w:val="center"/>
              <w:rPr>
                <w:rFonts w:ascii="Arial" w:hAnsi="Arial" w:cs="Arial"/>
                <w:sz w:val="20"/>
                <w:szCs w:val="20"/>
                <w:lang w:val="en-GB"/>
              </w:rPr>
            </w:pPr>
            <w:r>
              <w:rPr>
                <w:rFonts w:ascii="Arial" w:hAnsi="Arial" w:cs="Arial"/>
                <w:b/>
                <w:bCs/>
                <w:sz w:val="20"/>
                <w:szCs w:val="20"/>
                <w:lang w:val="en-GB"/>
              </w:rPr>
              <w:t>LIV per employee per hour</w:t>
            </w:r>
          </w:p>
        </w:tc>
        <w:tc>
          <w:tcPr>
            <w:tcW w:w="3207" w:type="dxa"/>
            <w:hideMark/>
          </w:tcPr>
          <w:p w14:paraId="56235555" w14:textId="77777777" w:rsidR="00322AD9" w:rsidRPr="008D49E6" w:rsidRDefault="00322AD9" w:rsidP="0004786C">
            <w:pPr>
              <w:jc w:val="center"/>
              <w:rPr>
                <w:rFonts w:ascii="Arial" w:hAnsi="Arial" w:cs="Arial"/>
                <w:b/>
                <w:bCs/>
                <w:sz w:val="20"/>
                <w:szCs w:val="20"/>
                <w:lang w:val="en-GB"/>
              </w:rPr>
            </w:pPr>
            <w:r>
              <w:rPr>
                <w:rFonts w:ascii="Arial" w:hAnsi="Arial" w:cs="Arial"/>
                <w:b/>
                <w:bCs/>
                <w:sz w:val="20"/>
                <w:szCs w:val="20"/>
                <w:lang w:val="en-GB"/>
              </w:rPr>
              <w:t>Maximum LIV</w:t>
            </w:r>
          </w:p>
          <w:p w14:paraId="248D85A8" w14:textId="77777777" w:rsidR="00322AD9" w:rsidRPr="008D49E6" w:rsidRDefault="00322AD9" w:rsidP="0004786C">
            <w:pPr>
              <w:jc w:val="center"/>
              <w:rPr>
                <w:rFonts w:ascii="Arial" w:hAnsi="Arial" w:cs="Arial"/>
                <w:sz w:val="20"/>
                <w:szCs w:val="20"/>
                <w:lang w:val="en-GB"/>
              </w:rPr>
            </w:pPr>
            <w:r>
              <w:rPr>
                <w:rFonts w:ascii="Arial" w:hAnsi="Arial" w:cs="Arial"/>
                <w:b/>
                <w:bCs/>
                <w:sz w:val="20"/>
                <w:szCs w:val="20"/>
                <w:lang w:val="en-GB"/>
              </w:rPr>
              <w:t>per employee per year</w:t>
            </w:r>
          </w:p>
        </w:tc>
      </w:tr>
      <w:tr w:rsidR="00322AD9" w:rsidRPr="00A14C21" w14:paraId="499B86F2" w14:textId="77777777" w:rsidTr="0004786C">
        <w:trPr>
          <w:trHeight w:val="297"/>
        </w:trPr>
        <w:tc>
          <w:tcPr>
            <w:tcW w:w="2597" w:type="dxa"/>
            <w:hideMark/>
          </w:tcPr>
          <w:p w14:paraId="03BB5403" w14:textId="77777777" w:rsidR="00322AD9" w:rsidRPr="00A14C21" w:rsidRDefault="00322AD9" w:rsidP="0004786C">
            <w:pPr>
              <w:rPr>
                <w:rFonts w:ascii="Arial" w:hAnsi="Arial" w:cs="Arial"/>
                <w:sz w:val="20"/>
                <w:szCs w:val="20"/>
              </w:rPr>
            </w:pPr>
            <w:r>
              <w:rPr>
                <w:rFonts w:ascii="Arial" w:hAnsi="Arial" w:cs="Arial"/>
                <w:sz w:val="20"/>
                <w:szCs w:val="20"/>
                <w:lang w:val="en-GB"/>
              </w:rPr>
              <w:t>≥ €10.05 ≤ €11.07</w:t>
            </w:r>
          </w:p>
        </w:tc>
        <w:tc>
          <w:tcPr>
            <w:tcW w:w="3258" w:type="dxa"/>
            <w:hideMark/>
          </w:tcPr>
          <w:p w14:paraId="449297E9" w14:textId="77777777" w:rsidR="00322AD9" w:rsidRPr="00A14C21" w:rsidRDefault="00322AD9" w:rsidP="0004786C">
            <w:pPr>
              <w:jc w:val="center"/>
              <w:rPr>
                <w:rFonts w:ascii="Arial" w:hAnsi="Arial" w:cs="Arial"/>
                <w:sz w:val="20"/>
                <w:szCs w:val="20"/>
              </w:rPr>
            </w:pPr>
            <w:r>
              <w:rPr>
                <w:rFonts w:ascii="Arial" w:hAnsi="Arial" w:cs="Arial"/>
                <w:sz w:val="20"/>
                <w:szCs w:val="20"/>
                <w:lang w:val="en-GB"/>
              </w:rPr>
              <w:t>€1.01</w:t>
            </w:r>
          </w:p>
        </w:tc>
        <w:tc>
          <w:tcPr>
            <w:tcW w:w="3207" w:type="dxa"/>
            <w:hideMark/>
          </w:tcPr>
          <w:p w14:paraId="46DA8E8D" w14:textId="77777777" w:rsidR="00322AD9" w:rsidRPr="00A14C21" w:rsidRDefault="00322AD9" w:rsidP="0004786C">
            <w:pPr>
              <w:jc w:val="center"/>
              <w:rPr>
                <w:rFonts w:ascii="Arial" w:hAnsi="Arial" w:cs="Arial"/>
                <w:sz w:val="20"/>
                <w:szCs w:val="20"/>
              </w:rPr>
            </w:pPr>
            <w:r>
              <w:rPr>
                <w:rFonts w:ascii="Arial" w:hAnsi="Arial" w:cs="Arial"/>
                <w:sz w:val="20"/>
                <w:szCs w:val="20"/>
                <w:lang w:val="en-GB"/>
              </w:rPr>
              <w:t>€2,000 per year</w:t>
            </w:r>
          </w:p>
        </w:tc>
      </w:tr>
      <w:tr w:rsidR="00322AD9" w:rsidRPr="00A14C21" w14:paraId="7AE759AF" w14:textId="77777777" w:rsidTr="0004786C">
        <w:trPr>
          <w:trHeight w:val="253"/>
        </w:trPr>
        <w:tc>
          <w:tcPr>
            <w:tcW w:w="2597" w:type="dxa"/>
            <w:hideMark/>
          </w:tcPr>
          <w:p w14:paraId="6E94D5F1" w14:textId="77777777" w:rsidR="00322AD9" w:rsidRPr="00A14C21" w:rsidRDefault="00322AD9" w:rsidP="0004786C">
            <w:pPr>
              <w:rPr>
                <w:rFonts w:ascii="Arial" w:hAnsi="Arial" w:cs="Arial"/>
                <w:sz w:val="20"/>
                <w:szCs w:val="20"/>
              </w:rPr>
            </w:pPr>
            <w:r>
              <w:rPr>
                <w:rFonts w:ascii="Arial" w:hAnsi="Arial" w:cs="Arial"/>
                <w:sz w:val="20"/>
                <w:szCs w:val="20"/>
                <w:lang w:val="en-GB"/>
              </w:rPr>
              <w:t>˃ €11.07 ≤ €12.58</w:t>
            </w:r>
          </w:p>
        </w:tc>
        <w:tc>
          <w:tcPr>
            <w:tcW w:w="3258" w:type="dxa"/>
            <w:hideMark/>
          </w:tcPr>
          <w:p w14:paraId="5EE06B32" w14:textId="77777777" w:rsidR="00322AD9" w:rsidRPr="00A14C21" w:rsidRDefault="00322AD9" w:rsidP="0004786C">
            <w:pPr>
              <w:jc w:val="center"/>
              <w:rPr>
                <w:rFonts w:ascii="Arial" w:hAnsi="Arial" w:cs="Arial"/>
                <w:sz w:val="20"/>
                <w:szCs w:val="20"/>
              </w:rPr>
            </w:pPr>
            <w:r>
              <w:rPr>
                <w:rFonts w:ascii="Arial" w:hAnsi="Arial" w:cs="Arial"/>
                <w:sz w:val="20"/>
                <w:szCs w:val="20"/>
                <w:lang w:val="en-GB"/>
              </w:rPr>
              <w:t>€0.51</w:t>
            </w:r>
          </w:p>
        </w:tc>
        <w:tc>
          <w:tcPr>
            <w:tcW w:w="3207" w:type="dxa"/>
            <w:hideMark/>
          </w:tcPr>
          <w:p w14:paraId="627D45B0" w14:textId="77777777" w:rsidR="00322AD9" w:rsidRPr="00A14C21" w:rsidRDefault="00322AD9" w:rsidP="0004786C">
            <w:pPr>
              <w:jc w:val="center"/>
              <w:rPr>
                <w:rFonts w:ascii="Arial" w:hAnsi="Arial" w:cs="Arial"/>
                <w:sz w:val="20"/>
                <w:szCs w:val="20"/>
              </w:rPr>
            </w:pPr>
            <w:r>
              <w:rPr>
                <w:rFonts w:ascii="Arial" w:hAnsi="Arial" w:cs="Arial"/>
                <w:sz w:val="20"/>
                <w:szCs w:val="20"/>
                <w:lang w:val="en-GB"/>
              </w:rPr>
              <w:t>€1,000 per year</w:t>
            </w:r>
          </w:p>
        </w:tc>
      </w:tr>
    </w:tbl>
    <w:p w14:paraId="753654AF" w14:textId="77777777" w:rsidR="004746E7" w:rsidRPr="00BE4865" w:rsidRDefault="004746E7" w:rsidP="004746E7">
      <w:pPr>
        <w:rPr>
          <w:rFonts w:ascii="Arial" w:eastAsia="Calibri" w:hAnsi="Arial" w:cs="Arial"/>
          <w:sz w:val="20"/>
          <w:szCs w:val="20"/>
        </w:rPr>
      </w:pPr>
    </w:p>
    <w:p w14:paraId="405BA8F2" w14:textId="393A27B4" w:rsidR="004746E7" w:rsidRPr="008D49E6" w:rsidRDefault="004746E7" w:rsidP="004746E7">
      <w:pPr>
        <w:shd w:val="clear" w:color="auto" w:fill="D9D9D9"/>
        <w:rPr>
          <w:rFonts w:ascii="Arial" w:eastAsia="Calibri" w:hAnsi="Arial" w:cs="Arial"/>
          <w:sz w:val="20"/>
          <w:szCs w:val="20"/>
          <w:lang w:val="en-GB"/>
        </w:rPr>
      </w:pPr>
      <w:r>
        <w:rPr>
          <w:rFonts w:ascii="Arial" w:hAnsi="Arial" w:cs="Arial"/>
          <w:b/>
          <w:bCs/>
          <w:sz w:val="20"/>
          <w:szCs w:val="20"/>
          <w:lang w:val="en-GB"/>
        </w:rPr>
        <w:t>Tip!</w:t>
      </w:r>
      <w:r>
        <w:rPr>
          <w:rFonts w:ascii="Arial" w:hAnsi="Arial" w:cs="Arial"/>
          <w:sz w:val="20"/>
          <w:szCs w:val="20"/>
          <w:lang w:val="en-GB"/>
        </w:rPr>
        <w:br/>
        <w:t>You can influence the hourly wage of your employees independently to ensure maximum benefit of the LIV. For example by paying employees just over the hourly wage limit an expense allowance in the expense allowance scheme in exchange for a slightly lower wage. Naturally, this is only an option in compliance with the applicable statutory tax efficiency options.</w:t>
      </w:r>
    </w:p>
    <w:p w14:paraId="7FEC407B" w14:textId="77777777" w:rsidR="00322AD9" w:rsidRPr="00BE4865" w:rsidRDefault="00322AD9" w:rsidP="004746E7">
      <w:pPr>
        <w:pStyle w:val="Kop2"/>
        <w:rPr>
          <w:rFonts w:eastAsia="Calibri"/>
        </w:rPr>
      </w:pPr>
      <w:bookmarkStart w:id="84" w:name="_Toc534204704"/>
      <w:bookmarkStart w:id="85" w:name="_Toc536010231"/>
      <w:r>
        <w:rPr>
          <w:rFonts w:eastAsia="Calibri"/>
          <w:bCs/>
          <w:iCs w:val="0"/>
          <w:lang w:val="en-GB"/>
        </w:rPr>
        <w:t>Youth low-income benefit 2019</w:t>
      </w:r>
      <w:bookmarkEnd w:id="84"/>
      <w:bookmarkEnd w:id="85"/>
    </w:p>
    <w:p w14:paraId="2572A5E5" w14:textId="77777777" w:rsidR="00322AD9" w:rsidRDefault="00322AD9" w:rsidP="00322AD9">
      <w:pPr>
        <w:rPr>
          <w:rFonts w:ascii="Arial" w:eastAsia="Calibri" w:hAnsi="Arial" w:cs="Arial"/>
          <w:sz w:val="20"/>
          <w:szCs w:val="20"/>
          <w:u w:val="single"/>
        </w:rPr>
      </w:pPr>
    </w:p>
    <w:p w14:paraId="3A531BBB" w14:textId="77777777" w:rsidR="00322AD9" w:rsidRPr="008D49E6" w:rsidRDefault="00322AD9" w:rsidP="00322AD9">
      <w:pPr>
        <w:rPr>
          <w:rFonts w:ascii="Arial" w:hAnsi="Arial" w:cs="Arial"/>
          <w:sz w:val="20"/>
          <w:szCs w:val="20"/>
          <w:lang w:val="en-GB"/>
        </w:rPr>
      </w:pPr>
      <w:r>
        <w:rPr>
          <w:rFonts w:ascii="Arial" w:hAnsi="Arial" w:cs="Arial"/>
          <w:sz w:val="20"/>
          <w:szCs w:val="20"/>
          <w:lang w:val="en-GB"/>
        </w:rPr>
        <w:t>The youth LIV is an annual allowance granted to employers pertaining to increasing the minimum wage for young workers. This means additional payroll costs for employers. This is why employers will receive the youth LIV for employees fulfilling the conditions as from 1 January 2018.</w:t>
      </w:r>
    </w:p>
    <w:p w14:paraId="215BB119" w14:textId="77777777" w:rsidR="00322AD9" w:rsidRPr="00A14C21" w:rsidRDefault="00322AD9" w:rsidP="004746E7">
      <w:pPr>
        <w:pStyle w:val="Kop3"/>
        <w:ind w:hanging="1260"/>
      </w:pPr>
      <w:bookmarkStart w:id="86" w:name="_Toc534204705"/>
      <w:bookmarkStart w:id="87" w:name="_Toc536010232"/>
      <w:r>
        <w:rPr>
          <w:lang w:val="en-GB"/>
        </w:rPr>
        <w:t>Youth LIV conditions</w:t>
      </w:r>
      <w:bookmarkEnd w:id="86"/>
      <w:bookmarkEnd w:id="87"/>
    </w:p>
    <w:p w14:paraId="55A5CF97" w14:textId="77777777" w:rsidR="00322AD9" w:rsidRPr="008D49E6" w:rsidRDefault="00322AD9" w:rsidP="00322AD9">
      <w:pPr>
        <w:rPr>
          <w:rFonts w:ascii="Arial" w:hAnsi="Arial" w:cs="Arial"/>
          <w:sz w:val="20"/>
          <w:szCs w:val="20"/>
          <w:lang w:val="en-GB"/>
        </w:rPr>
      </w:pPr>
      <w:r>
        <w:rPr>
          <w:rFonts w:ascii="Arial" w:hAnsi="Arial" w:cs="Arial"/>
          <w:sz w:val="20"/>
          <w:szCs w:val="20"/>
          <w:lang w:val="en-GB"/>
        </w:rPr>
        <w:t>An employer is entitled to the youth LIV for each employee fulfilling the following these three conditions:</w:t>
      </w:r>
    </w:p>
    <w:p w14:paraId="4B6155C9" w14:textId="77777777" w:rsidR="004746E7" w:rsidRPr="008D49E6" w:rsidRDefault="004746E7" w:rsidP="00322AD9">
      <w:pPr>
        <w:rPr>
          <w:rFonts w:ascii="Arial" w:hAnsi="Arial" w:cs="Arial"/>
          <w:sz w:val="20"/>
          <w:szCs w:val="20"/>
          <w:lang w:val="en-GB"/>
        </w:rPr>
      </w:pPr>
    </w:p>
    <w:p w14:paraId="5519C6F2" w14:textId="77777777" w:rsidR="00322AD9" w:rsidRPr="008D49E6" w:rsidRDefault="00322AD9" w:rsidP="00C80C29">
      <w:pPr>
        <w:pStyle w:val="Lijstalinea"/>
        <w:numPr>
          <w:ilvl w:val="0"/>
          <w:numId w:val="6"/>
        </w:numPr>
        <w:ind w:left="426" w:hanging="426"/>
        <w:rPr>
          <w:rFonts w:ascii="Arial" w:hAnsi="Arial" w:cs="Arial"/>
          <w:sz w:val="20"/>
          <w:szCs w:val="20"/>
          <w:lang w:val="en-GB"/>
        </w:rPr>
      </w:pPr>
      <w:r>
        <w:rPr>
          <w:rFonts w:ascii="Arial" w:hAnsi="Arial" w:cs="Arial"/>
          <w:sz w:val="20"/>
          <w:szCs w:val="20"/>
          <w:lang w:val="en-GB"/>
        </w:rPr>
        <w:t>The employee has social insurance.</w:t>
      </w:r>
    </w:p>
    <w:p w14:paraId="58F20BC0" w14:textId="77777777" w:rsidR="00322AD9" w:rsidRPr="008D49E6" w:rsidRDefault="00322AD9" w:rsidP="00C80C29">
      <w:pPr>
        <w:pStyle w:val="Lijstalinea"/>
        <w:numPr>
          <w:ilvl w:val="0"/>
          <w:numId w:val="6"/>
        </w:numPr>
        <w:ind w:left="426" w:hanging="426"/>
        <w:rPr>
          <w:rFonts w:ascii="Arial" w:hAnsi="Arial" w:cs="Arial"/>
          <w:sz w:val="20"/>
          <w:szCs w:val="20"/>
          <w:lang w:val="en-GB"/>
        </w:rPr>
      </w:pPr>
      <w:r>
        <w:rPr>
          <w:rFonts w:ascii="Arial" w:hAnsi="Arial" w:cs="Arial"/>
          <w:sz w:val="20"/>
          <w:szCs w:val="20"/>
          <w:lang w:val="en-GB"/>
        </w:rPr>
        <w:t>The employee has an average hourly wage that is in line with the statutory minimum wage young workers for his/her age.</w:t>
      </w:r>
    </w:p>
    <w:p w14:paraId="58B9BCC9" w14:textId="77777777" w:rsidR="00322AD9" w:rsidRPr="008D49E6" w:rsidRDefault="00322AD9" w:rsidP="00C80C29">
      <w:pPr>
        <w:pStyle w:val="Lijstalinea"/>
        <w:numPr>
          <w:ilvl w:val="0"/>
          <w:numId w:val="6"/>
        </w:numPr>
        <w:ind w:left="426" w:hanging="426"/>
        <w:rPr>
          <w:rFonts w:ascii="Arial" w:hAnsi="Arial" w:cs="Arial"/>
          <w:sz w:val="20"/>
          <w:szCs w:val="20"/>
          <w:lang w:val="en-GB"/>
        </w:rPr>
      </w:pPr>
      <w:r>
        <w:rPr>
          <w:rFonts w:ascii="Arial" w:hAnsi="Arial" w:cs="Arial"/>
          <w:sz w:val="20"/>
          <w:szCs w:val="20"/>
          <w:lang w:val="en-GB"/>
        </w:rPr>
        <w:t>The employee was aged 18, 19, 20 or 21 on 31 December of the previous year.</w:t>
      </w:r>
    </w:p>
    <w:p w14:paraId="688C4468" w14:textId="77777777" w:rsidR="00322AD9" w:rsidRPr="008D49E6" w:rsidRDefault="00322AD9" w:rsidP="007166AB">
      <w:pPr>
        <w:rPr>
          <w:rFonts w:ascii="Arial" w:hAnsi="Arial" w:cs="Arial"/>
          <w:sz w:val="20"/>
          <w:szCs w:val="20"/>
          <w:lang w:val="en-GB"/>
        </w:rPr>
      </w:pPr>
    </w:p>
    <w:p w14:paraId="68293E5E" w14:textId="77777777" w:rsidR="00322AD9" w:rsidRPr="008D49E6" w:rsidRDefault="00322AD9" w:rsidP="00322AD9">
      <w:pPr>
        <w:rPr>
          <w:rFonts w:ascii="Arial" w:hAnsi="Arial" w:cs="Arial"/>
          <w:sz w:val="20"/>
          <w:szCs w:val="20"/>
          <w:lang w:val="en-GB"/>
        </w:rPr>
      </w:pPr>
      <w:r>
        <w:rPr>
          <w:rFonts w:ascii="Arial" w:hAnsi="Arial" w:cs="Arial"/>
          <w:sz w:val="20"/>
          <w:szCs w:val="20"/>
          <w:lang w:val="en-GB"/>
        </w:rPr>
        <w:t>The average hourly wage is the wage from employment during one year, divided by the number of payrolled hours in the relevant year.</w:t>
      </w:r>
    </w:p>
    <w:p w14:paraId="114A8E44" w14:textId="77777777" w:rsidR="00322AD9" w:rsidRDefault="00322AD9" w:rsidP="007166AB">
      <w:pPr>
        <w:pStyle w:val="Kop3"/>
        <w:ind w:hanging="1260"/>
      </w:pPr>
      <w:bookmarkStart w:id="88" w:name="_Toc534204706"/>
      <w:bookmarkStart w:id="89" w:name="_Toc536010233"/>
      <w:r>
        <w:rPr>
          <w:lang w:val="en-GB"/>
        </w:rPr>
        <w:t>2019 limits to hourly wage</w:t>
      </w:r>
      <w:bookmarkEnd w:id="88"/>
      <w:bookmarkEnd w:id="89"/>
    </w:p>
    <w:p w14:paraId="744092AD" w14:textId="77777777" w:rsidR="00322AD9" w:rsidRPr="008D49E6" w:rsidRDefault="00322AD9" w:rsidP="00322AD9">
      <w:pPr>
        <w:rPr>
          <w:rFonts w:ascii="Arial" w:hAnsi="Arial" w:cs="Arial"/>
          <w:sz w:val="20"/>
          <w:szCs w:val="20"/>
          <w:lang w:val="en-GB"/>
        </w:rPr>
      </w:pPr>
      <w:r>
        <w:rPr>
          <w:rFonts w:ascii="Arial" w:hAnsi="Arial" w:cs="Arial"/>
          <w:sz w:val="20"/>
          <w:szCs w:val="20"/>
          <w:lang w:val="en-GB"/>
        </w:rPr>
        <w:t xml:space="preserve">The hourly wage for the various age brackets </w:t>
      </w:r>
      <w:r>
        <w:rPr>
          <w:rFonts w:ascii="Arial" w:hAnsi="Arial" w:cs="Arial"/>
          <w:color w:val="000000"/>
          <w:sz w:val="20"/>
          <w:szCs w:val="20"/>
          <w:shd w:val="clear" w:color="auto" w:fill="FFFFFF"/>
          <w:lang w:val="en-GB"/>
        </w:rPr>
        <w:t>will be set out in the calculation rules of 1 July 2019. These hourly wage limits are derived from the statutory minimum wage over the entire calendar year and are not announced until after the publication of the minimum wage for the second half of 2019.</w:t>
      </w:r>
    </w:p>
    <w:p w14:paraId="6C47FE17" w14:textId="77777777" w:rsidR="00322AD9" w:rsidRPr="00A14C21" w:rsidRDefault="00322AD9" w:rsidP="007166AB">
      <w:pPr>
        <w:pStyle w:val="Kop3"/>
        <w:ind w:hanging="1260"/>
      </w:pPr>
      <w:bookmarkStart w:id="90" w:name="_Toc534204707"/>
      <w:bookmarkStart w:id="91" w:name="_Toc536010234"/>
      <w:r>
        <w:rPr>
          <w:lang w:val="en-GB"/>
        </w:rPr>
        <w:t>2019 youth LIV amounts</w:t>
      </w:r>
      <w:bookmarkEnd w:id="90"/>
      <w:bookmarkEnd w:id="91"/>
    </w:p>
    <w:p w14:paraId="20EBB351" w14:textId="77777777" w:rsidR="00322AD9" w:rsidRPr="008D49E6" w:rsidRDefault="00322AD9" w:rsidP="00322AD9">
      <w:pPr>
        <w:rPr>
          <w:rFonts w:ascii="Arial" w:hAnsi="Arial" w:cs="Arial"/>
          <w:sz w:val="20"/>
          <w:szCs w:val="20"/>
          <w:lang w:val="en-GB"/>
        </w:rPr>
      </w:pPr>
      <w:r>
        <w:rPr>
          <w:rFonts w:ascii="Arial" w:hAnsi="Arial" w:cs="Arial"/>
          <w:sz w:val="20"/>
          <w:szCs w:val="20"/>
          <w:lang w:val="en-GB"/>
        </w:rPr>
        <w:t xml:space="preserve">If an employer falls within the hourly wage limits to be set and fulfils the other conditions, an employer is entitled to youth LIV for an employee. The exact amount of the benefit depends on both the number of payrolled hours and the employee’s age. </w:t>
      </w:r>
    </w:p>
    <w:p w14:paraId="0D4AE0C1" w14:textId="77777777" w:rsidR="00322AD9" w:rsidRPr="008D49E6" w:rsidRDefault="00322AD9" w:rsidP="00322AD9">
      <w:pPr>
        <w:rPr>
          <w:rFonts w:ascii="Arial" w:eastAsia="Calibri" w:hAnsi="Arial" w:cs="Arial"/>
          <w:sz w:val="20"/>
          <w:szCs w:val="20"/>
          <w:lang w:val="en-GB"/>
        </w:rPr>
      </w:pPr>
    </w:p>
    <w:tbl>
      <w:tblPr>
        <w:tblStyle w:val="Tabelraster"/>
        <w:tblW w:w="0" w:type="auto"/>
        <w:tblLook w:val="04A0" w:firstRow="1" w:lastRow="0" w:firstColumn="1" w:lastColumn="0" w:noHBand="0" w:noVBand="1"/>
      </w:tblPr>
      <w:tblGrid>
        <w:gridCol w:w="2708"/>
        <w:gridCol w:w="2522"/>
        <w:gridCol w:w="3832"/>
      </w:tblGrid>
      <w:tr w:rsidR="00322AD9" w:rsidRPr="008D49E6" w14:paraId="6DFB6175" w14:textId="77777777" w:rsidTr="0004786C">
        <w:tc>
          <w:tcPr>
            <w:tcW w:w="0" w:type="auto"/>
            <w:hideMark/>
          </w:tcPr>
          <w:p w14:paraId="0C9CF3AE" w14:textId="77777777" w:rsidR="00322AD9" w:rsidRPr="00BE4865" w:rsidRDefault="00322AD9" w:rsidP="0004786C">
            <w:pPr>
              <w:rPr>
                <w:rFonts w:ascii="Arial" w:hAnsi="Arial" w:cs="Arial"/>
                <w:color w:val="000000"/>
                <w:sz w:val="20"/>
                <w:szCs w:val="20"/>
              </w:rPr>
            </w:pPr>
            <w:r>
              <w:rPr>
                <w:rFonts w:ascii="Arial" w:hAnsi="Arial" w:cs="Arial"/>
                <w:b/>
                <w:bCs/>
                <w:color w:val="000000"/>
                <w:sz w:val="20"/>
                <w:szCs w:val="20"/>
                <w:lang w:val="en-GB"/>
              </w:rPr>
              <w:t>Age as at 31 December 2018</w:t>
            </w:r>
          </w:p>
        </w:tc>
        <w:tc>
          <w:tcPr>
            <w:tcW w:w="0" w:type="auto"/>
            <w:hideMark/>
          </w:tcPr>
          <w:p w14:paraId="7C3D0A16" w14:textId="77777777" w:rsidR="00322AD9" w:rsidRPr="008D49E6" w:rsidRDefault="00322AD9" w:rsidP="0004786C">
            <w:pPr>
              <w:rPr>
                <w:rFonts w:ascii="Arial" w:hAnsi="Arial" w:cs="Arial"/>
                <w:color w:val="000000"/>
                <w:sz w:val="20"/>
                <w:szCs w:val="20"/>
                <w:lang w:val="en-GB"/>
              </w:rPr>
            </w:pPr>
            <w:r>
              <w:rPr>
                <w:rFonts w:ascii="Arial" w:hAnsi="Arial" w:cs="Arial"/>
                <w:b/>
                <w:bCs/>
                <w:color w:val="000000"/>
                <w:sz w:val="20"/>
                <w:szCs w:val="20"/>
                <w:lang w:val="en-GB"/>
              </w:rPr>
              <w:t>Youth LIV per hour in 2019</w:t>
            </w:r>
          </w:p>
        </w:tc>
        <w:tc>
          <w:tcPr>
            <w:tcW w:w="0" w:type="auto"/>
            <w:hideMark/>
          </w:tcPr>
          <w:p w14:paraId="4CB8F0D1" w14:textId="77777777" w:rsidR="00322AD9" w:rsidRPr="008D49E6" w:rsidRDefault="00322AD9" w:rsidP="0004786C">
            <w:pPr>
              <w:rPr>
                <w:rFonts w:ascii="Arial" w:hAnsi="Arial" w:cs="Arial"/>
                <w:color w:val="000000"/>
                <w:sz w:val="20"/>
                <w:szCs w:val="20"/>
                <w:lang w:val="en-GB"/>
              </w:rPr>
            </w:pPr>
            <w:r>
              <w:rPr>
                <w:rFonts w:ascii="Arial" w:hAnsi="Arial" w:cs="Arial"/>
                <w:b/>
                <w:bCs/>
                <w:color w:val="000000"/>
                <w:sz w:val="20"/>
                <w:szCs w:val="20"/>
                <w:lang w:val="en-GB"/>
              </w:rPr>
              <w:t>Maximum youth LIV per employee in 2019</w:t>
            </w:r>
          </w:p>
        </w:tc>
      </w:tr>
      <w:tr w:rsidR="00322AD9" w:rsidRPr="00BE4865" w14:paraId="1B42D98A" w14:textId="77777777" w:rsidTr="0004786C">
        <w:tc>
          <w:tcPr>
            <w:tcW w:w="0" w:type="auto"/>
            <w:hideMark/>
          </w:tcPr>
          <w:p w14:paraId="5FD6B60B" w14:textId="77777777" w:rsidR="00322AD9" w:rsidRPr="00BE4865" w:rsidRDefault="00322AD9" w:rsidP="0004786C">
            <w:pPr>
              <w:rPr>
                <w:rFonts w:ascii="Arial" w:hAnsi="Arial" w:cs="Arial"/>
                <w:color w:val="000000"/>
                <w:sz w:val="20"/>
                <w:szCs w:val="20"/>
              </w:rPr>
            </w:pPr>
            <w:r>
              <w:rPr>
                <w:rFonts w:ascii="Arial" w:hAnsi="Arial" w:cs="Arial"/>
                <w:color w:val="000000"/>
                <w:sz w:val="20"/>
                <w:szCs w:val="20"/>
                <w:lang w:val="en-GB"/>
              </w:rPr>
              <w:t> age 21</w:t>
            </w:r>
          </w:p>
        </w:tc>
        <w:tc>
          <w:tcPr>
            <w:tcW w:w="0" w:type="auto"/>
            <w:hideMark/>
          </w:tcPr>
          <w:p w14:paraId="4B12BD9B" w14:textId="77777777" w:rsidR="00322AD9" w:rsidRPr="00BE4865" w:rsidRDefault="00322AD9" w:rsidP="0004786C">
            <w:pPr>
              <w:rPr>
                <w:rFonts w:ascii="Arial" w:hAnsi="Arial" w:cs="Arial"/>
                <w:color w:val="000000"/>
                <w:sz w:val="20"/>
                <w:szCs w:val="20"/>
              </w:rPr>
            </w:pPr>
            <w:r>
              <w:rPr>
                <w:rFonts w:ascii="Arial" w:hAnsi="Arial" w:cs="Arial"/>
                <w:color w:val="000000"/>
                <w:sz w:val="20"/>
                <w:szCs w:val="20"/>
                <w:lang w:val="en-GB"/>
              </w:rPr>
              <w:t>€0.91</w:t>
            </w:r>
          </w:p>
        </w:tc>
        <w:tc>
          <w:tcPr>
            <w:tcW w:w="0" w:type="auto"/>
            <w:hideMark/>
          </w:tcPr>
          <w:p w14:paraId="2900B595" w14:textId="77777777" w:rsidR="00322AD9" w:rsidRPr="00BE4865" w:rsidRDefault="00322AD9" w:rsidP="0004786C">
            <w:pPr>
              <w:rPr>
                <w:rFonts w:ascii="Arial" w:hAnsi="Arial" w:cs="Arial"/>
                <w:color w:val="000000"/>
                <w:sz w:val="20"/>
                <w:szCs w:val="20"/>
              </w:rPr>
            </w:pPr>
            <w:r>
              <w:rPr>
                <w:rFonts w:ascii="Arial" w:hAnsi="Arial" w:cs="Arial"/>
                <w:color w:val="000000"/>
                <w:sz w:val="20"/>
                <w:szCs w:val="20"/>
                <w:lang w:val="en-GB"/>
              </w:rPr>
              <w:t>€1,892.80</w:t>
            </w:r>
          </w:p>
        </w:tc>
      </w:tr>
      <w:tr w:rsidR="00322AD9" w:rsidRPr="00BE4865" w14:paraId="03717382" w14:textId="77777777" w:rsidTr="0004786C">
        <w:tc>
          <w:tcPr>
            <w:tcW w:w="0" w:type="auto"/>
            <w:hideMark/>
          </w:tcPr>
          <w:p w14:paraId="6EA056C0" w14:textId="77777777" w:rsidR="00322AD9" w:rsidRPr="00BE4865" w:rsidRDefault="00322AD9" w:rsidP="0004786C">
            <w:pPr>
              <w:rPr>
                <w:rFonts w:ascii="Arial" w:hAnsi="Arial" w:cs="Arial"/>
                <w:color w:val="000000"/>
                <w:sz w:val="20"/>
                <w:szCs w:val="20"/>
              </w:rPr>
            </w:pPr>
            <w:r>
              <w:rPr>
                <w:rFonts w:ascii="Arial" w:hAnsi="Arial" w:cs="Arial"/>
                <w:color w:val="000000"/>
                <w:sz w:val="20"/>
                <w:szCs w:val="20"/>
                <w:lang w:val="en-GB"/>
              </w:rPr>
              <w:t> age 20</w:t>
            </w:r>
          </w:p>
        </w:tc>
        <w:tc>
          <w:tcPr>
            <w:tcW w:w="0" w:type="auto"/>
            <w:hideMark/>
          </w:tcPr>
          <w:p w14:paraId="182CF8DE" w14:textId="77777777" w:rsidR="00322AD9" w:rsidRPr="00BE4865" w:rsidRDefault="00322AD9" w:rsidP="0004786C">
            <w:pPr>
              <w:rPr>
                <w:rFonts w:ascii="Arial" w:hAnsi="Arial" w:cs="Arial"/>
                <w:color w:val="000000"/>
                <w:sz w:val="20"/>
                <w:szCs w:val="20"/>
              </w:rPr>
            </w:pPr>
            <w:r>
              <w:rPr>
                <w:rFonts w:ascii="Arial" w:hAnsi="Arial" w:cs="Arial"/>
                <w:color w:val="000000"/>
                <w:sz w:val="20"/>
                <w:szCs w:val="20"/>
                <w:lang w:val="en-GB"/>
              </w:rPr>
              <w:t>€0.59</w:t>
            </w:r>
          </w:p>
        </w:tc>
        <w:tc>
          <w:tcPr>
            <w:tcW w:w="0" w:type="auto"/>
            <w:hideMark/>
          </w:tcPr>
          <w:p w14:paraId="10540C88" w14:textId="77777777" w:rsidR="00322AD9" w:rsidRPr="00BE4865" w:rsidRDefault="00322AD9" w:rsidP="0004786C">
            <w:pPr>
              <w:rPr>
                <w:rFonts w:ascii="Arial" w:hAnsi="Arial" w:cs="Arial"/>
                <w:color w:val="000000"/>
                <w:sz w:val="20"/>
                <w:szCs w:val="20"/>
              </w:rPr>
            </w:pPr>
            <w:r>
              <w:rPr>
                <w:rFonts w:ascii="Arial" w:hAnsi="Arial" w:cs="Arial"/>
                <w:color w:val="000000"/>
                <w:sz w:val="20"/>
                <w:szCs w:val="20"/>
                <w:lang w:val="en-GB"/>
              </w:rPr>
              <w:t>€1,227.20</w:t>
            </w:r>
          </w:p>
        </w:tc>
      </w:tr>
      <w:tr w:rsidR="00322AD9" w:rsidRPr="00BE4865" w14:paraId="3999D71F" w14:textId="77777777" w:rsidTr="0004786C">
        <w:tc>
          <w:tcPr>
            <w:tcW w:w="0" w:type="auto"/>
            <w:hideMark/>
          </w:tcPr>
          <w:p w14:paraId="3268FB40" w14:textId="77777777" w:rsidR="00322AD9" w:rsidRPr="00BE4865" w:rsidRDefault="00322AD9" w:rsidP="0004786C">
            <w:pPr>
              <w:rPr>
                <w:rFonts w:ascii="Arial" w:hAnsi="Arial" w:cs="Arial"/>
                <w:color w:val="000000"/>
                <w:sz w:val="20"/>
                <w:szCs w:val="20"/>
              </w:rPr>
            </w:pPr>
            <w:r>
              <w:rPr>
                <w:rFonts w:ascii="Arial" w:hAnsi="Arial" w:cs="Arial"/>
                <w:color w:val="000000"/>
                <w:sz w:val="20"/>
                <w:szCs w:val="20"/>
                <w:lang w:val="en-GB"/>
              </w:rPr>
              <w:t> age 19</w:t>
            </w:r>
          </w:p>
        </w:tc>
        <w:tc>
          <w:tcPr>
            <w:tcW w:w="0" w:type="auto"/>
            <w:hideMark/>
          </w:tcPr>
          <w:p w14:paraId="007B827F" w14:textId="77777777" w:rsidR="00322AD9" w:rsidRPr="00BE4865" w:rsidRDefault="00322AD9" w:rsidP="0004786C">
            <w:pPr>
              <w:rPr>
                <w:rFonts w:ascii="Arial" w:hAnsi="Arial" w:cs="Arial"/>
                <w:color w:val="000000"/>
                <w:sz w:val="20"/>
                <w:szCs w:val="20"/>
              </w:rPr>
            </w:pPr>
            <w:r>
              <w:rPr>
                <w:rFonts w:ascii="Arial" w:hAnsi="Arial" w:cs="Arial"/>
                <w:color w:val="000000"/>
                <w:sz w:val="20"/>
                <w:szCs w:val="20"/>
                <w:lang w:val="en-GB"/>
              </w:rPr>
              <w:t>€0.16</w:t>
            </w:r>
          </w:p>
        </w:tc>
        <w:tc>
          <w:tcPr>
            <w:tcW w:w="0" w:type="auto"/>
            <w:hideMark/>
          </w:tcPr>
          <w:p w14:paraId="1D49F71D" w14:textId="77777777" w:rsidR="00322AD9" w:rsidRPr="00BE4865" w:rsidRDefault="00322AD9" w:rsidP="0004786C">
            <w:pPr>
              <w:rPr>
                <w:rFonts w:ascii="Arial" w:hAnsi="Arial" w:cs="Arial"/>
                <w:color w:val="000000"/>
                <w:sz w:val="20"/>
                <w:szCs w:val="20"/>
              </w:rPr>
            </w:pPr>
            <w:r>
              <w:rPr>
                <w:rFonts w:ascii="Arial" w:hAnsi="Arial" w:cs="Arial"/>
                <w:color w:val="000000"/>
                <w:sz w:val="20"/>
                <w:szCs w:val="20"/>
                <w:lang w:val="en-GB"/>
              </w:rPr>
              <w:t>€332.80</w:t>
            </w:r>
          </w:p>
        </w:tc>
      </w:tr>
      <w:tr w:rsidR="00322AD9" w:rsidRPr="00BE4865" w14:paraId="324C298D" w14:textId="77777777" w:rsidTr="0004786C">
        <w:tc>
          <w:tcPr>
            <w:tcW w:w="0" w:type="auto"/>
            <w:hideMark/>
          </w:tcPr>
          <w:p w14:paraId="5DDE9F75" w14:textId="77777777" w:rsidR="00322AD9" w:rsidRPr="00BE4865" w:rsidRDefault="00322AD9" w:rsidP="0004786C">
            <w:pPr>
              <w:rPr>
                <w:rFonts w:ascii="Arial" w:hAnsi="Arial" w:cs="Arial"/>
                <w:color w:val="000000"/>
                <w:sz w:val="20"/>
                <w:szCs w:val="20"/>
              </w:rPr>
            </w:pPr>
            <w:r>
              <w:rPr>
                <w:rFonts w:ascii="Arial" w:hAnsi="Arial" w:cs="Arial"/>
                <w:color w:val="000000"/>
                <w:sz w:val="20"/>
                <w:szCs w:val="20"/>
                <w:lang w:val="en-GB"/>
              </w:rPr>
              <w:t> age 18</w:t>
            </w:r>
          </w:p>
        </w:tc>
        <w:tc>
          <w:tcPr>
            <w:tcW w:w="0" w:type="auto"/>
            <w:hideMark/>
          </w:tcPr>
          <w:p w14:paraId="40982FE8" w14:textId="77777777" w:rsidR="00322AD9" w:rsidRPr="00BE4865" w:rsidRDefault="00322AD9" w:rsidP="0004786C">
            <w:pPr>
              <w:rPr>
                <w:rFonts w:ascii="Arial" w:hAnsi="Arial" w:cs="Arial"/>
                <w:color w:val="000000"/>
                <w:sz w:val="20"/>
                <w:szCs w:val="20"/>
              </w:rPr>
            </w:pPr>
            <w:r>
              <w:rPr>
                <w:rFonts w:ascii="Arial" w:hAnsi="Arial" w:cs="Arial"/>
                <w:color w:val="000000"/>
                <w:sz w:val="20"/>
                <w:szCs w:val="20"/>
                <w:lang w:val="en-GB"/>
              </w:rPr>
              <w:t>€0.13</w:t>
            </w:r>
          </w:p>
        </w:tc>
        <w:tc>
          <w:tcPr>
            <w:tcW w:w="0" w:type="auto"/>
            <w:hideMark/>
          </w:tcPr>
          <w:p w14:paraId="2972C068" w14:textId="77777777" w:rsidR="00322AD9" w:rsidRPr="00BE4865" w:rsidRDefault="00322AD9" w:rsidP="0004786C">
            <w:pPr>
              <w:rPr>
                <w:rFonts w:ascii="Arial" w:hAnsi="Arial" w:cs="Arial"/>
                <w:color w:val="000000"/>
                <w:sz w:val="20"/>
                <w:szCs w:val="20"/>
              </w:rPr>
            </w:pPr>
            <w:r>
              <w:rPr>
                <w:rFonts w:ascii="Arial" w:hAnsi="Arial" w:cs="Arial"/>
                <w:color w:val="000000"/>
                <w:sz w:val="20"/>
                <w:szCs w:val="20"/>
                <w:lang w:val="en-GB"/>
              </w:rPr>
              <w:t>€270.40</w:t>
            </w:r>
          </w:p>
        </w:tc>
      </w:tr>
    </w:tbl>
    <w:p w14:paraId="642CB72C" w14:textId="77777777" w:rsidR="007166AB" w:rsidRPr="00A14C21" w:rsidRDefault="007166AB" w:rsidP="007166AB">
      <w:pPr>
        <w:pStyle w:val="Default"/>
        <w:rPr>
          <w:sz w:val="20"/>
          <w:szCs w:val="20"/>
        </w:rPr>
      </w:pPr>
    </w:p>
    <w:p w14:paraId="3593A3EF" w14:textId="76920C8A" w:rsidR="00322AD9" w:rsidRPr="008D49E6" w:rsidRDefault="007166AB" w:rsidP="007166AB">
      <w:pPr>
        <w:shd w:val="clear" w:color="auto" w:fill="D9D9D9"/>
        <w:rPr>
          <w:rFonts w:ascii="Arial" w:hAnsi="Arial" w:cs="Arial"/>
          <w:sz w:val="20"/>
          <w:szCs w:val="20"/>
          <w:lang w:val="en-GB"/>
        </w:rPr>
      </w:pPr>
      <w:r>
        <w:rPr>
          <w:rFonts w:ascii="Arial" w:hAnsi="Arial" w:cs="Arial"/>
          <w:b/>
          <w:bCs/>
          <w:sz w:val="20"/>
          <w:szCs w:val="20"/>
          <w:lang w:val="en-GB"/>
        </w:rPr>
        <w:t>Please note!</w:t>
      </w:r>
      <w:r>
        <w:rPr>
          <w:rFonts w:ascii="Arial" w:hAnsi="Arial" w:cs="Arial"/>
          <w:sz w:val="20"/>
          <w:szCs w:val="20"/>
          <w:lang w:val="en-GB"/>
        </w:rPr>
        <w:br/>
        <w:t>An employer making use of BBL (work-based pathway) students may also be eligible for the youth LIV. The employer receives this allowance if paying the BBL student in accordance with the statutory minimum wage for young workers in line with his/her age. The employer may also pay the BBL student below the statutory minimum wage for young workers, but in that case the employer is not entitled to youth LIV.</w:t>
      </w:r>
    </w:p>
    <w:p w14:paraId="4E5FF4CD" w14:textId="77777777" w:rsidR="007166AB" w:rsidRPr="008D49E6" w:rsidRDefault="007166AB" w:rsidP="007166AB">
      <w:pPr>
        <w:pStyle w:val="Default"/>
        <w:rPr>
          <w:sz w:val="20"/>
          <w:szCs w:val="20"/>
          <w:lang w:val="en-GB"/>
        </w:rPr>
      </w:pPr>
    </w:p>
    <w:p w14:paraId="5865D969" w14:textId="55CE15B2" w:rsidR="00322AD9" w:rsidRPr="008D49E6" w:rsidRDefault="007166AB" w:rsidP="007166AB">
      <w:pPr>
        <w:shd w:val="clear" w:color="auto" w:fill="D9D9D9"/>
        <w:rPr>
          <w:rFonts w:ascii="Arial" w:hAnsi="Arial" w:cs="Arial"/>
          <w:sz w:val="20"/>
          <w:szCs w:val="20"/>
          <w:lang w:val="en-GB"/>
        </w:rPr>
      </w:pPr>
      <w:r>
        <w:rPr>
          <w:rFonts w:ascii="Arial" w:hAnsi="Arial" w:cs="Arial"/>
          <w:b/>
          <w:bCs/>
          <w:sz w:val="20"/>
          <w:szCs w:val="20"/>
          <w:lang w:val="en-GB"/>
        </w:rPr>
        <w:t>Please note!</w:t>
      </w:r>
      <w:r>
        <w:rPr>
          <w:rFonts w:ascii="Arial" w:hAnsi="Arial" w:cs="Arial"/>
          <w:sz w:val="20"/>
          <w:szCs w:val="20"/>
          <w:lang w:val="en-GB"/>
        </w:rPr>
        <w:br/>
        <w:t>If the employer included incorrect information in the payroll tax return, an administrative fine may be imposed up to €1,319 per detail per employee per year, because correct information is crucial for the implementation of this Act.</w:t>
      </w:r>
    </w:p>
    <w:p w14:paraId="56528642" w14:textId="77777777" w:rsidR="00322AD9" w:rsidRPr="008D49E6" w:rsidRDefault="00322AD9" w:rsidP="00322AD9">
      <w:pPr>
        <w:rPr>
          <w:rFonts w:ascii="Arial" w:hAnsi="Arial" w:cs="Arial"/>
          <w:sz w:val="20"/>
          <w:szCs w:val="20"/>
          <w:lang w:val="en-GB"/>
        </w:rPr>
      </w:pPr>
    </w:p>
    <w:p w14:paraId="36F56825" w14:textId="77777777" w:rsidR="00322AD9" w:rsidRDefault="00322AD9" w:rsidP="007166AB">
      <w:pPr>
        <w:pStyle w:val="Kop2"/>
      </w:pPr>
      <w:bookmarkStart w:id="92" w:name="_Toc534204708"/>
      <w:bookmarkStart w:id="93" w:name="_Toc536010235"/>
      <w:r>
        <w:rPr>
          <w:bCs/>
          <w:iCs w:val="0"/>
          <w:lang w:val="en-GB"/>
        </w:rPr>
        <w:t>Payroll benefits in 2019</w:t>
      </w:r>
      <w:bookmarkEnd w:id="92"/>
      <w:bookmarkEnd w:id="93"/>
    </w:p>
    <w:p w14:paraId="7FA928EE" w14:textId="77777777" w:rsidR="00322AD9" w:rsidRDefault="00322AD9" w:rsidP="00322AD9"/>
    <w:p w14:paraId="17943C55" w14:textId="77777777" w:rsidR="00322AD9" w:rsidRPr="008D49E6" w:rsidRDefault="00322AD9" w:rsidP="00322AD9">
      <w:pPr>
        <w:rPr>
          <w:rFonts w:ascii="Arial" w:hAnsi="Arial" w:cs="Arial"/>
          <w:sz w:val="20"/>
          <w:szCs w:val="20"/>
          <w:lang w:val="en-GB"/>
        </w:rPr>
      </w:pPr>
      <w:r>
        <w:rPr>
          <w:rFonts w:ascii="Arial" w:hAnsi="Arial" w:cs="Arial"/>
          <w:sz w:val="20"/>
          <w:szCs w:val="20"/>
          <w:lang w:val="en-GB"/>
        </w:rPr>
        <w:t>As from 2018, employers who employ older persons entitled to benefits, workers with an impairment or partial occupational disability, and employees that fall within the scope of the target group of the Jobs and Jobs Quota (Work Disabled Persons) Act will be entitled to what are known as payroll benefits (LKVs). The relevant conditions remained the same in 2019, excepting regarding an edit of the definition of calendar month.</w:t>
      </w:r>
    </w:p>
    <w:p w14:paraId="2CDB44C0" w14:textId="77777777" w:rsidR="00322AD9" w:rsidRDefault="00322AD9" w:rsidP="007166AB">
      <w:pPr>
        <w:pStyle w:val="Kop3"/>
        <w:ind w:hanging="1260"/>
      </w:pPr>
      <w:bookmarkStart w:id="94" w:name="_Toc534204709"/>
      <w:bookmarkStart w:id="95" w:name="_Toc536010236"/>
      <w:r>
        <w:rPr>
          <w:lang w:val="en-GB"/>
        </w:rPr>
        <w:t>Conditions payroll benefits</w:t>
      </w:r>
      <w:bookmarkEnd w:id="94"/>
      <w:bookmarkEnd w:id="95"/>
    </w:p>
    <w:p w14:paraId="72E9323E" w14:textId="77777777" w:rsidR="00322AD9" w:rsidRPr="008D49E6" w:rsidRDefault="00322AD9" w:rsidP="00322AD9">
      <w:pPr>
        <w:rPr>
          <w:rFonts w:ascii="Arial" w:hAnsi="Arial" w:cs="Arial"/>
          <w:sz w:val="20"/>
          <w:szCs w:val="20"/>
          <w:lang w:val="en-GB"/>
        </w:rPr>
      </w:pPr>
      <w:r>
        <w:rPr>
          <w:rFonts w:ascii="Arial" w:hAnsi="Arial" w:cs="Arial"/>
          <w:sz w:val="20"/>
          <w:szCs w:val="20"/>
          <w:lang w:val="en-GB"/>
        </w:rPr>
        <w:t xml:space="preserve">If the conditions are fulfilled upon the start of the employment, the employer may submit a request for an LKV allowance within three years. For ‘LKV reassigned occupationally impaired employees’, a period of one year applies, rather than three years. </w:t>
      </w:r>
    </w:p>
    <w:p w14:paraId="77397313" w14:textId="77777777" w:rsidR="00322AD9" w:rsidRPr="008D49E6" w:rsidRDefault="00322AD9" w:rsidP="00322AD9">
      <w:pPr>
        <w:rPr>
          <w:rFonts w:ascii="Arial" w:hAnsi="Arial" w:cs="Arial"/>
          <w:sz w:val="20"/>
          <w:szCs w:val="20"/>
          <w:lang w:val="en-GB"/>
        </w:rPr>
      </w:pPr>
    </w:p>
    <w:p w14:paraId="72009829" w14:textId="77777777" w:rsidR="00322AD9" w:rsidRPr="008D49E6" w:rsidRDefault="00322AD9" w:rsidP="00322AD9">
      <w:pPr>
        <w:rPr>
          <w:rFonts w:ascii="Arial" w:hAnsi="Arial" w:cs="Arial"/>
          <w:sz w:val="20"/>
          <w:szCs w:val="20"/>
          <w:lang w:val="en-GB"/>
        </w:rPr>
      </w:pPr>
      <w:r>
        <w:rPr>
          <w:rFonts w:ascii="Arial" w:hAnsi="Arial" w:cs="Arial"/>
          <w:sz w:val="20"/>
          <w:szCs w:val="20"/>
          <w:lang w:val="en-GB"/>
        </w:rPr>
        <w:t>Eligibility for LKV is subject to the following conditions:</w:t>
      </w:r>
    </w:p>
    <w:p w14:paraId="0FBF4A45" w14:textId="77777777" w:rsidR="007166AB" w:rsidRPr="008D49E6" w:rsidRDefault="007166AB" w:rsidP="00322AD9">
      <w:pPr>
        <w:rPr>
          <w:rFonts w:ascii="Arial" w:hAnsi="Arial" w:cs="Arial"/>
          <w:sz w:val="20"/>
          <w:szCs w:val="20"/>
          <w:lang w:val="en-GB"/>
        </w:rPr>
      </w:pPr>
    </w:p>
    <w:p w14:paraId="1BDA4B44" w14:textId="77777777" w:rsidR="00322AD9" w:rsidRPr="008D49E6" w:rsidRDefault="00322AD9" w:rsidP="00322AD9">
      <w:pPr>
        <w:numPr>
          <w:ilvl w:val="0"/>
          <w:numId w:val="3"/>
        </w:numPr>
        <w:ind w:left="432"/>
        <w:rPr>
          <w:rFonts w:ascii="Arial" w:hAnsi="Arial" w:cs="Arial"/>
          <w:sz w:val="20"/>
          <w:szCs w:val="20"/>
          <w:lang w:val="en-GB"/>
        </w:rPr>
      </w:pPr>
      <w:r>
        <w:rPr>
          <w:rFonts w:ascii="Arial" w:hAnsi="Arial" w:cs="Arial"/>
          <w:sz w:val="20"/>
          <w:szCs w:val="20"/>
          <w:lang w:val="en-GB"/>
        </w:rPr>
        <w:t>The employee has a target group declaration.</w:t>
      </w:r>
    </w:p>
    <w:p w14:paraId="2086389C" w14:textId="77777777" w:rsidR="00322AD9" w:rsidRPr="008D49E6" w:rsidRDefault="00322AD9" w:rsidP="00C80C29">
      <w:pPr>
        <w:numPr>
          <w:ilvl w:val="0"/>
          <w:numId w:val="5"/>
        </w:numPr>
        <w:ind w:left="432"/>
        <w:rPr>
          <w:rFonts w:ascii="Arial" w:hAnsi="Arial" w:cs="Arial"/>
          <w:sz w:val="20"/>
          <w:szCs w:val="20"/>
          <w:lang w:val="en-GB"/>
        </w:rPr>
      </w:pPr>
      <w:r>
        <w:rPr>
          <w:rFonts w:ascii="Arial" w:hAnsi="Arial" w:cs="Arial"/>
          <w:sz w:val="20"/>
          <w:szCs w:val="20"/>
          <w:lang w:val="en-GB"/>
        </w:rPr>
        <w:t>The employee was not employed by the employer at any time during the six months prior to the effective date of employment (the anti-revolving door provision) (exception for re-placement of occupationally impaired employee).</w:t>
      </w:r>
    </w:p>
    <w:p w14:paraId="58368865" w14:textId="77777777" w:rsidR="00322AD9" w:rsidRPr="008D49E6" w:rsidRDefault="00322AD9" w:rsidP="00C80C29">
      <w:pPr>
        <w:numPr>
          <w:ilvl w:val="0"/>
          <w:numId w:val="5"/>
        </w:numPr>
        <w:ind w:left="432"/>
        <w:rPr>
          <w:rFonts w:ascii="Arial" w:hAnsi="Arial" w:cs="Arial"/>
          <w:sz w:val="20"/>
          <w:szCs w:val="20"/>
          <w:lang w:val="en-GB"/>
        </w:rPr>
      </w:pPr>
      <w:r>
        <w:rPr>
          <w:rFonts w:ascii="Arial" w:hAnsi="Arial" w:cs="Arial"/>
          <w:sz w:val="20"/>
          <w:szCs w:val="20"/>
          <w:lang w:val="en-GB"/>
        </w:rPr>
        <w:t>The employee has not yet reached the statutory retirement age for AOW state pension.</w:t>
      </w:r>
    </w:p>
    <w:p w14:paraId="3F1B6EB9" w14:textId="77777777" w:rsidR="00322AD9" w:rsidRPr="008D49E6" w:rsidRDefault="00322AD9" w:rsidP="00C80C29">
      <w:pPr>
        <w:numPr>
          <w:ilvl w:val="0"/>
          <w:numId w:val="5"/>
        </w:numPr>
        <w:ind w:left="432"/>
        <w:rPr>
          <w:rFonts w:ascii="Arial" w:hAnsi="Arial" w:cs="Arial"/>
          <w:sz w:val="20"/>
          <w:szCs w:val="20"/>
          <w:lang w:val="en-GB"/>
        </w:rPr>
      </w:pPr>
      <w:r>
        <w:rPr>
          <w:rFonts w:ascii="Arial" w:hAnsi="Arial" w:cs="Arial"/>
          <w:sz w:val="20"/>
          <w:szCs w:val="20"/>
          <w:lang w:val="en-GB"/>
        </w:rPr>
        <w:t>The employee does not perform any labour as set out in Section 2 of the Sheltered Employment Act, or Section 10b, third subsection, of the Participation Act.</w:t>
      </w:r>
    </w:p>
    <w:p w14:paraId="1A73757E" w14:textId="77777777" w:rsidR="00322AD9" w:rsidRPr="008D49E6" w:rsidRDefault="00322AD9" w:rsidP="00C80C29">
      <w:pPr>
        <w:numPr>
          <w:ilvl w:val="0"/>
          <w:numId w:val="5"/>
        </w:numPr>
        <w:ind w:left="432"/>
        <w:rPr>
          <w:rFonts w:ascii="Arial" w:hAnsi="Arial" w:cs="Arial"/>
          <w:sz w:val="20"/>
          <w:szCs w:val="20"/>
          <w:lang w:val="en-GB"/>
        </w:rPr>
      </w:pPr>
      <w:r>
        <w:rPr>
          <w:rFonts w:ascii="Arial" w:hAnsi="Arial" w:cs="Arial"/>
          <w:sz w:val="20"/>
          <w:szCs w:val="20"/>
          <w:lang w:val="en-GB"/>
        </w:rPr>
        <w:t>The employee has social insurance.</w:t>
      </w:r>
    </w:p>
    <w:p w14:paraId="5A6F24C9" w14:textId="77777777" w:rsidR="00322AD9" w:rsidRPr="008D49E6" w:rsidRDefault="00322AD9" w:rsidP="00322AD9">
      <w:pPr>
        <w:ind w:left="284" w:hanging="284"/>
        <w:rPr>
          <w:rFonts w:ascii="Arial" w:hAnsi="Arial" w:cs="Arial"/>
          <w:sz w:val="20"/>
          <w:szCs w:val="20"/>
          <w:lang w:val="en-GB"/>
        </w:rPr>
      </w:pPr>
    </w:p>
    <w:p w14:paraId="74E30DD4" w14:textId="77777777" w:rsidR="00322AD9" w:rsidRPr="008D49E6" w:rsidRDefault="00322AD9" w:rsidP="00322AD9">
      <w:pPr>
        <w:rPr>
          <w:rFonts w:ascii="Arial" w:hAnsi="Arial" w:cs="Arial"/>
          <w:sz w:val="20"/>
          <w:szCs w:val="20"/>
          <w:lang w:val="en-GB"/>
        </w:rPr>
      </w:pPr>
      <w:r>
        <w:rPr>
          <w:rFonts w:ascii="Arial" w:hAnsi="Arial" w:cs="Arial"/>
          <w:sz w:val="20"/>
          <w:szCs w:val="20"/>
          <w:lang w:val="en-GB"/>
        </w:rPr>
        <w:t>Additionally, for each type of LKV, additional conditions apply. If your employee fulfils all conditions, he/she can apply for a target group declaration.</w:t>
      </w:r>
    </w:p>
    <w:p w14:paraId="3FDB59AC" w14:textId="77777777" w:rsidR="007166AB" w:rsidRPr="008D49E6" w:rsidRDefault="007166AB" w:rsidP="007166AB">
      <w:pPr>
        <w:pStyle w:val="Default"/>
        <w:rPr>
          <w:sz w:val="20"/>
          <w:szCs w:val="20"/>
          <w:lang w:val="en-GB"/>
        </w:rPr>
      </w:pPr>
    </w:p>
    <w:p w14:paraId="5D0BF3E6" w14:textId="0EF614AE" w:rsidR="007166AB" w:rsidRPr="008D49E6" w:rsidRDefault="007166AB" w:rsidP="007166AB">
      <w:pPr>
        <w:shd w:val="clear" w:color="auto" w:fill="D9D9D9"/>
        <w:rPr>
          <w:rFonts w:ascii="Arial" w:hAnsi="Arial" w:cs="Arial"/>
          <w:sz w:val="20"/>
          <w:szCs w:val="20"/>
          <w:lang w:val="en-GB"/>
        </w:rPr>
      </w:pPr>
      <w:r>
        <w:rPr>
          <w:rFonts w:ascii="Arial" w:hAnsi="Arial" w:cs="Arial"/>
          <w:b/>
          <w:bCs/>
          <w:sz w:val="20"/>
          <w:szCs w:val="20"/>
          <w:lang w:val="en-GB"/>
        </w:rPr>
        <w:t>Please note!</w:t>
      </w:r>
      <w:r>
        <w:rPr>
          <w:rFonts w:ascii="Arial" w:hAnsi="Arial" w:cs="Arial"/>
          <w:sz w:val="20"/>
          <w:szCs w:val="20"/>
          <w:lang w:val="en-GB"/>
        </w:rPr>
        <w:br/>
        <w:t>The application for the target group declaration must be submitted within three months of the start of the employment contract. Make sure you apply in due time.</w:t>
      </w:r>
    </w:p>
    <w:p w14:paraId="14DF4E68" w14:textId="77777777" w:rsidR="00322AD9" w:rsidRPr="008D49E6" w:rsidRDefault="00322AD9" w:rsidP="00322AD9">
      <w:pPr>
        <w:rPr>
          <w:rFonts w:ascii="Arial" w:hAnsi="Arial" w:cs="Arial"/>
          <w:sz w:val="20"/>
          <w:szCs w:val="20"/>
          <w:lang w:val="en-GB"/>
        </w:rPr>
      </w:pPr>
    </w:p>
    <w:p w14:paraId="55CFABFE" w14:textId="77777777" w:rsidR="00322AD9" w:rsidRPr="008D49E6" w:rsidRDefault="00322AD9" w:rsidP="00322AD9">
      <w:pPr>
        <w:rPr>
          <w:rFonts w:ascii="Arial" w:hAnsi="Arial" w:cs="Arial"/>
          <w:sz w:val="20"/>
          <w:szCs w:val="20"/>
          <w:lang w:val="en-GB"/>
        </w:rPr>
      </w:pPr>
      <w:r>
        <w:rPr>
          <w:rFonts w:ascii="Arial" w:hAnsi="Arial" w:cs="Arial"/>
          <w:sz w:val="20"/>
          <w:szCs w:val="20"/>
          <w:lang w:val="en-GB"/>
        </w:rPr>
        <w:t>Use this target group declaration to apply for LKV (payroll benefit) in your payroll tax return. The 2019 conditions for being allocated this target group declaration will remain unchanged compared with the 2018 conditions.</w:t>
      </w:r>
    </w:p>
    <w:p w14:paraId="1B0622AA" w14:textId="77777777" w:rsidR="00322AD9" w:rsidRDefault="00322AD9" w:rsidP="007166AB">
      <w:pPr>
        <w:pStyle w:val="Kop3"/>
        <w:ind w:hanging="1260"/>
      </w:pPr>
      <w:bookmarkStart w:id="96" w:name="_Toc534204710"/>
      <w:bookmarkStart w:id="97" w:name="_Toc536010237"/>
      <w:r>
        <w:rPr>
          <w:lang w:val="en-GB"/>
        </w:rPr>
        <w:t>Calendar month</w:t>
      </w:r>
      <w:bookmarkEnd w:id="96"/>
      <w:bookmarkEnd w:id="97"/>
    </w:p>
    <w:p w14:paraId="556CA31B" w14:textId="77777777" w:rsidR="00322AD9" w:rsidRPr="008D49E6" w:rsidRDefault="00322AD9" w:rsidP="00322AD9">
      <w:pPr>
        <w:rPr>
          <w:rFonts w:ascii="Arial" w:hAnsi="Arial" w:cs="Arial"/>
          <w:sz w:val="20"/>
          <w:szCs w:val="20"/>
          <w:lang w:val="en-GB"/>
        </w:rPr>
      </w:pPr>
      <w:r>
        <w:rPr>
          <w:rFonts w:ascii="Arial" w:hAnsi="Arial" w:cs="Arial"/>
          <w:sz w:val="20"/>
          <w:szCs w:val="20"/>
          <w:lang w:val="en-GB"/>
        </w:rPr>
        <w:t>In the past, the target group declaration was sometimes not issued because the application did not fulfil the condition that the employee was entitled to a benefit or labour support in the calendar month prior to starting employment. However, generally, the employee for whom the target group declaration was requested was entitled to a benefit or labour support directly prior to the start of employment.</w:t>
      </w:r>
    </w:p>
    <w:p w14:paraId="43BA2A5C" w14:textId="77777777" w:rsidR="00322AD9" w:rsidRPr="008D49E6" w:rsidRDefault="00322AD9" w:rsidP="00322AD9">
      <w:pPr>
        <w:rPr>
          <w:rFonts w:ascii="Arial" w:hAnsi="Arial" w:cs="Arial"/>
          <w:sz w:val="20"/>
          <w:szCs w:val="20"/>
          <w:lang w:val="en-GB"/>
        </w:rPr>
      </w:pPr>
    </w:p>
    <w:p w14:paraId="57F7E64F" w14:textId="77777777" w:rsidR="00322AD9" w:rsidRPr="008D49E6" w:rsidRDefault="00322AD9" w:rsidP="00322AD9">
      <w:pPr>
        <w:rPr>
          <w:rFonts w:ascii="Arial" w:hAnsi="Arial" w:cs="Arial"/>
          <w:b/>
          <w:sz w:val="20"/>
          <w:szCs w:val="20"/>
          <w:lang w:val="en-GB"/>
        </w:rPr>
      </w:pPr>
      <w:r>
        <w:rPr>
          <w:rFonts w:ascii="Arial" w:hAnsi="Arial" w:cs="Arial"/>
          <w:b/>
          <w:bCs/>
          <w:sz w:val="20"/>
          <w:szCs w:val="20"/>
          <w:lang w:val="en-GB"/>
        </w:rPr>
        <w:t>Example</w:t>
      </w:r>
    </w:p>
    <w:p w14:paraId="5C4B4B33" w14:textId="77777777" w:rsidR="00322AD9" w:rsidRPr="008D49E6" w:rsidRDefault="00322AD9" w:rsidP="00322AD9">
      <w:pPr>
        <w:rPr>
          <w:rFonts w:ascii="Arial" w:hAnsi="Arial" w:cs="Arial"/>
          <w:i/>
          <w:sz w:val="20"/>
          <w:szCs w:val="20"/>
          <w:lang w:val="en-GB"/>
        </w:rPr>
      </w:pPr>
      <w:r>
        <w:rPr>
          <w:rFonts w:ascii="Arial" w:hAnsi="Arial" w:cs="Arial"/>
          <w:i/>
          <w:iCs/>
          <w:sz w:val="20"/>
          <w:szCs w:val="20"/>
          <w:lang w:val="en-GB"/>
        </w:rPr>
        <w:t>A job seeker age 56 receives an unemployment benefit on 1 February 2018. On 12 February 2018, this job seeker is employed by an organisation. The employer requests a target group declaration. In the calendar month prior to the employment date (i.e. January), the job seeker was not entitled to a benefit. Therefore, the application is not accepted.</w:t>
      </w:r>
    </w:p>
    <w:p w14:paraId="4F90CFF3" w14:textId="77777777" w:rsidR="00322AD9" w:rsidRPr="008D49E6" w:rsidRDefault="00322AD9" w:rsidP="00322AD9">
      <w:pPr>
        <w:rPr>
          <w:rFonts w:ascii="Arial" w:hAnsi="Arial" w:cs="Arial"/>
          <w:i/>
          <w:sz w:val="20"/>
          <w:szCs w:val="20"/>
          <w:lang w:val="en-GB"/>
        </w:rPr>
      </w:pPr>
    </w:p>
    <w:p w14:paraId="018670C0" w14:textId="77777777" w:rsidR="00322AD9" w:rsidRPr="008D49E6" w:rsidRDefault="00322AD9" w:rsidP="00322AD9">
      <w:pPr>
        <w:rPr>
          <w:rFonts w:ascii="Arial" w:hAnsi="Arial" w:cs="Arial"/>
          <w:sz w:val="20"/>
          <w:szCs w:val="20"/>
          <w:lang w:val="en-GB"/>
        </w:rPr>
      </w:pPr>
      <w:r>
        <w:rPr>
          <w:rFonts w:ascii="Arial" w:hAnsi="Arial" w:cs="Arial"/>
          <w:sz w:val="20"/>
          <w:szCs w:val="20"/>
          <w:lang w:val="en-GB"/>
        </w:rPr>
        <w:t>As from 1 January 2019, the word ‘calendar month’ is changed to ‘month’. The employee is in the Jobs and Jobs Quota (Work Disabled Persons) Act target group and fulfils the condition that he/she was entitled to a benefit or labour support on the first day of employment. At the request of the Ministry of Social Affairs and Employment, UWV (Employee Insurance Administration Agency) assessed all applications based on the updated condition as from 1 October 2018.</w:t>
      </w:r>
    </w:p>
    <w:p w14:paraId="1DA03691" w14:textId="77777777" w:rsidR="00322AD9" w:rsidRDefault="00322AD9" w:rsidP="007166AB">
      <w:pPr>
        <w:pStyle w:val="Kop3"/>
        <w:ind w:hanging="1260"/>
      </w:pPr>
      <w:bookmarkStart w:id="98" w:name="_Toc534204711"/>
      <w:bookmarkStart w:id="99" w:name="_Toc536010238"/>
      <w:r>
        <w:rPr>
          <w:lang w:val="en-GB"/>
        </w:rPr>
        <w:t>2019 amounts</w:t>
      </w:r>
      <w:bookmarkEnd w:id="98"/>
      <w:bookmarkEnd w:id="99"/>
    </w:p>
    <w:tbl>
      <w:tblPr>
        <w:tblStyle w:val="Tabelraster"/>
        <w:tblW w:w="9493" w:type="dxa"/>
        <w:tblLook w:val="04A0" w:firstRow="1" w:lastRow="0" w:firstColumn="1" w:lastColumn="0" w:noHBand="0" w:noVBand="1"/>
      </w:tblPr>
      <w:tblGrid>
        <w:gridCol w:w="3256"/>
        <w:gridCol w:w="2551"/>
        <w:gridCol w:w="2693"/>
        <w:gridCol w:w="993"/>
      </w:tblGrid>
      <w:tr w:rsidR="00322AD9" w:rsidRPr="00F12090" w14:paraId="39AFE43D" w14:textId="77777777" w:rsidTr="0004786C">
        <w:trPr>
          <w:trHeight w:val="45"/>
        </w:trPr>
        <w:tc>
          <w:tcPr>
            <w:tcW w:w="3256" w:type="dxa"/>
            <w:hideMark/>
          </w:tcPr>
          <w:p w14:paraId="265A10BA" w14:textId="77777777" w:rsidR="00322AD9" w:rsidRPr="00F12090" w:rsidRDefault="00322AD9" w:rsidP="0004786C">
            <w:pPr>
              <w:rPr>
                <w:rFonts w:ascii="Arial" w:hAnsi="Arial" w:cs="Arial"/>
                <w:sz w:val="20"/>
                <w:szCs w:val="20"/>
              </w:rPr>
            </w:pPr>
            <w:r>
              <w:rPr>
                <w:rFonts w:ascii="Arial" w:hAnsi="Arial" w:cs="Arial"/>
                <w:b/>
                <w:bCs/>
                <w:sz w:val="20"/>
                <w:szCs w:val="20"/>
                <w:lang w:val="en-GB"/>
              </w:rPr>
              <w:t>LKV (payroll benefit)</w:t>
            </w:r>
          </w:p>
        </w:tc>
        <w:tc>
          <w:tcPr>
            <w:tcW w:w="2551" w:type="dxa"/>
            <w:hideMark/>
          </w:tcPr>
          <w:p w14:paraId="68406973" w14:textId="77777777" w:rsidR="00322AD9" w:rsidRPr="00F12090" w:rsidRDefault="00322AD9" w:rsidP="0004786C">
            <w:pPr>
              <w:rPr>
                <w:rFonts w:ascii="Arial" w:hAnsi="Arial" w:cs="Arial"/>
                <w:sz w:val="20"/>
                <w:szCs w:val="20"/>
              </w:rPr>
            </w:pPr>
            <w:r>
              <w:rPr>
                <w:rFonts w:ascii="Arial" w:hAnsi="Arial" w:cs="Arial"/>
                <w:b/>
                <w:bCs/>
                <w:sz w:val="20"/>
                <w:szCs w:val="20"/>
                <w:lang w:val="en-GB"/>
              </w:rPr>
              <w:t>Amount per hour paid</w:t>
            </w:r>
          </w:p>
        </w:tc>
        <w:tc>
          <w:tcPr>
            <w:tcW w:w="2693" w:type="dxa"/>
            <w:hideMark/>
          </w:tcPr>
          <w:p w14:paraId="0A1A59FA" w14:textId="77777777" w:rsidR="00322AD9" w:rsidRPr="00F12090" w:rsidRDefault="00322AD9" w:rsidP="0004786C">
            <w:pPr>
              <w:rPr>
                <w:rFonts w:ascii="Arial" w:hAnsi="Arial" w:cs="Arial"/>
                <w:b/>
                <w:bCs/>
                <w:sz w:val="20"/>
                <w:szCs w:val="20"/>
              </w:rPr>
            </w:pPr>
            <w:r>
              <w:rPr>
                <w:rFonts w:ascii="Arial" w:hAnsi="Arial" w:cs="Arial"/>
                <w:b/>
                <w:bCs/>
                <w:sz w:val="20"/>
                <w:szCs w:val="20"/>
                <w:lang w:val="en-GB"/>
              </w:rPr>
              <w:t>Maximum amount per year</w:t>
            </w:r>
          </w:p>
        </w:tc>
        <w:tc>
          <w:tcPr>
            <w:tcW w:w="993" w:type="dxa"/>
            <w:hideMark/>
          </w:tcPr>
          <w:p w14:paraId="2FFA8AE9" w14:textId="77777777" w:rsidR="00322AD9" w:rsidRPr="00F12090" w:rsidRDefault="00322AD9" w:rsidP="0004786C">
            <w:pPr>
              <w:rPr>
                <w:rFonts w:ascii="Arial" w:hAnsi="Arial" w:cs="Arial"/>
                <w:sz w:val="20"/>
                <w:szCs w:val="20"/>
              </w:rPr>
            </w:pPr>
            <w:r>
              <w:rPr>
                <w:rFonts w:ascii="Arial" w:hAnsi="Arial" w:cs="Arial"/>
                <w:b/>
                <w:bCs/>
                <w:sz w:val="20"/>
                <w:szCs w:val="20"/>
                <w:lang w:val="en-GB"/>
              </w:rPr>
              <w:t>Term</w:t>
            </w:r>
          </w:p>
        </w:tc>
      </w:tr>
      <w:tr w:rsidR="00322AD9" w:rsidRPr="00F12090" w14:paraId="1AC94E5A" w14:textId="77777777" w:rsidTr="0004786C">
        <w:trPr>
          <w:trHeight w:val="45"/>
        </w:trPr>
        <w:tc>
          <w:tcPr>
            <w:tcW w:w="3256" w:type="dxa"/>
            <w:hideMark/>
          </w:tcPr>
          <w:p w14:paraId="2BD3B89A" w14:textId="77777777" w:rsidR="00322AD9" w:rsidRPr="00F12090" w:rsidRDefault="00322AD9" w:rsidP="0004786C">
            <w:pPr>
              <w:rPr>
                <w:rFonts w:ascii="Arial" w:hAnsi="Arial" w:cs="Arial"/>
                <w:sz w:val="20"/>
                <w:szCs w:val="20"/>
              </w:rPr>
            </w:pPr>
            <w:r>
              <w:rPr>
                <w:rFonts w:ascii="Arial" w:hAnsi="Arial" w:cs="Arial"/>
                <w:sz w:val="20"/>
                <w:szCs w:val="20"/>
                <w:lang w:val="en-GB"/>
              </w:rPr>
              <w:t>Older employee</w:t>
            </w:r>
          </w:p>
        </w:tc>
        <w:tc>
          <w:tcPr>
            <w:tcW w:w="2551" w:type="dxa"/>
            <w:hideMark/>
          </w:tcPr>
          <w:p w14:paraId="745DA783" w14:textId="77777777" w:rsidR="00322AD9" w:rsidRPr="00F12090" w:rsidRDefault="00322AD9" w:rsidP="0004786C">
            <w:pPr>
              <w:rPr>
                <w:rFonts w:ascii="Arial" w:hAnsi="Arial" w:cs="Arial"/>
                <w:sz w:val="20"/>
                <w:szCs w:val="20"/>
              </w:rPr>
            </w:pPr>
            <w:r>
              <w:rPr>
                <w:rFonts w:ascii="Arial" w:hAnsi="Arial" w:cs="Arial"/>
                <w:sz w:val="20"/>
                <w:szCs w:val="20"/>
                <w:lang w:val="en-GB"/>
              </w:rPr>
              <w:t>€3.05</w:t>
            </w:r>
          </w:p>
        </w:tc>
        <w:tc>
          <w:tcPr>
            <w:tcW w:w="2693" w:type="dxa"/>
            <w:hideMark/>
          </w:tcPr>
          <w:p w14:paraId="47F035F0" w14:textId="77777777" w:rsidR="00322AD9" w:rsidRPr="00F12090" w:rsidRDefault="00322AD9" w:rsidP="0004786C">
            <w:pPr>
              <w:rPr>
                <w:rFonts w:ascii="Arial" w:hAnsi="Arial" w:cs="Arial"/>
                <w:sz w:val="20"/>
                <w:szCs w:val="20"/>
              </w:rPr>
            </w:pPr>
            <w:r>
              <w:rPr>
                <w:rFonts w:ascii="Arial" w:hAnsi="Arial" w:cs="Arial"/>
                <w:sz w:val="20"/>
                <w:szCs w:val="20"/>
                <w:lang w:val="en-GB"/>
              </w:rPr>
              <w:t>€6,000</w:t>
            </w:r>
          </w:p>
        </w:tc>
        <w:tc>
          <w:tcPr>
            <w:tcW w:w="993" w:type="dxa"/>
            <w:hideMark/>
          </w:tcPr>
          <w:p w14:paraId="65522103" w14:textId="77777777" w:rsidR="00322AD9" w:rsidRPr="00F12090" w:rsidRDefault="00322AD9" w:rsidP="0004786C">
            <w:pPr>
              <w:rPr>
                <w:rFonts w:ascii="Arial" w:hAnsi="Arial" w:cs="Arial"/>
                <w:sz w:val="20"/>
                <w:szCs w:val="20"/>
              </w:rPr>
            </w:pPr>
            <w:r>
              <w:rPr>
                <w:rFonts w:ascii="Arial" w:hAnsi="Arial" w:cs="Arial"/>
                <w:sz w:val="20"/>
                <w:szCs w:val="20"/>
                <w:lang w:val="en-GB"/>
              </w:rPr>
              <w:t>3 years</w:t>
            </w:r>
          </w:p>
        </w:tc>
      </w:tr>
      <w:tr w:rsidR="00322AD9" w:rsidRPr="00F12090" w14:paraId="595599F8" w14:textId="77777777" w:rsidTr="0004786C">
        <w:trPr>
          <w:trHeight w:val="45"/>
        </w:trPr>
        <w:tc>
          <w:tcPr>
            <w:tcW w:w="3256" w:type="dxa"/>
            <w:hideMark/>
          </w:tcPr>
          <w:p w14:paraId="37CF9981" w14:textId="77777777" w:rsidR="00322AD9" w:rsidRPr="008D49E6" w:rsidRDefault="00322AD9" w:rsidP="0004786C">
            <w:pPr>
              <w:rPr>
                <w:rFonts w:ascii="Arial" w:hAnsi="Arial" w:cs="Arial"/>
                <w:sz w:val="20"/>
                <w:szCs w:val="20"/>
                <w:lang w:val="en-GB"/>
              </w:rPr>
            </w:pPr>
            <w:r>
              <w:rPr>
                <w:rFonts w:ascii="Arial" w:hAnsi="Arial" w:cs="Arial"/>
                <w:sz w:val="20"/>
                <w:szCs w:val="20"/>
                <w:lang w:val="en-GB"/>
              </w:rPr>
              <w:t>Employees with an impairment or occupational limitations</w:t>
            </w:r>
          </w:p>
        </w:tc>
        <w:tc>
          <w:tcPr>
            <w:tcW w:w="2551" w:type="dxa"/>
            <w:hideMark/>
          </w:tcPr>
          <w:p w14:paraId="3240B64B" w14:textId="77777777" w:rsidR="00322AD9" w:rsidRPr="00F12090" w:rsidRDefault="00322AD9" w:rsidP="0004786C">
            <w:pPr>
              <w:rPr>
                <w:rFonts w:ascii="Arial" w:hAnsi="Arial" w:cs="Arial"/>
                <w:sz w:val="20"/>
                <w:szCs w:val="20"/>
              </w:rPr>
            </w:pPr>
            <w:r>
              <w:rPr>
                <w:rFonts w:ascii="Arial" w:hAnsi="Arial" w:cs="Arial"/>
                <w:sz w:val="20"/>
                <w:szCs w:val="20"/>
                <w:lang w:val="en-GB"/>
              </w:rPr>
              <w:t>€3.05</w:t>
            </w:r>
          </w:p>
        </w:tc>
        <w:tc>
          <w:tcPr>
            <w:tcW w:w="2693" w:type="dxa"/>
            <w:hideMark/>
          </w:tcPr>
          <w:p w14:paraId="779E1935" w14:textId="77777777" w:rsidR="00322AD9" w:rsidRPr="00F12090" w:rsidRDefault="00322AD9" w:rsidP="0004786C">
            <w:pPr>
              <w:rPr>
                <w:rFonts w:ascii="Arial" w:hAnsi="Arial" w:cs="Arial"/>
                <w:sz w:val="20"/>
                <w:szCs w:val="20"/>
              </w:rPr>
            </w:pPr>
            <w:r>
              <w:rPr>
                <w:rFonts w:ascii="Arial" w:hAnsi="Arial" w:cs="Arial"/>
                <w:sz w:val="20"/>
                <w:szCs w:val="20"/>
                <w:lang w:val="en-GB"/>
              </w:rPr>
              <w:t>€6,000</w:t>
            </w:r>
          </w:p>
        </w:tc>
        <w:tc>
          <w:tcPr>
            <w:tcW w:w="993" w:type="dxa"/>
            <w:hideMark/>
          </w:tcPr>
          <w:p w14:paraId="073A0EC7" w14:textId="77777777" w:rsidR="00322AD9" w:rsidRPr="00F12090" w:rsidRDefault="00322AD9" w:rsidP="0004786C">
            <w:pPr>
              <w:rPr>
                <w:rFonts w:ascii="Arial" w:hAnsi="Arial" w:cs="Arial"/>
                <w:sz w:val="20"/>
                <w:szCs w:val="20"/>
              </w:rPr>
            </w:pPr>
            <w:r>
              <w:rPr>
                <w:rFonts w:ascii="Arial" w:hAnsi="Arial" w:cs="Arial"/>
                <w:sz w:val="20"/>
                <w:szCs w:val="20"/>
                <w:lang w:val="en-GB"/>
              </w:rPr>
              <w:t>3 years</w:t>
            </w:r>
          </w:p>
        </w:tc>
      </w:tr>
      <w:tr w:rsidR="00322AD9" w:rsidRPr="00F12090" w14:paraId="0B5190A2" w14:textId="77777777" w:rsidTr="0004786C">
        <w:trPr>
          <w:trHeight w:val="521"/>
        </w:trPr>
        <w:tc>
          <w:tcPr>
            <w:tcW w:w="3256" w:type="dxa"/>
            <w:hideMark/>
          </w:tcPr>
          <w:p w14:paraId="4400A958" w14:textId="77777777" w:rsidR="00322AD9" w:rsidRPr="008D49E6" w:rsidRDefault="00322AD9" w:rsidP="0004786C">
            <w:pPr>
              <w:rPr>
                <w:rFonts w:ascii="Arial" w:hAnsi="Arial" w:cs="Arial"/>
                <w:sz w:val="20"/>
                <w:szCs w:val="20"/>
                <w:lang w:val="en-GB"/>
              </w:rPr>
            </w:pPr>
            <w:r>
              <w:rPr>
                <w:rFonts w:ascii="Arial" w:hAnsi="Arial" w:cs="Arial"/>
                <w:sz w:val="20"/>
                <w:szCs w:val="20"/>
                <w:lang w:val="en-GB"/>
              </w:rPr>
              <w:t>Target group Jobs and Jobs Quota (Work Disabled Persons) Act</w:t>
            </w:r>
          </w:p>
        </w:tc>
        <w:tc>
          <w:tcPr>
            <w:tcW w:w="2551" w:type="dxa"/>
            <w:hideMark/>
          </w:tcPr>
          <w:p w14:paraId="686D5E2C" w14:textId="77777777" w:rsidR="00322AD9" w:rsidRPr="00F12090" w:rsidRDefault="00322AD9" w:rsidP="0004786C">
            <w:pPr>
              <w:rPr>
                <w:rFonts w:ascii="Arial" w:hAnsi="Arial" w:cs="Arial"/>
                <w:sz w:val="20"/>
                <w:szCs w:val="20"/>
              </w:rPr>
            </w:pPr>
            <w:r>
              <w:rPr>
                <w:rFonts w:ascii="Arial" w:hAnsi="Arial" w:cs="Arial"/>
                <w:sz w:val="20"/>
                <w:szCs w:val="20"/>
                <w:lang w:val="en-GB"/>
              </w:rPr>
              <w:t>€1.01</w:t>
            </w:r>
          </w:p>
        </w:tc>
        <w:tc>
          <w:tcPr>
            <w:tcW w:w="2693" w:type="dxa"/>
            <w:hideMark/>
          </w:tcPr>
          <w:p w14:paraId="46C2A995" w14:textId="77777777" w:rsidR="00322AD9" w:rsidRPr="00F12090" w:rsidRDefault="00322AD9" w:rsidP="0004786C">
            <w:pPr>
              <w:rPr>
                <w:rFonts w:ascii="Arial" w:hAnsi="Arial" w:cs="Arial"/>
                <w:sz w:val="20"/>
                <w:szCs w:val="20"/>
              </w:rPr>
            </w:pPr>
            <w:r>
              <w:rPr>
                <w:rFonts w:ascii="Arial" w:hAnsi="Arial" w:cs="Arial"/>
                <w:sz w:val="20"/>
                <w:szCs w:val="20"/>
                <w:lang w:val="en-GB"/>
              </w:rPr>
              <w:t>€2,000</w:t>
            </w:r>
          </w:p>
        </w:tc>
        <w:tc>
          <w:tcPr>
            <w:tcW w:w="993" w:type="dxa"/>
            <w:hideMark/>
          </w:tcPr>
          <w:p w14:paraId="34F08CAD" w14:textId="77777777" w:rsidR="00322AD9" w:rsidRPr="00F12090" w:rsidRDefault="00322AD9" w:rsidP="0004786C">
            <w:pPr>
              <w:rPr>
                <w:rFonts w:ascii="Arial" w:hAnsi="Arial" w:cs="Arial"/>
                <w:sz w:val="20"/>
                <w:szCs w:val="20"/>
              </w:rPr>
            </w:pPr>
            <w:r>
              <w:rPr>
                <w:rFonts w:ascii="Arial" w:hAnsi="Arial" w:cs="Arial"/>
                <w:sz w:val="20"/>
                <w:szCs w:val="20"/>
                <w:lang w:val="en-GB"/>
              </w:rPr>
              <w:t>3 years</w:t>
            </w:r>
          </w:p>
        </w:tc>
      </w:tr>
      <w:tr w:rsidR="00322AD9" w:rsidRPr="00F12090" w14:paraId="70287019" w14:textId="77777777" w:rsidTr="0004786C">
        <w:trPr>
          <w:trHeight w:val="331"/>
        </w:trPr>
        <w:tc>
          <w:tcPr>
            <w:tcW w:w="3256" w:type="dxa"/>
            <w:hideMark/>
          </w:tcPr>
          <w:p w14:paraId="7F0F8968" w14:textId="4C6C3629" w:rsidR="00322AD9" w:rsidRPr="00F12090" w:rsidRDefault="00322AD9" w:rsidP="007164CA">
            <w:pPr>
              <w:rPr>
                <w:rFonts w:ascii="Arial" w:hAnsi="Arial" w:cs="Arial"/>
                <w:sz w:val="20"/>
                <w:szCs w:val="20"/>
              </w:rPr>
            </w:pPr>
            <w:r>
              <w:rPr>
                <w:rFonts w:ascii="Arial" w:hAnsi="Arial" w:cs="Arial"/>
                <w:sz w:val="20"/>
                <w:szCs w:val="20"/>
                <w:lang w:val="en-GB"/>
              </w:rPr>
              <w:t>Reassigning occupationally impaired employee</w:t>
            </w:r>
          </w:p>
        </w:tc>
        <w:tc>
          <w:tcPr>
            <w:tcW w:w="2551" w:type="dxa"/>
            <w:hideMark/>
          </w:tcPr>
          <w:p w14:paraId="1217682D" w14:textId="77777777" w:rsidR="00322AD9" w:rsidRPr="00F12090" w:rsidRDefault="00322AD9" w:rsidP="0004786C">
            <w:pPr>
              <w:rPr>
                <w:rFonts w:ascii="Arial" w:hAnsi="Arial" w:cs="Arial"/>
                <w:sz w:val="20"/>
                <w:szCs w:val="20"/>
              </w:rPr>
            </w:pPr>
            <w:r>
              <w:rPr>
                <w:rFonts w:ascii="Arial" w:hAnsi="Arial" w:cs="Arial"/>
                <w:sz w:val="20"/>
                <w:szCs w:val="20"/>
                <w:lang w:val="en-GB"/>
              </w:rPr>
              <w:t>€3.05</w:t>
            </w:r>
          </w:p>
        </w:tc>
        <w:tc>
          <w:tcPr>
            <w:tcW w:w="2693" w:type="dxa"/>
            <w:hideMark/>
          </w:tcPr>
          <w:p w14:paraId="27043089" w14:textId="77777777" w:rsidR="00322AD9" w:rsidRPr="00F12090" w:rsidRDefault="00322AD9" w:rsidP="0004786C">
            <w:pPr>
              <w:rPr>
                <w:rFonts w:ascii="Arial" w:hAnsi="Arial" w:cs="Arial"/>
                <w:sz w:val="20"/>
                <w:szCs w:val="20"/>
              </w:rPr>
            </w:pPr>
            <w:r>
              <w:rPr>
                <w:rFonts w:ascii="Arial" w:hAnsi="Arial" w:cs="Arial"/>
                <w:sz w:val="20"/>
                <w:szCs w:val="20"/>
                <w:lang w:val="en-GB"/>
              </w:rPr>
              <w:t>€6,000</w:t>
            </w:r>
          </w:p>
        </w:tc>
        <w:tc>
          <w:tcPr>
            <w:tcW w:w="993" w:type="dxa"/>
            <w:hideMark/>
          </w:tcPr>
          <w:p w14:paraId="66C6B55C" w14:textId="77777777" w:rsidR="00322AD9" w:rsidRPr="00F12090" w:rsidRDefault="00322AD9" w:rsidP="0004786C">
            <w:pPr>
              <w:rPr>
                <w:rFonts w:ascii="Arial" w:hAnsi="Arial" w:cs="Arial"/>
                <w:sz w:val="20"/>
                <w:szCs w:val="20"/>
              </w:rPr>
            </w:pPr>
            <w:r>
              <w:rPr>
                <w:rFonts w:ascii="Arial" w:hAnsi="Arial" w:cs="Arial"/>
                <w:sz w:val="20"/>
                <w:szCs w:val="20"/>
                <w:lang w:val="en-GB"/>
              </w:rPr>
              <w:t>1 year</w:t>
            </w:r>
          </w:p>
        </w:tc>
      </w:tr>
    </w:tbl>
    <w:p w14:paraId="64031734" w14:textId="77777777" w:rsidR="00322AD9" w:rsidRPr="008D49E6" w:rsidRDefault="00322AD9" w:rsidP="007166AB">
      <w:pPr>
        <w:pStyle w:val="Kop3"/>
        <w:ind w:hanging="1260"/>
        <w:rPr>
          <w:rFonts w:eastAsia="Calibri"/>
          <w:lang w:val="en-GB"/>
        </w:rPr>
      </w:pPr>
      <w:bookmarkStart w:id="100" w:name="_Toc534204712"/>
      <w:bookmarkStart w:id="101" w:name="_Toc536010239"/>
      <w:r>
        <w:rPr>
          <w:rFonts w:eastAsia="Calibri"/>
          <w:lang w:val="en-GB"/>
        </w:rPr>
        <w:t>Maximum duration LKV Jobs and Jobs Quota (Work Disabled Persons) Act 2020</w:t>
      </w:r>
      <w:bookmarkEnd w:id="100"/>
      <w:bookmarkEnd w:id="101"/>
    </w:p>
    <w:p w14:paraId="659E08F2" w14:textId="77777777" w:rsidR="00322AD9" w:rsidRPr="008D49E6" w:rsidRDefault="00322AD9" w:rsidP="00322AD9">
      <w:pPr>
        <w:pStyle w:val="Geenafstand"/>
        <w:rPr>
          <w:rFonts w:ascii="Arial" w:hAnsi="Arial" w:cs="Arial"/>
          <w:sz w:val="20"/>
          <w:szCs w:val="20"/>
          <w:lang w:val="en-GB"/>
        </w:rPr>
      </w:pPr>
      <w:bookmarkStart w:id="102" w:name="_Hlk533076281"/>
      <w:r>
        <w:rPr>
          <w:rFonts w:ascii="Arial" w:hAnsi="Arial" w:cs="Arial"/>
          <w:sz w:val="20"/>
          <w:szCs w:val="20"/>
          <w:lang w:val="en-GB"/>
        </w:rPr>
        <w:t>As from 2020, the effective period of the payroll benefit for the Jobs and Jobs Quota (Work Disabled Persons) Act target group will be changed. From 2020 onwards, this payroll benefit can be applied permanently for an employee as long as he/she fulfils the conditions.</w:t>
      </w:r>
    </w:p>
    <w:bookmarkEnd w:id="102"/>
    <w:p w14:paraId="7ACA0AB2" w14:textId="77777777" w:rsidR="00322AD9" w:rsidRPr="008D49E6" w:rsidRDefault="00322AD9" w:rsidP="00322AD9">
      <w:pPr>
        <w:pStyle w:val="Geenafstand"/>
        <w:rPr>
          <w:rFonts w:ascii="Arial" w:hAnsi="Arial" w:cs="Arial"/>
          <w:sz w:val="20"/>
          <w:szCs w:val="20"/>
          <w:lang w:val="en-GB"/>
        </w:rPr>
      </w:pPr>
    </w:p>
    <w:p w14:paraId="34094640" w14:textId="77777777" w:rsidR="00322AD9" w:rsidRPr="008D49E6" w:rsidRDefault="00322AD9" w:rsidP="00322AD9">
      <w:pPr>
        <w:pStyle w:val="Geenafstand"/>
        <w:rPr>
          <w:rFonts w:ascii="Arial" w:hAnsi="Arial" w:cs="Arial"/>
          <w:sz w:val="20"/>
          <w:szCs w:val="20"/>
          <w:lang w:val="en-GB"/>
        </w:rPr>
      </w:pPr>
      <w:r>
        <w:rPr>
          <w:rFonts w:ascii="Arial" w:hAnsi="Arial" w:cs="Arial"/>
          <w:sz w:val="20"/>
          <w:szCs w:val="20"/>
          <w:lang w:val="en-GB"/>
        </w:rPr>
        <w:t xml:space="preserve">Nothing is currently known about this change at this time. This is why we do not yet know how this scheme works for cases that would expire after or shortly before 1 January 2019 according to the old rules. </w:t>
      </w:r>
    </w:p>
    <w:p w14:paraId="62D8DB31" w14:textId="77777777" w:rsidR="00322AD9" w:rsidRPr="008D49E6" w:rsidRDefault="00322AD9" w:rsidP="00322AD9">
      <w:pPr>
        <w:rPr>
          <w:rFonts w:ascii="Arial" w:hAnsi="Arial"/>
          <w:b/>
          <w:bCs/>
          <w:sz w:val="28"/>
          <w:lang w:val="en-GB"/>
        </w:rPr>
      </w:pPr>
    </w:p>
    <w:p w14:paraId="345DCDC1" w14:textId="77777777" w:rsidR="00322AD9" w:rsidRDefault="00322AD9" w:rsidP="007166AB">
      <w:pPr>
        <w:pStyle w:val="Kop2"/>
      </w:pPr>
      <w:bookmarkStart w:id="103" w:name="_Toc534204713"/>
      <w:bookmarkStart w:id="104" w:name="_Toc536010240"/>
      <w:r>
        <w:rPr>
          <w:bCs/>
          <w:iCs w:val="0"/>
          <w:lang w:val="en-GB"/>
        </w:rPr>
        <w:t>Wtl and trainees</w:t>
      </w:r>
      <w:bookmarkEnd w:id="103"/>
      <w:bookmarkEnd w:id="104"/>
    </w:p>
    <w:p w14:paraId="077863A0" w14:textId="77777777" w:rsidR="007166AB" w:rsidRDefault="007166AB" w:rsidP="00322AD9">
      <w:pPr>
        <w:rPr>
          <w:rFonts w:ascii="Arial" w:hAnsi="Arial" w:cs="Arial"/>
          <w:sz w:val="20"/>
          <w:szCs w:val="20"/>
        </w:rPr>
      </w:pPr>
    </w:p>
    <w:p w14:paraId="0DAB2E9F" w14:textId="77777777" w:rsidR="00322AD9" w:rsidRPr="008D49E6" w:rsidRDefault="00322AD9" w:rsidP="00322AD9">
      <w:pPr>
        <w:rPr>
          <w:rFonts w:ascii="Arial" w:hAnsi="Arial" w:cs="Arial"/>
          <w:sz w:val="20"/>
          <w:szCs w:val="20"/>
          <w:lang w:val="en-GB"/>
        </w:rPr>
      </w:pPr>
      <w:r>
        <w:rPr>
          <w:rFonts w:ascii="Arial" w:hAnsi="Arial" w:cs="Arial"/>
          <w:sz w:val="20"/>
          <w:szCs w:val="20"/>
          <w:lang w:val="en-GB"/>
        </w:rPr>
        <w:t xml:space="preserve">The payroll benefit and the low-income benefit and youth low-income benefit can in principle also be applied to trainees. </w:t>
      </w:r>
    </w:p>
    <w:p w14:paraId="7B284481" w14:textId="77777777" w:rsidR="00322AD9" w:rsidRPr="008D49E6" w:rsidRDefault="00322AD9" w:rsidP="00322AD9">
      <w:pPr>
        <w:rPr>
          <w:rFonts w:ascii="Arial" w:hAnsi="Arial" w:cs="Arial"/>
          <w:sz w:val="20"/>
          <w:szCs w:val="20"/>
          <w:lang w:val="en-GB"/>
        </w:rPr>
      </w:pPr>
    </w:p>
    <w:p w14:paraId="52D8F249" w14:textId="77777777" w:rsidR="00322AD9" w:rsidRPr="008D49E6" w:rsidRDefault="00322AD9" w:rsidP="00322AD9">
      <w:pPr>
        <w:rPr>
          <w:lang w:val="en-GB"/>
        </w:rPr>
      </w:pPr>
      <w:r>
        <w:rPr>
          <w:rFonts w:ascii="Arial" w:hAnsi="Arial"/>
          <w:sz w:val="20"/>
          <w:szCs w:val="20"/>
          <w:lang w:val="en-GB"/>
        </w:rPr>
        <w:t>Trainees are eligible for the youth LIV or LIV if they are in a fictive or actual employment relation and fulfil the conditions of LIV. This also applies if they are only insured for ZW (Sickness Benefits Act). However, chances are that they do not fulfil the conditions that apply relating to average hourly wage</w:t>
      </w:r>
      <w:r>
        <w:rPr>
          <w:lang w:val="en-GB"/>
        </w:rPr>
        <w:t>.</w:t>
      </w:r>
    </w:p>
    <w:p w14:paraId="67D3CA3C" w14:textId="77777777" w:rsidR="00322AD9" w:rsidRPr="008D49E6" w:rsidRDefault="00322AD9" w:rsidP="00322AD9">
      <w:pPr>
        <w:rPr>
          <w:lang w:val="en-GB"/>
        </w:rPr>
      </w:pPr>
    </w:p>
    <w:p w14:paraId="43025955" w14:textId="77777777" w:rsidR="00322AD9" w:rsidRPr="008D49E6" w:rsidRDefault="00322AD9" w:rsidP="00322AD9">
      <w:pPr>
        <w:rPr>
          <w:rFonts w:ascii="Arial" w:hAnsi="Arial" w:cs="Arial"/>
          <w:sz w:val="20"/>
          <w:szCs w:val="20"/>
          <w:lang w:val="en-GB"/>
        </w:rPr>
      </w:pPr>
      <w:r>
        <w:rPr>
          <w:rFonts w:ascii="Arial" w:hAnsi="Arial" w:cs="Arial"/>
          <w:sz w:val="20"/>
          <w:szCs w:val="20"/>
          <w:lang w:val="en-GB"/>
        </w:rPr>
        <w:t>Trainees are also eligible for the payroll benefit. This is the case if they receive a trainee allowance from the employer that is subject to withholding payroll tax and if they are insured for the Sickness Benefits Act. This means they are defined as employees. It is also possible to request a target group declaration.</w:t>
      </w:r>
    </w:p>
    <w:p w14:paraId="39AADB45" w14:textId="77777777" w:rsidR="007166AB" w:rsidRPr="008D49E6" w:rsidRDefault="007166AB" w:rsidP="007166AB">
      <w:pPr>
        <w:pStyle w:val="Default"/>
        <w:rPr>
          <w:sz w:val="20"/>
          <w:szCs w:val="20"/>
          <w:lang w:val="en-GB"/>
        </w:rPr>
      </w:pPr>
    </w:p>
    <w:p w14:paraId="7AB1398D" w14:textId="3257A522" w:rsidR="00322AD9" w:rsidRPr="008D49E6" w:rsidRDefault="007166AB" w:rsidP="007166AB">
      <w:pPr>
        <w:shd w:val="clear" w:color="auto" w:fill="D9D9D9"/>
        <w:rPr>
          <w:rFonts w:ascii="Arial" w:hAnsi="Arial" w:cs="Arial"/>
          <w:sz w:val="20"/>
          <w:szCs w:val="20"/>
          <w:lang w:val="en-GB"/>
        </w:rPr>
      </w:pPr>
      <w:r>
        <w:rPr>
          <w:rFonts w:ascii="Arial" w:hAnsi="Arial" w:cs="Arial"/>
          <w:b/>
          <w:bCs/>
          <w:sz w:val="20"/>
          <w:szCs w:val="20"/>
          <w:lang w:val="en-GB"/>
        </w:rPr>
        <w:t>Please note!</w:t>
      </w:r>
      <w:r>
        <w:rPr>
          <w:rFonts w:ascii="Arial" w:hAnsi="Arial" w:cs="Arial"/>
          <w:sz w:val="20"/>
          <w:szCs w:val="20"/>
          <w:lang w:val="en-GB"/>
        </w:rPr>
        <w:br/>
        <w:t>Trainees must comply with the requirement of applying for a target group declaration within three months. This period starts on the first day of the traineeship. If trainees are offered a full employment contract after a traineeship, for example after six months, they are not entitled to request a target group declaration. The three-month term has then expired. This employee is also not entitled to a payroll benefit.</w:t>
      </w:r>
    </w:p>
    <w:p w14:paraId="74DA8CBA" w14:textId="77777777" w:rsidR="007166AB" w:rsidRPr="008D49E6" w:rsidRDefault="007166AB" w:rsidP="007166AB">
      <w:pPr>
        <w:rPr>
          <w:lang w:val="en-GB"/>
        </w:rPr>
      </w:pPr>
      <w:bookmarkStart w:id="105" w:name="_Toc534204714"/>
    </w:p>
    <w:p w14:paraId="7BF9CEEE" w14:textId="3572169E" w:rsidR="00322AD9" w:rsidRPr="008D49E6" w:rsidRDefault="00322AD9" w:rsidP="007166AB">
      <w:pPr>
        <w:pStyle w:val="Kop1"/>
        <w:rPr>
          <w:lang w:val="en-GB"/>
        </w:rPr>
      </w:pPr>
      <w:bookmarkStart w:id="106" w:name="_Toc536010241"/>
      <w:r>
        <w:rPr>
          <w:lang w:val="en-GB"/>
        </w:rPr>
        <w:t>DBA (Deregulation of Assessment of Independent Contractor Status) Act</w:t>
      </w:r>
      <w:bookmarkEnd w:id="105"/>
      <w:bookmarkEnd w:id="106"/>
    </w:p>
    <w:p w14:paraId="39847247" w14:textId="77777777" w:rsidR="00322AD9" w:rsidRPr="008D49E6" w:rsidRDefault="00322AD9" w:rsidP="00322AD9">
      <w:pPr>
        <w:rPr>
          <w:rFonts w:ascii="Arial" w:hAnsi="Arial" w:cs="Arial"/>
          <w:sz w:val="20"/>
          <w:lang w:val="en-GB"/>
        </w:rPr>
      </w:pPr>
    </w:p>
    <w:p w14:paraId="2920E456" w14:textId="77777777" w:rsidR="00322AD9" w:rsidRPr="008D49E6" w:rsidRDefault="00322AD9" w:rsidP="00322AD9">
      <w:pPr>
        <w:rPr>
          <w:rFonts w:ascii="Arial" w:hAnsi="Arial" w:cs="Arial"/>
          <w:sz w:val="20"/>
          <w:szCs w:val="20"/>
          <w:lang w:val="en-GB"/>
        </w:rPr>
      </w:pPr>
      <w:r>
        <w:rPr>
          <w:rFonts w:ascii="Arial" w:hAnsi="Arial" w:cs="Arial"/>
          <w:sz w:val="20"/>
          <w:szCs w:val="20"/>
          <w:lang w:val="en-GB"/>
        </w:rPr>
        <w:t xml:space="preserve">The Cabinet aims to replace the DBA (Deregulation of Assessment of Independent Contractor Status) Act. This was announced in the Cabinet’s Coalition Agreement of October 2017. This Act results in too much unrest and uncertainty among ZZP contractors and their clients. </w:t>
      </w:r>
    </w:p>
    <w:p w14:paraId="6DE48936" w14:textId="77777777" w:rsidR="00322AD9" w:rsidRPr="008D49E6" w:rsidRDefault="00322AD9" w:rsidP="00322AD9">
      <w:pPr>
        <w:rPr>
          <w:rFonts w:ascii="Arial" w:hAnsi="Arial" w:cs="Arial"/>
          <w:sz w:val="20"/>
          <w:szCs w:val="20"/>
          <w:lang w:val="en-GB"/>
        </w:rPr>
      </w:pPr>
    </w:p>
    <w:p w14:paraId="7370D1E1" w14:textId="77777777" w:rsidR="00322AD9" w:rsidRDefault="00322AD9" w:rsidP="007166AB">
      <w:pPr>
        <w:pStyle w:val="Kop2"/>
        <w:rPr>
          <w:rFonts w:eastAsia="Calibri"/>
        </w:rPr>
      </w:pPr>
      <w:bookmarkStart w:id="107" w:name="_Toc534204715"/>
      <w:bookmarkStart w:id="108" w:name="_Toc536010242"/>
      <w:r>
        <w:rPr>
          <w:rFonts w:eastAsia="Calibri"/>
          <w:bCs/>
          <w:iCs w:val="0"/>
          <w:lang w:val="en-GB"/>
        </w:rPr>
        <w:t>Postponement replacement of DBA Act</w:t>
      </w:r>
      <w:bookmarkEnd w:id="107"/>
      <w:bookmarkEnd w:id="108"/>
    </w:p>
    <w:p w14:paraId="4A3088EB" w14:textId="77777777" w:rsidR="00322AD9" w:rsidRPr="007166AB" w:rsidRDefault="00322AD9" w:rsidP="00322AD9">
      <w:pPr>
        <w:rPr>
          <w:rFonts w:ascii="Arial" w:eastAsia="Calibri" w:hAnsi="Arial" w:cs="Arial"/>
          <w:sz w:val="20"/>
        </w:rPr>
      </w:pPr>
    </w:p>
    <w:p w14:paraId="29BF27DC" w14:textId="6E66A3D9" w:rsidR="00322AD9" w:rsidRPr="007164CA" w:rsidRDefault="00322AD9" w:rsidP="00322AD9">
      <w:pPr>
        <w:rPr>
          <w:rFonts w:ascii="Arial" w:hAnsi="Arial" w:cs="Arial"/>
          <w:sz w:val="20"/>
          <w:szCs w:val="20"/>
          <w:lang w:val="en-GB"/>
        </w:rPr>
      </w:pPr>
      <w:r>
        <w:rPr>
          <w:rFonts w:ascii="Arial" w:hAnsi="Arial" w:cs="Arial"/>
          <w:sz w:val="20"/>
          <w:szCs w:val="20"/>
          <w:lang w:val="en-GB"/>
        </w:rPr>
        <w:t>The successor legislation to the DBA Act should provide more clarity to both clients and contractors regarding the definition of employment relation, i.e. when payroll tax and social insurance premiums should be withheld. Replacing this Act is not without its challenges. As a result, the new Act is not expected to become effective until 2021 at the earliest, according to officials Koolmees and Snel. A few changes are already known about the new Act.</w:t>
      </w:r>
    </w:p>
    <w:p w14:paraId="5645E905" w14:textId="77777777" w:rsidR="00D57A7F" w:rsidRDefault="00D57A7F" w:rsidP="00322AD9">
      <w:pPr>
        <w:rPr>
          <w:rFonts w:ascii="Arial" w:eastAsia="Calibri" w:hAnsi="Arial" w:cs="Arial"/>
          <w:b/>
          <w:bCs/>
          <w:sz w:val="20"/>
          <w:szCs w:val="20"/>
          <w:lang w:val="en-GB"/>
        </w:rPr>
      </w:pPr>
    </w:p>
    <w:p w14:paraId="2568FA5D"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Client Confirmation via online module</w:t>
      </w:r>
    </w:p>
    <w:p w14:paraId="30E14866" w14:textId="53094BC4" w:rsidR="007166AB" w:rsidRDefault="00322AD9" w:rsidP="00322AD9">
      <w:pPr>
        <w:rPr>
          <w:rFonts w:ascii="Arial" w:eastAsia="Calibri" w:hAnsi="Arial" w:cs="Arial"/>
          <w:sz w:val="20"/>
          <w:szCs w:val="20"/>
          <w:lang w:val="en-GB"/>
        </w:rPr>
      </w:pPr>
      <w:r>
        <w:rPr>
          <w:rFonts w:ascii="Arial" w:eastAsia="Calibri" w:hAnsi="Arial" w:cs="Arial"/>
          <w:sz w:val="20"/>
          <w:szCs w:val="20"/>
          <w:lang w:val="en-GB"/>
        </w:rPr>
        <w:t>The new Act allows determining that the relation is not defined as employment based on an online module. This module issues a ‘Client Confirmation’, providing certainty about not withholding payroll tax and social insurance premiums. If the online module cannot conclude that the relation is not classed as employment, no Client Confirmation is issued. In that case, clients could still have a preliminary consultation with the Tax and Customs Administration. The online module is scheduled for completion in late 2019.</w:t>
      </w:r>
    </w:p>
    <w:p w14:paraId="72A8BDAE" w14:textId="77777777" w:rsidR="007164CA" w:rsidRPr="00D57A7F" w:rsidRDefault="007164CA" w:rsidP="00322AD9">
      <w:pPr>
        <w:rPr>
          <w:rFonts w:ascii="Arial" w:eastAsia="Calibri" w:hAnsi="Arial" w:cs="Arial"/>
          <w:sz w:val="20"/>
          <w:szCs w:val="20"/>
          <w:lang w:val="en-GB"/>
        </w:rPr>
      </w:pPr>
    </w:p>
    <w:p w14:paraId="4DA32D26" w14:textId="77777777" w:rsidR="007166AB" w:rsidRPr="008D49E6" w:rsidRDefault="007166AB" w:rsidP="00322AD9">
      <w:pPr>
        <w:rPr>
          <w:rFonts w:ascii="Arial" w:eastAsia="Calibri" w:hAnsi="Arial" w:cs="Arial"/>
          <w:b/>
          <w:sz w:val="20"/>
          <w:szCs w:val="20"/>
          <w:lang w:val="en-GB"/>
        </w:rPr>
      </w:pPr>
    </w:p>
    <w:p w14:paraId="25E17CEC"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Hierarchy criterion</w:t>
      </w:r>
    </w:p>
    <w:p w14:paraId="56823317"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A key condition for employment is having a hierarchical relation. However, this criterion is far from clear. An extensive Note will be included in the 2019 Payroll Tax Manual, setting out indications and counter-indications for hierarchical relations. The assessment of a hierarchical relation should consider all facts and circumstances in cohesion. The need for updating the definition of hierarchical relation is currently under review.</w:t>
      </w:r>
    </w:p>
    <w:p w14:paraId="6E98B526" w14:textId="77777777" w:rsidR="007166AB" w:rsidRPr="008D49E6" w:rsidRDefault="007166AB" w:rsidP="007166AB">
      <w:pPr>
        <w:pStyle w:val="Default"/>
        <w:rPr>
          <w:sz w:val="20"/>
          <w:szCs w:val="20"/>
          <w:lang w:val="en-GB"/>
        </w:rPr>
      </w:pPr>
    </w:p>
    <w:p w14:paraId="736A6B49" w14:textId="13410167" w:rsidR="007166AB" w:rsidRPr="008D49E6" w:rsidRDefault="007166AB" w:rsidP="007166AB">
      <w:pPr>
        <w:shd w:val="clear" w:color="auto" w:fill="D9D9D9"/>
        <w:rPr>
          <w:rFonts w:ascii="Arial" w:hAnsi="Arial" w:cs="Arial"/>
          <w:sz w:val="20"/>
          <w:szCs w:val="20"/>
          <w:lang w:val="en-GB"/>
        </w:rPr>
      </w:pPr>
      <w:r>
        <w:rPr>
          <w:rFonts w:ascii="Arial" w:hAnsi="Arial" w:cs="Arial"/>
          <w:b/>
          <w:bCs/>
          <w:sz w:val="20"/>
          <w:szCs w:val="20"/>
          <w:lang w:val="en-GB"/>
        </w:rPr>
        <w:t>Tip!</w:t>
      </w:r>
      <w:r>
        <w:rPr>
          <w:rFonts w:ascii="Arial" w:hAnsi="Arial" w:cs="Arial"/>
          <w:sz w:val="20"/>
          <w:szCs w:val="20"/>
          <w:lang w:val="en-GB"/>
        </w:rPr>
        <w:br/>
        <w:t xml:space="preserve">Please refer to the website of the </w:t>
      </w:r>
      <w:hyperlink r:id="rId13" w:history="1">
        <w:r>
          <w:rPr>
            <w:rStyle w:val="Hyperlink"/>
            <w:rFonts w:ascii="Arial" w:hAnsi="Arial" w:cs="Arial"/>
            <w:sz w:val="20"/>
            <w:szCs w:val="20"/>
            <w:lang w:val="en-GB"/>
          </w:rPr>
          <w:t>National Government</w:t>
        </w:r>
      </w:hyperlink>
      <w:r>
        <w:rPr>
          <w:rFonts w:ascii="Arial" w:hAnsi="Arial" w:cs="Arial"/>
          <w:sz w:val="20"/>
          <w:szCs w:val="20"/>
          <w:lang w:val="en-GB"/>
        </w:rPr>
        <w:t xml:space="preserve"> for more information about indications and counter-indications.</w:t>
      </w:r>
    </w:p>
    <w:p w14:paraId="54A2D2B8" w14:textId="77777777" w:rsidR="007166AB" w:rsidRPr="008D49E6" w:rsidRDefault="007166AB" w:rsidP="007166AB">
      <w:pPr>
        <w:rPr>
          <w:rFonts w:ascii="Arial" w:hAnsi="Arial" w:cs="Arial"/>
          <w:sz w:val="20"/>
          <w:szCs w:val="20"/>
          <w:lang w:val="en-GB"/>
        </w:rPr>
      </w:pPr>
    </w:p>
    <w:p w14:paraId="7B848987"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Employment contract at low rate</w:t>
      </w:r>
    </w:p>
    <w:p w14:paraId="269CF8AE"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In order to prevent pseudo independence and competition on employee benefits, the Cabinet is also developing legislation setting out that self-employed professionals should be paid an hourly rate of at least €15 and €18. However, chances are that this is not in compliance with European legislation. This is why the Cabinet is reviewing alternatives that comply with the European rules. The legislation for lower-paid self-employed professionals will probably become effective as per 2021.</w:t>
      </w:r>
    </w:p>
    <w:p w14:paraId="6EFCEFC5" w14:textId="77777777" w:rsidR="00322AD9" w:rsidRPr="008D49E6" w:rsidRDefault="00322AD9" w:rsidP="00322AD9">
      <w:pPr>
        <w:rPr>
          <w:rFonts w:ascii="Arial" w:eastAsia="Calibri" w:hAnsi="Arial" w:cs="Arial"/>
          <w:sz w:val="20"/>
          <w:szCs w:val="20"/>
          <w:lang w:val="en-GB"/>
        </w:rPr>
      </w:pPr>
    </w:p>
    <w:p w14:paraId="78873A1F"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Opt-out</w:t>
      </w:r>
    </w:p>
    <w:p w14:paraId="76CDA448"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In consultation with their clients, higher-paid self-employed professionals can choose to make use of the opt-out scheme in the new legislation, where no employment contract is agreed in writing. If the relation is subsequently classed as an employment contract, the professional is not entitled to any benefits. This legislation is also scheduled to become effective as per 2021.</w:t>
      </w:r>
    </w:p>
    <w:p w14:paraId="4A244316" w14:textId="77777777" w:rsidR="00322AD9" w:rsidRPr="008D49E6" w:rsidRDefault="00322AD9" w:rsidP="00322AD9">
      <w:pPr>
        <w:rPr>
          <w:rFonts w:ascii="Arial" w:eastAsia="Calibri" w:hAnsi="Arial" w:cs="Arial"/>
          <w:sz w:val="20"/>
          <w:szCs w:val="20"/>
          <w:lang w:val="en-GB"/>
        </w:rPr>
      </w:pPr>
    </w:p>
    <w:p w14:paraId="6C2E703E"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Implementation</w:t>
      </w:r>
    </w:p>
    <w:p w14:paraId="4C94DEC7" w14:textId="77777777" w:rsidR="00322AD9" w:rsidRPr="008D49E6" w:rsidRDefault="00322AD9" w:rsidP="00322AD9">
      <w:pPr>
        <w:rPr>
          <w:rFonts w:eastAsia="Calibri"/>
          <w:lang w:val="en-GB"/>
        </w:rPr>
      </w:pPr>
      <w:r>
        <w:rPr>
          <w:rFonts w:ascii="Arial" w:eastAsia="Calibri" w:hAnsi="Arial" w:cs="Arial"/>
          <w:sz w:val="20"/>
          <w:szCs w:val="20"/>
          <w:lang w:val="en-GB"/>
        </w:rPr>
        <w:t>Implementation of the Deregulation of Assessment of Independent Contractor Status Act has been suspended until at least 1 January 2020, with the exception of malintent scenarios. This concerns situations where parties clearly have an employment relation. The end date of suspension of implementation will not be announced until it is clear that all intended measures are effective.</w:t>
      </w:r>
    </w:p>
    <w:p w14:paraId="063353A2" w14:textId="77777777" w:rsidR="00322AD9" w:rsidRPr="008D49E6" w:rsidRDefault="00322AD9" w:rsidP="00322AD9">
      <w:pPr>
        <w:rPr>
          <w:rFonts w:ascii="Arial" w:eastAsia="Calibri" w:hAnsi="Arial" w:cs="Arial"/>
          <w:sz w:val="20"/>
          <w:szCs w:val="20"/>
          <w:lang w:val="en-GB"/>
        </w:rPr>
      </w:pPr>
    </w:p>
    <w:p w14:paraId="7A1C316F" w14:textId="6A3313DE" w:rsidR="00322AD9" w:rsidRPr="008D49E6" w:rsidRDefault="00322AD9" w:rsidP="007166AB">
      <w:pPr>
        <w:pStyle w:val="Kop1"/>
        <w:rPr>
          <w:rFonts w:eastAsia="Calibri"/>
          <w:lang w:val="en-GB"/>
        </w:rPr>
      </w:pPr>
      <w:bookmarkStart w:id="109" w:name="_Toc534204716"/>
      <w:bookmarkStart w:id="110" w:name="_Toc536010243"/>
      <w:r>
        <w:rPr>
          <w:rFonts w:eastAsia="Calibri"/>
          <w:lang w:val="en-GB"/>
        </w:rPr>
        <w:t>DGA (Director and Major Shareholder): customary wage and self-administered pension</w:t>
      </w:r>
      <w:bookmarkEnd w:id="109"/>
      <w:bookmarkEnd w:id="110"/>
      <w:r>
        <w:rPr>
          <w:rFonts w:eastAsia="Calibri"/>
          <w:lang w:val="en-GB"/>
        </w:rPr>
        <w:t xml:space="preserve"> </w:t>
      </w:r>
    </w:p>
    <w:p w14:paraId="26A16962" w14:textId="77777777" w:rsidR="00322AD9" w:rsidRPr="008D49E6" w:rsidRDefault="00322AD9" w:rsidP="00322AD9">
      <w:pPr>
        <w:rPr>
          <w:rFonts w:ascii="Arial" w:eastAsia="Calibri" w:hAnsi="Arial" w:cs="Arial"/>
          <w:sz w:val="20"/>
          <w:szCs w:val="20"/>
          <w:lang w:val="en-GB"/>
        </w:rPr>
      </w:pPr>
    </w:p>
    <w:p w14:paraId="1954AA66" w14:textId="77777777" w:rsidR="00322AD9" w:rsidRPr="00E74E05" w:rsidRDefault="00322AD9" w:rsidP="007166AB">
      <w:pPr>
        <w:pStyle w:val="Kop2"/>
      </w:pPr>
      <w:bookmarkStart w:id="111" w:name="_Toc534204717"/>
      <w:bookmarkStart w:id="112" w:name="_Toc503266112"/>
      <w:bookmarkStart w:id="113" w:name="_Toc536010244"/>
      <w:r>
        <w:rPr>
          <w:bCs/>
          <w:iCs w:val="0"/>
          <w:lang w:val="en-GB"/>
        </w:rPr>
        <w:t xml:space="preserve">Customary wage of </w:t>
      </w:r>
      <w:bookmarkEnd w:id="111"/>
      <w:bookmarkEnd w:id="112"/>
      <w:r>
        <w:rPr>
          <w:bCs/>
          <w:iCs w:val="0"/>
          <w:lang w:val="en-GB"/>
        </w:rPr>
        <w:t>DGA</w:t>
      </w:r>
      <w:bookmarkEnd w:id="113"/>
    </w:p>
    <w:p w14:paraId="6019BDB4" w14:textId="77777777" w:rsidR="00322AD9" w:rsidRDefault="00322AD9" w:rsidP="00322AD9">
      <w:pPr>
        <w:pStyle w:val="Geenafstand"/>
        <w:rPr>
          <w:rFonts w:ascii="Arial" w:hAnsi="Arial" w:cs="Arial"/>
          <w:sz w:val="20"/>
          <w:szCs w:val="20"/>
        </w:rPr>
      </w:pPr>
    </w:p>
    <w:p w14:paraId="568F9A80" w14:textId="77777777" w:rsidR="00322AD9" w:rsidRPr="008D49E6" w:rsidRDefault="00322AD9" w:rsidP="00322AD9">
      <w:pPr>
        <w:pStyle w:val="Geenafstand"/>
        <w:rPr>
          <w:rFonts w:ascii="Arial" w:hAnsi="Arial" w:cs="Arial"/>
          <w:sz w:val="20"/>
          <w:szCs w:val="20"/>
          <w:lang w:val="en-GB"/>
        </w:rPr>
      </w:pPr>
      <w:r>
        <w:rPr>
          <w:rFonts w:ascii="Arial" w:hAnsi="Arial" w:cs="Arial"/>
          <w:sz w:val="20"/>
          <w:szCs w:val="20"/>
          <w:lang w:val="en-GB"/>
        </w:rPr>
        <w:t>The fixed amount in the customary wage scheme for the DGA and his/her partner amounts to €45,000 for 2019 (same as in 2018). Subject to certain conditions, DGAs can set the customary wage below €45,000 in 2019. The reason is that there is a rebuttal scheme concerning the main rule that the wage of a DGA amounts to the highest of the following amounts:</w:t>
      </w:r>
    </w:p>
    <w:p w14:paraId="448E0DCE" w14:textId="77777777" w:rsidR="007166AB" w:rsidRPr="008D49E6" w:rsidRDefault="007166AB" w:rsidP="00322AD9">
      <w:pPr>
        <w:pStyle w:val="Geenafstand"/>
        <w:rPr>
          <w:rFonts w:ascii="Arial" w:hAnsi="Arial" w:cs="Arial"/>
          <w:sz w:val="20"/>
          <w:szCs w:val="20"/>
          <w:lang w:val="en-GB"/>
        </w:rPr>
      </w:pPr>
    </w:p>
    <w:p w14:paraId="5E2700DB" w14:textId="77777777" w:rsidR="00322AD9" w:rsidRPr="008D49E6" w:rsidRDefault="00322AD9" w:rsidP="00C80C29">
      <w:pPr>
        <w:pStyle w:val="Geenafstand"/>
        <w:numPr>
          <w:ilvl w:val="0"/>
          <w:numId w:val="8"/>
        </w:numPr>
        <w:ind w:left="426"/>
        <w:rPr>
          <w:rFonts w:ascii="Arial" w:hAnsi="Arial" w:cs="Arial"/>
          <w:sz w:val="20"/>
          <w:szCs w:val="20"/>
          <w:lang w:val="en-GB"/>
        </w:rPr>
      </w:pPr>
      <w:r>
        <w:rPr>
          <w:rFonts w:ascii="Arial" w:hAnsi="Arial" w:cs="Arial"/>
          <w:sz w:val="20"/>
          <w:szCs w:val="20"/>
          <w:lang w:val="en-GB"/>
        </w:rPr>
        <w:t xml:space="preserve">75% of the wage from the most comparable position; </w:t>
      </w:r>
    </w:p>
    <w:p w14:paraId="1958C207" w14:textId="77777777" w:rsidR="00322AD9" w:rsidRPr="008D49E6" w:rsidRDefault="00322AD9" w:rsidP="00C80C29">
      <w:pPr>
        <w:pStyle w:val="Geenafstand"/>
        <w:numPr>
          <w:ilvl w:val="0"/>
          <w:numId w:val="8"/>
        </w:numPr>
        <w:ind w:left="426"/>
        <w:rPr>
          <w:rFonts w:ascii="Arial" w:hAnsi="Arial" w:cs="Arial"/>
          <w:sz w:val="20"/>
          <w:szCs w:val="20"/>
          <w:lang w:val="en-GB"/>
        </w:rPr>
      </w:pPr>
      <w:r>
        <w:rPr>
          <w:rFonts w:ascii="Arial" w:hAnsi="Arial" w:cs="Arial"/>
          <w:sz w:val="20"/>
          <w:szCs w:val="20"/>
          <w:lang w:val="en-GB"/>
        </w:rPr>
        <w:t xml:space="preserve">the highest wage of the other employees of the private limited company or the affiliated companies (bodies); </w:t>
      </w:r>
    </w:p>
    <w:p w14:paraId="7D1852AB" w14:textId="77777777" w:rsidR="00322AD9" w:rsidRDefault="00322AD9" w:rsidP="00C80C29">
      <w:pPr>
        <w:pStyle w:val="Geenafstand"/>
        <w:numPr>
          <w:ilvl w:val="0"/>
          <w:numId w:val="8"/>
        </w:numPr>
        <w:ind w:left="426"/>
        <w:rPr>
          <w:rFonts w:ascii="Arial" w:hAnsi="Arial" w:cs="Arial"/>
          <w:sz w:val="20"/>
          <w:szCs w:val="20"/>
        </w:rPr>
      </w:pPr>
      <w:r>
        <w:rPr>
          <w:rFonts w:ascii="Arial" w:hAnsi="Arial" w:cs="Arial"/>
          <w:sz w:val="20"/>
          <w:szCs w:val="20"/>
          <w:lang w:val="en-GB"/>
        </w:rPr>
        <w:t xml:space="preserve">€45,000. </w:t>
      </w:r>
    </w:p>
    <w:p w14:paraId="292858F1" w14:textId="77777777" w:rsidR="00322AD9" w:rsidRDefault="00322AD9" w:rsidP="007166AB">
      <w:pPr>
        <w:pStyle w:val="Geenafstand"/>
        <w:ind w:left="66"/>
        <w:rPr>
          <w:rFonts w:ascii="Arial" w:hAnsi="Arial" w:cs="Arial"/>
          <w:sz w:val="20"/>
          <w:szCs w:val="20"/>
        </w:rPr>
      </w:pPr>
    </w:p>
    <w:p w14:paraId="0BE8E1E8" w14:textId="18B46FBB" w:rsidR="00322AD9" w:rsidRPr="008D49E6" w:rsidRDefault="00322AD9" w:rsidP="00322AD9">
      <w:pPr>
        <w:shd w:val="clear" w:color="auto" w:fill="D9D9D9"/>
        <w:rPr>
          <w:rFonts w:ascii="Arial" w:hAnsi="Arial" w:cs="Arial"/>
          <w:b/>
          <w:sz w:val="20"/>
          <w:szCs w:val="20"/>
          <w:lang w:val="en-GB"/>
        </w:rPr>
      </w:pPr>
      <w:r>
        <w:rPr>
          <w:rFonts w:ascii="Arial" w:hAnsi="Arial" w:cs="Arial"/>
          <w:b/>
          <w:bCs/>
          <w:sz w:val="20"/>
          <w:szCs w:val="20"/>
          <w:lang w:val="en-GB"/>
        </w:rPr>
        <w:t xml:space="preserve">Please note! </w:t>
      </w:r>
      <w:r>
        <w:rPr>
          <w:rFonts w:ascii="Arial" w:hAnsi="Arial" w:cs="Arial"/>
          <w:sz w:val="20"/>
          <w:szCs w:val="20"/>
          <w:lang w:val="en-GB"/>
        </w:rPr>
        <w:br/>
        <w:t>In order to be able to set the wage below €45,000, you have to demonstrate that the wage from the most comparable employment is less than €45,000. The customary wage amounts at least to €45,000 if you are unable to do so.</w:t>
      </w:r>
    </w:p>
    <w:p w14:paraId="002F3848" w14:textId="77777777" w:rsidR="00322AD9" w:rsidRPr="008D49E6" w:rsidRDefault="00322AD9" w:rsidP="00322AD9">
      <w:pPr>
        <w:rPr>
          <w:rFonts w:ascii="Arial" w:eastAsia="Calibri" w:hAnsi="Arial" w:cs="Arial"/>
          <w:sz w:val="20"/>
          <w:szCs w:val="20"/>
          <w:lang w:val="en-GB"/>
        </w:rPr>
      </w:pPr>
    </w:p>
    <w:p w14:paraId="2E8EE212"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Customary wage scheme for innovative start-ups</w:t>
      </w:r>
    </w:p>
    <w:p w14:paraId="3A83A40F"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 xml:space="preserve">Is your BV classed as a start-up for the application of the R&amp;D wage withholding tax facilities? In that event, you may set your customary wage as equivalent to the statutory minimum wage. You may apply this start-up scheme for a maximum of three years. Subsequently, the main rule applies. </w:t>
      </w:r>
    </w:p>
    <w:p w14:paraId="67399B4E" w14:textId="77777777" w:rsidR="00322AD9" w:rsidRPr="008D49E6" w:rsidRDefault="00322AD9" w:rsidP="00322AD9">
      <w:pPr>
        <w:rPr>
          <w:rFonts w:ascii="Arial" w:eastAsia="Calibri" w:hAnsi="Arial" w:cs="Arial"/>
          <w:sz w:val="20"/>
          <w:szCs w:val="20"/>
          <w:lang w:val="en-GB"/>
        </w:rPr>
      </w:pPr>
    </w:p>
    <w:p w14:paraId="2807E098"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The Payroll Tax Manual sets out the criteria to be classed as a start-up as follows:</w:t>
      </w:r>
    </w:p>
    <w:p w14:paraId="5D2F0EE1" w14:textId="77777777" w:rsidR="007166AB" w:rsidRPr="008D49E6" w:rsidRDefault="007166AB" w:rsidP="00322AD9">
      <w:pPr>
        <w:rPr>
          <w:rFonts w:ascii="Arial" w:eastAsia="Calibri" w:hAnsi="Arial" w:cs="Arial"/>
          <w:sz w:val="20"/>
          <w:szCs w:val="20"/>
          <w:lang w:val="en-GB"/>
        </w:rPr>
      </w:pPr>
    </w:p>
    <w:p w14:paraId="513FF837" w14:textId="77777777" w:rsidR="00322AD9" w:rsidRPr="008D49E6" w:rsidRDefault="00322AD9" w:rsidP="00C80C29">
      <w:pPr>
        <w:pStyle w:val="Lijstalinea"/>
        <w:numPr>
          <w:ilvl w:val="0"/>
          <w:numId w:val="20"/>
        </w:numPr>
        <w:rPr>
          <w:rFonts w:ascii="Arial" w:hAnsi="Arial" w:cs="Arial"/>
          <w:sz w:val="20"/>
          <w:szCs w:val="20"/>
          <w:lang w:val="en-GB"/>
        </w:rPr>
      </w:pPr>
      <w:r>
        <w:rPr>
          <w:rFonts w:ascii="Arial" w:hAnsi="Arial" w:cs="Arial"/>
          <w:sz w:val="20"/>
          <w:szCs w:val="20"/>
          <w:lang w:val="en-GB"/>
        </w:rPr>
        <w:t>You have an R&amp;D declaration in a calendar year.</w:t>
      </w:r>
    </w:p>
    <w:p w14:paraId="1E223D62" w14:textId="77777777" w:rsidR="00322AD9" w:rsidRPr="008D49E6" w:rsidRDefault="00322AD9" w:rsidP="00C80C29">
      <w:pPr>
        <w:pStyle w:val="Lijstalinea"/>
        <w:numPr>
          <w:ilvl w:val="0"/>
          <w:numId w:val="20"/>
        </w:numPr>
        <w:rPr>
          <w:rFonts w:ascii="Arial" w:hAnsi="Arial" w:cs="Arial"/>
          <w:sz w:val="20"/>
          <w:szCs w:val="20"/>
          <w:lang w:val="en-GB"/>
        </w:rPr>
      </w:pPr>
      <w:r>
        <w:rPr>
          <w:rFonts w:ascii="Arial" w:hAnsi="Arial" w:cs="Arial"/>
          <w:sz w:val="20"/>
          <w:szCs w:val="20"/>
          <w:lang w:val="en-GB"/>
        </w:rPr>
        <w:t>You are entitled to the increased start-up percentage in a calendar year.</w:t>
      </w:r>
    </w:p>
    <w:p w14:paraId="2299A58E" w14:textId="77777777" w:rsidR="00322AD9" w:rsidRPr="008D49E6" w:rsidRDefault="00322AD9" w:rsidP="00C80C29">
      <w:pPr>
        <w:pStyle w:val="Lijstalinea"/>
        <w:numPr>
          <w:ilvl w:val="0"/>
          <w:numId w:val="20"/>
        </w:numPr>
        <w:rPr>
          <w:rFonts w:ascii="Arial" w:hAnsi="Arial" w:cs="Arial"/>
          <w:sz w:val="20"/>
          <w:szCs w:val="20"/>
          <w:lang w:val="en-GB"/>
        </w:rPr>
      </w:pPr>
      <w:r>
        <w:rPr>
          <w:rFonts w:ascii="Arial" w:hAnsi="Arial" w:cs="Arial"/>
          <w:sz w:val="20"/>
          <w:szCs w:val="20"/>
          <w:lang w:val="en-GB"/>
        </w:rPr>
        <w:t xml:space="preserve">You do not exceed the ‘de-minimis ceiling’ for state support under the European Treaty. This can be demonstrated with a ‘De-minimis support declaration’. </w:t>
      </w:r>
    </w:p>
    <w:p w14:paraId="7B7100F7" w14:textId="77777777" w:rsidR="00322AD9" w:rsidRPr="008D49E6" w:rsidRDefault="00322AD9" w:rsidP="00322AD9">
      <w:pPr>
        <w:rPr>
          <w:rFonts w:ascii="Arial" w:eastAsia="Calibri" w:hAnsi="Arial" w:cs="Arial"/>
          <w:sz w:val="20"/>
          <w:szCs w:val="20"/>
          <w:lang w:val="en-GB"/>
        </w:rPr>
      </w:pPr>
    </w:p>
    <w:p w14:paraId="393EEF67" w14:textId="77777777" w:rsidR="00322AD9" w:rsidRPr="008D49E6" w:rsidRDefault="00322AD9" w:rsidP="00322AD9">
      <w:pPr>
        <w:rPr>
          <w:rFonts w:ascii="Arial" w:eastAsia="Calibri" w:hAnsi="Arial" w:cs="Arial"/>
          <w:sz w:val="20"/>
          <w:szCs w:val="20"/>
          <w:lang w:val="en-GB"/>
        </w:rPr>
      </w:pPr>
      <w:r>
        <w:rPr>
          <w:rFonts w:ascii="Arial" w:hAnsi="Arial" w:cs="Arial"/>
          <w:sz w:val="20"/>
          <w:szCs w:val="20"/>
          <w:lang w:val="en-GB"/>
        </w:rPr>
        <w:t xml:space="preserve">If you have an R&amp;D declaration and you are entitled to the increased start-up percentage for part of the calendar year, then the scheme will still apply to the full calendar year. </w:t>
      </w:r>
    </w:p>
    <w:p w14:paraId="3E731D02" w14:textId="77777777" w:rsidR="00322AD9" w:rsidRPr="008D49E6" w:rsidRDefault="00322AD9" w:rsidP="00322AD9">
      <w:pPr>
        <w:rPr>
          <w:rFonts w:eastAsia="Calibri"/>
          <w:lang w:val="en-GB"/>
        </w:rPr>
      </w:pPr>
    </w:p>
    <w:p w14:paraId="612CA05A" w14:textId="77777777" w:rsidR="00322AD9" w:rsidRPr="008D49E6" w:rsidRDefault="00322AD9" w:rsidP="007166AB">
      <w:pPr>
        <w:pStyle w:val="Kop2"/>
        <w:rPr>
          <w:rFonts w:eastAsia="Calibri"/>
          <w:lang w:val="en-GB"/>
        </w:rPr>
      </w:pPr>
      <w:bookmarkStart w:id="114" w:name="_Toc534204718"/>
      <w:bookmarkStart w:id="115" w:name="_Toc536010245"/>
      <w:r>
        <w:rPr>
          <w:rFonts w:eastAsia="Calibri"/>
          <w:bCs/>
          <w:iCs w:val="0"/>
          <w:lang w:val="en-GB"/>
        </w:rPr>
        <w:t>More time for mandatory form commutation DGA pension</w:t>
      </w:r>
      <w:bookmarkEnd w:id="114"/>
      <w:bookmarkEnd w:id="115"/>
    </w:p>
    <w:p w14:paraId="6CDC9742" w14:textId="77777777" w:rsidR="00FB6BA7" w:rsidRPr="008D49E6" w:rsidRDefault="00FB6BA7" w:rsidP="00322AD9">
      <w:pPr>
        <w:rPr>
          <w:rFonts w:ascii="Arial" w:eastAsia="Calibri" w:hAnsi="Arial" w:cs="Arial"/>
          <w:sz w:val="20"/>
          <w:szCs w:val="20"/>
          <w:lang w:val="en-GB"/>
        </w:rPr>
      </w:pPr>
    </w:p>
    <w:p w14:paraId="0810999B"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 xml:space="preserve">Accrual of a pension for the DGA as a self-administered pension (PEB in Dutch) is no longer permitted. Any pension accrued within the company can be commuted or converted into a retirement facility. </w:t>
      </w:r>
    </w:p>
    <w:p w14:paraId="7FE17AEA"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This is subject to the condition of providing a disclosure form to the tax authorities. The decision was to extend the submission term, subject to conditions.</w:t>
      </w:r>
    </w:p>
    <w:p w14:paraId="08355846" w14:textId="77777777" w:rsidR="00322AD9" w:rsidRPr="008D49E6" w:rsidRDefault="00322AD9" w:rsidP="00322AD9">
      <w:pPr>
        <w:rPr>
          <w:rFonts w:ascii="Arial" w:eastAsia="Calibri" w:hAnsi="Arial" w:cs="Arial"/>
          <w:sz w:val="20"/>
          <w:szCs w:val="20"/>
          <w:lang w:val="en-GB"/>
        </w:rPr>
      </w:pPr>
    </w:p>
    <w:p w14:paraId="01883340"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Commutation with tax rebate</w:t>
      </w:r>
    </w:p>
    <w:p w14:paraId="6122CC1B"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In 2019, a tax rebate can still be applied for commutation of the pension accrued in the company. This concerns a 19.5% tax rebate in 2019. In addition to this rebate, no revision interest is charged on the commutation or conversion.</w:t>
      </w:r>
    </w:p>
    <w:p w14:paraId="0EFD07F2" w14:textId="77777777" w:rsidR="00322AD9" w:rsidRPr="008D49E6" w:rsidRDefault="00322AD9" w:rsidP="00322AD9">
      <w:pPr>
        <w:rPr>
          <w:rFonts w:ascii="Arial" w:eastAsia="Calibri" w:hAnsi="Arial" w:cs="Arial"/>
          <w:sz w:val="20"/>
          <w:szCs w:val="20"/>
          <w:lang w:val="en-GB"/>
        </w:rPr>
      </w:pPr>
    </w:p>
    <w:p w14:paraId="1C268F94"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Renewal term</w:t>
      </w:r>
    </w:p>
    <w:p w14:paraId="0E5EF13E"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In reality, the term for submitting the disclosure form has proven too short. This term is currently one month after the commutation or conversion of the accrued pension.</w:t>
      </w:r>
    </w:p>
    <w:p w14:paraId="6B598E25"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 xml:space="preserve">The decision was to extend the submission term, subject to conditions. If the disclosure form is submitted to the tax authorities within one year of commutation or conversion, this is still in time. </w:t>
      </w:r>
    </w:p>
    <w:p w14:paraId="65AF0B3D" w14:textId="77777777" w:rsidR="00322AD9" w:rsidRPr="008D49E6" w:rsidRDefault="00322AD9" w:rsidP="00322AD9">
      <w:pPr>
        <w:rPr>
          <w:rFonts w:ascii="Arial" w:eastAsia="Calibri" w:hAnsi="Arial" w:cs="Arial"/>
          <w:sz w:val="20"/>
          <w:szCs w:val="20"/>
          <w:lang w:val="en-GB"/>
        </w:rPr>
      </w:pPr>
    </w:p>
    <w:p w14:paraId="074F0F49"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Terms and Conditions</w:t>
      </w:r>
    </w:p>
    <w:p w14:paraId="5C1C9E26" w14:textId="1FF4662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The other conditions concerning commutation or conversion must be fulfilled, including the co-signature of the partner. In the case of commutation, the declaration must be submitted and paid in accordance with statutory provisions.</w:t>
      </w:r>
    </w:p>
    <w:p w14:paraId="50EC019A" w14:textId="77777777" w:rsidR="00322AD9" w:rsidRPr="008D49E6" w:rsidRDefault="00322AD9" w:rsidP="00322AD9">
      <w:pPr>
        <w:rPr>
          <w:rFonts w:ascii="Arial" w:eastAsia="Calibri" w:hAnsi="Arial" w:cs="Arial"/>
          <w:b/>
          <w:sz w:val="20"/>
          <w:szCs w:val="20"/>
          <w:lang w:val="en-GB"/>
        </w:rPr>
      </w:pPr>
    </w:p>
    <w:p w14:paraId="09065D12"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Extra extension</w:t>
      </w:r>
    </w:p>
    <w:p w14:paraId="542D3323"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If the signature of the partner or ex-partner is required and is not included on the form submitted, the tax payer has six weeks to restore compliance. This also applies in the above-mentioned cases of term extension.</w:t>
      </w:r>
    </w:p>
    <w:p w14:paraId="650F9703" w14:textId="77777777" w:rsidR="00322AD9" w:rsidRPr="008D49E6" w:rsidRDefault="00322AD9" w:rsidP="00322AD9">
      <w:pPr>
        <w:rPr>
          <w:rFonts w:ascii="Arial" w:eastAsia="Calibri" w:hAnsi="Arial" w:cs="Arial"/>
          <w:sz w:val="20"/>
          <w:szCs w:val="20"/>
          <w:lang w:val="en-GB"/>
        </w:rPr>
      </w:pPr>
    </w:p>
    <w:p w14:paraId="22212B01"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The approval has a retroactive effect up to 1 April 2017.</w:t>
      </w:r>
    </w:p>
    <w:p w14:paraId="6BCE7D81" w14:textId="77777777" w:rsidR="007166AB" w:rsidRPr="008D49E6" w:rsidRDefault="007166AB" w:rsidP="007166AB">
      <w:pPr>
        <w:pStyle w:val="Geenafstand"/>
        <w:ind w:left="66"/>
        <w:rPr>
          <w:rFonts w:ascii="Arial" w:hAnsi="Arial" w:cs="Arial"/>
          <w:sz w:val="20"/>
          <w:szCs w:val="20"/>
          <w:lang w:val="en-GB"/>
        </w:rPr>
      </w:pPr>
    </w:p>
    <w:p w14:paraId="7948A691" w14:textId="77777777" w:rsidR="007166AB" w:rsidRPr="008D49E6" w:rsidRDefault="007166AB" w:rsidP="007166AB">
      <w:pPr>
        <w:shd w:val="clear" w:color="auto" w:fill="D9D9D9"/>
        <w:rPr>
          <w:rFonts w:ascii="Arial" w:hAnsi="Arial" w:cs="Arial"/>
          <w:b/>
          <w:sz w:val="20"/>
          <w:szCs w:val="20"/>
          <w:lang w:val="en-GB"/>
        </w:rPr>
      </w:pPr>
      <w:r>
        <w:rPr>
          <w:rFonts w:ascii="Arial" w:hAnsi="Arial" w:cs="Arial"/>
          <w:b/>
          <w:bCs/>
          <w:sz w:val="20"/>
          <w:szCs w:val="20"/>
          <w:lang w:val="en-GB"/>
        </w:rPr>
        <w:t xml:space="preserve">Please note! </w:t>
      </w:r>
    </w:p>
    <w:p w14:paraId="6BB1BE70" w14:textId="732B09ED" w:rsidR="007166AB" w:rsidRPr="008D49E6" w:rsidRDefault="007166AB" w:rsidP="007166AB">
      <w:pPr>
        <w:shd w:val="clear" w:color="auto" w:fill="D9D9D9"/>
        <w:rPr>
          <w:rFonts w:ascii="Arial" w:hAnsi="Arial" w:cs="Arial"/>
          <w:b/>
          <w:sz w:val="20"/>
          <w:szCs w:val="20"/>
          <w:lang w:val="en-GB"/>
        </w:rPr>
      </w:pPr>
      <w:r>
        <w:rPr>
          <w:rFonts w:ascii="Arial" w:hAnsi="Arial" w:cs="Arial"/>
          <w:sz w:val="20"/>
          <w:szCs w:val="20"/>
          <w:lang w:val="en-GB"/>
        </w:rPr>
        <w:t>If the DGA has a prenuptial agreement, first check if a settlement agreement and/or a compensation agreement must be concluded.</w:t>
      </w:r>
    </w:p>
    <w:p w14:paraId="28FEE7E0" w14:textId="77777777" w:rsidR="00322AD9" w:rsidRPr="008D49E6" w:rsidRDefault="00322AD9" w:rsidP="00322AD9">
      <w:pPr>
        <w:rPr>
          <w:rFonts w:ascii="Arial" w:eastAsia="Calibri" w:hAnsi="Arial" w:cs="Arial"/>
          <w:sz w:val="20"/>
          <w:szCs w:val="20"/>
          <w:lang w:val="en-GB"/>
        </w:rPr>
      </w:pPr>
    </w:p>
    <w:p w14:paraId="56123F49" w14:textId="77777777" w:rsidR="00322AD9" w:rsidRPr="00BE4865" w:rsidRDefault="00322AD9" w:rsidP="007166AB">
      <w:pPr>
        <w:pStyle w:val="Kop2"/>
        <w:rPr>
          <w:rFonts w:eastAsia="Calibri"/>
        </w:rPr>
      </w:pPr>
      <w:bookmarkStart w:id="116" w:name="_Toc534204719"/>
      <w:bookmarkStart w:id="117" w:name="_Toc536010246"/>
      <w:r>
        <w:rPr>
          <w:rFonts w:eastAsia="Calibri"/>
          <w:bCs/>
          <w:iCs w:val="0"/>
          <w:lang w:val="en-GB"/>
        </w:rPr>
        <w:t xml:space="preserve">Pension of </w:t>
      </w:r>
      <w:bookmarkEnd w:id="116"/>
      <w:r>
        <w:rPr>
          <w:rFonts w:eastAsia="Calibri"/>
          <w:bCs/>
          <w:iCs w:val="0"/>
          <w:lang w:val="en-GB"/>
        </w:rPr>
        <w:t>DGA</w:t>
      </w:r>
      <w:bookmarkEnd w:id="117"/>
    </w:p>
    <w:p w14:paraId="5528AFAC" w14:textId="77777777" w:rsidR="007166AB" w:rsidRDefault="007166AB" w:rsidP="00322AD9">
      <w:pPr>
        <w:rPr>
          <w:rFonts w:ascii="Arial" w:eastAsia="Calibri" w:hAnsi="Arial" w:cs="Arial"/>
          <w:sz w:val="20"/>
          <w:szCs w:val="20"/>
        </w:rPr>
      </w:pPr>
    </w:p>
    <w:p w14:paraId="1512C39D"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 xml:space="preserve">DGAs have not been permitted to accrue a self-administered pension since July 2017. What are the alternatives? The most favourable options are set out below. </w:t>
      </w:r>
    </w:p>
    <w:p w14:paraId="0BE72DB0" w14:textId="77777777" w:rsidR="00322AD9" w:rsidRPr="008D49E6" w:rsidRDefault="00322AD9" w:rsidP="00322AD9">
      <w:pPr>
        <w:rPr>
          <w:rFonts w:ascii="Arial" w:eastAsia="Calibri" w:hAnsi="Arial" w:cs="Arial"/>
          <w:sz w:val="20"/>
          <w:szCs w:val="20"/>
          <w:lang w:val="en-GB"/>
        </w:rPr>
      </w:pPr>
    </w:p>
    <w:p w14:paraId="3ED06FA3"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1. Savings or investments?</w:t>
      </w:r>
    </w:p>
    <w:p w14:paraId="52D0BD27" w14:textId="44D329A5" w:rsidR="00FB6BA7" w:rsidRPr="00D57A7F" w:rsidRDefault="00322AD9" w:rsidP="00322AD9">
      <w:pPr>
        <w:rPr>
          <w:rFonts w:ascii="Arial" w:eastAsia="Calibri" w:hAnsi="Arial" w:cs="Arial"/>
          <w:sz w:val="20"/>
          <w:szCs w:val="20"/>
          <w:lang w:val="en-GB"/>
        </w:rPr>
      </w:pPr>
      <w:r>
        <w:rPr>
          <w:rFonts w:ascii="Arial" w:eastAsia="Calibri" w:hAnsi="Arial" w:cs="Arial"/>
          <w:sz w:val="20"/>
          <w:szCs w:val="20"/>
          <w:lang w:val="en-GB"/>
        </w:rPr>
        <w:t>A self-evident alternative for the DGA who is no longer permitted to accrue a self-administered pension is to accrue savings or investments. The disadvantage of savings is the low interest rate, resulting in virtually no return on the capital accrued. The disadvantage of investments is the uncertainty. Spreading the investments over defensive funds can mitigate that disadvantage. Another disadvantage of investments is that no exemptions are granted in box 3 of the tax return. This was the case for self-administered pensions.</w:t>
      </w:r>
    </w:p>
    <w:p w14:paraId="4621A264"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2. Capital for your own company</w:t>
      </w:r>
    </w:p>
    <w:p w14:paraId="135FA41C"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Alternatively, you can invest your pension contribution in your own company. Depending on the interest you are currently paying for bank loans, this may be a favourable option. The disadvantage is that you lose your ‘pension’ if your company goes bankrupt.</w:t>
      </w:r>
    </w:p>
    <w:p w14:paraId="5AA5D96D" w14:textId="77777777" w:rsidR="00FB6BA7" w:rsidRPr="008D49E6" w:rsidRDefault="00FB6BA7" w:rsidP="00322AD9">
      <w:pPr>
        <w:rPr>
          <w:rFonts w:ascii="Arial" w:eastAsia="Calibri" w:hAnsi="Arial" w:cs="Arial"/>
          <w:sz w:val="20"/>
          <w:szCs w:val="20"/>
          <w:lang w:val="en-GB"/>
        </w:rPr>
      </w:pPr>
    </w:p>
    <w:p w14:paraId="21447D8A"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3. Repaying your own home</w:t>
      </w:r>
    </w:p>
    <w:p w14:paraId="5B90D03A"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If you have a mortgaged home, repaying your mortgage can be a great compensation for accruing pension. Please remember that penalty-free repayment of the mortgage is often restricted to a small portion of the principal. If you repay more, the bank generally charges a fee for early repayment due to missed interest income for the bank. An advantage is that repayment does not result in a higher tax in box 3.</w:t>
      </w:r>
    </w:p>
    <w:p w14:paraId="554C52A8" w14:textId="77777777" w:rsidR="007166AB" w:rsidRPr="008D49E6" w:rsidRDefault="007166AB" w:rsidP="007166AB">
      <w:pPr>
        <w:pStyle w:val="Geenafstand"/>
        <w:rPr>
          <w:rFonts w:ascii="Arial" w:hAnsi="Arial" w:cs="Arial"/>
          <w:sz w:val="20"/>
          <w:szCs w:val="20"/>
          <w:lang w:val="en-GB"/>
        </w:rPr>
      </w:pPr>
    </w:p>
    <w:p w14:paraId="6C0BCED8" w14:textId="77777777" w:rsidR="007166AB" w:rsidRPr="008D49E6" w:rsidRDefault="007166AB" w:rsidP="007166AB">
      <w:pPr>
        <w:shd w:val="clear" w:color="auto" w:fill="D9D9D9"/>
        <w:rPr>
          <w:rFonts w:ascii="Arial" w:hAnsi="Arial" w:cs="Arial"/>
          <w:b/>
          <w:sz w:val="20"/>
          <w:szCs w:val="20"/>
          <w:lang w:val="en-GB"/>
        </w:rPr>
      </w:pPr>
      <w:r>
        <w:rPr>
          <w:rFonts w:ascii="Arial" w:hAnsi="Arial" w:cs="Arial"/>
          <w:b/>
          <w:bCs/>
          <w:sz w:val="20"/>
          <w:szCs w:val="20"/>
          <w:lang w:val="en-GB"/>
        </w:rPr>
        <w:t xml:space="preserve">Please note! </w:t>
      </w:r>
    </w:p>
    <w:p w14:paraId="251DD329" w14:textId="00EEACBE" w:rsidR="00322AD9" w:rsidRPr="008D49E6" w:rsidRDefault="007166AB" w:rsidP="007166AB">
      <w:pPr>
        <w:shd w:val="clear" w:color="auto" w:fill="D9D9D9"/>
        <w:rPr>
          <w:rFonts w:ascii="Arial" w:hAnsi="Arial" w:cs="Arial"/>
          <w:b/>
          <w:sz w:val="20"/>
          <w:szCs w:val="20"/>
          <w:lang w:val="en-GB"/>
        </w:rPr>
      </w:pPr>
      <w:r>
        <w:rPr>
          <w:rFonts w:ascii="Arial" w:eastAsia="Calibri" w:hAnsi="Arial" w:cs="Arial"/>
          <w:sz w:val="20"/>
          <w:szCs w:val="20"/>
          <w:lang w:val="en-GB"/>
        </w:rPr>
        <w:t>Repayment of mortgages will become more favourable in the next few years, because the deductible mortgage rate will gradually be decreased to the 37% base rate.</w:t>
      </w:r>
    </w:p>
    <w:p w14:paraId="043A8FDC" w14:textId="77777777" w:rsidR="00322AD9" w:rsidRPr="008D49E6" w:rsidRDefault="00322AD9" w:rsidP="00322AD9">
      <w:pPr>
        <w:rPr>
          <w:rFonts w:ascii="Arial" w:eastAsia="Calibri" w:hAnsi="Arial" w:cs="Arial"/>
          <w:sz w:val="20"/>
          <w:szCs w:val="20"/>
          <w:lang w:val="en-GB"/>
        </w:rPr>
      </w:pPr>
    </w:p>
    <w:p w14:paraId="55AD94BB"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4. Purchasing annuity</w:t>
      </w:r>
    </w:p>
    <w:p w14:paraId="7F2FB168"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 xml:space="preserve">If you have a pension shortfall, you may consider buying an annuity. The premiums you pay are deductible subject to conditions and the annuity is not added to box 3. </w:t>
      </w:r>
    </w:p>
    <w:p w14:paraId="63B5DD10" w14:textId="77777777" w:rsidR="00322AD9" w:rsidRPr="008D49E6" w:rsidRDefault="00322AD9" w:rsidP="00322AD9">
      <w:pPr>
        <w:rPr>
          <w:rFonts w:ascii="Arial" w:eastAsia="Calibri" w:hAnsi="Arial" w:cs="Arial"/>
          <w:sz w:val="20"/>
          <w:szCs w:val="20"/>
          <w:lang w:val="en-GB"/>
        </w:rPr>
      </w:pPr>
    </w:p>
    <w:p w14:paraId="52EE996F"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5. Buying a home and rental income</w:t>
      </w:r>
    </w:p>
    <w:p w14:paraId="2681235F"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Buying a home and renting it to the children has become increasingly popular in the past years, and may serve as an alternative to accruing a pension. The advantage is that just part of the value of the home is added to box 3. Also, any capital gains of the home are not taxed.</w:t>
      </w:r>
    </w:p>
    <w:p w14:paraId="4336CA81" w14:textId="77777777" w:rsidR="00322AD9" w:rsidRPr="008D49E6" w:rsidRDefault="00322AD9" w:rsidP="00322AD9">
      <w:pPr>
        <w:rPr>
          <w:rFonts w:ascii="Arial" w:eastAsia="Calibri" w:hAnsi="Arial" w:cs="Arial"/>
          <w:sz w:val="20"/>
          <w:szCs w:val="20"/>
          <w:lang w:val="en-GB"/>
        </w:rPr>
      </w:pPr>
    </w:p>
    <w:p w14:paraId="28038C49" w14:textId="77777777" w:rsidR="00322AD9" w:rsidRPr="008D49E6" w:rsidRDefault="00322AD9" w:rsidP="007166AB">
      <w:pPr>
        <w:pStyle w:val="Kop2"/>
        <w:rPr>
          <w:rFonts w:eastAsia="Calibri"/>
          <w:lang w:val="en-GB"/>
        </w:rPr>
      </w:pPr>
      <w:bookmarkStart w:id="118" w:name="_Toc534204720"/>
      <w:bookmarkStart w:id="119" w:name="_Toc536010247"/>
      <w:r>
        <w:rPr>
          <w:rFonts w:eastAsia="Calibri"/>
          <w:bCs/>
          <w:iCs w:val="0"/>
          <w:lang w:val="en-GB"/>
        </w:rPr>
        <w:t>Retirement facility in the company; reserve amount permitted?</w:t>
      </w:r>
      <w:bookmarkEnd w:id="118"/>
      <w:bookmarkEnd w:id="119"/>
    </w:p>
    <w:p w14:paraId="5F65B084" w14:textId="77777777" w:rsidR="007166AB" w:rsidRPr="008D49E6" w:rsidRDefault="007166AB" w:rsidP="00322AD9">
      <w:pPr>
        <w:rPr>
          <w:rFonts w:ascii="Arial" w:eastAsia="Calibri" w:hAnsi="Arial" w:cs="Arial"/>
          <w:sz w:val="20"/>
          <w:szCs w:val="20"/>
          <w:lang w:val="en-GB"/>
        </w:rPr>
      </w:pPr>
    </w:p>
    <w:p w14:paraId="2B2982B2"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 xml:space="preserve">Subject to certain conditions, a substantial interest in a company can be silently transferred to the heirs upon death. Please find below the rules that apply to the valuation of any pension in the company. </w:t>
      </w:r>
    </w:p>
    <w:p w14:paraId="7287A6A6" w14:textId="77777777" w:rsidR="00322AD9" w:rsidRPr="008D49E6" w:rsidRDefault="00322AD9" w:rsidP="00322AD9">
      <w:pPr>
        <w:rPr>
          <w:rFonts w:ascii="Arial" w:eastAsia="Calibri" w:hAnsi="Arial" w:cs="Arial"/>
          <w:sz w:val="20"/>
          <w:szCs w:val="20"/>
          <w:lang w:val="en-GB"/>
        </w:rPr>
      </w:pPr>
    </w:p>
    <w:p w14:paraId="59113327"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Transferring is postponing taxation</w:t>
      </w:r>
    </w:p>
    <w:p w14:paraId="03E43AF6"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When transferring the significant interest, heirs do not need to pay tax immediately on the value of the substantial interest. This is required only on the date the heirs sell the shares. This implies this concerns only a postponement of the tax claim.</w:t>
      </w:r>
    </w:p>
    <w:p w14:paraId="65B69009" w14:textId="77777777" w:rsidR="00322AD9" w:rsidRPr="008D49E6" w:rsidRDefault="00322AD9" w:rsidP="00322AD9">
      <w:pPr>
        <w:rPr>
          <w:rFonts w:ascii="Arial" w:eastAsia="Calibri" w:hAnsi="Arial" w:cs="Arial"/>
          <w:sz w:val="20"/>
          <w:szCs w:val="20"/>
          <w:lang w:val="en-GB"/>
        </w:rPr>
      </w:pPr>
    </w:p>
    <w:p w14:paraId="27C08A9A"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What are corporate assets?</w:t>
      </w:r>
    </w:p>
    <w:p w14:paraId="1E2C86ED" w14:textId="4E81B42C"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The answer to the question which rules apply to the measurement of any pension capital in the company is important, as the transfer rule regarding substantial interest applies to the corporate equity. The investment capital should amount to no more than 5% of the corporate equity.</w:t>
      </w:r>
    </w:p>
    <w:p w14:paraId="73F1885D" w14:textId="77777777" w:rsidR="00D57A7F" w:rsidRDefault="00D57A7F" w:rsidP="00322AD9">
      <w:pPr>
        <w:rPr>
          <w:rFonts w:ascii="Arial" w:eastAsia="Calibri" w:hAnsi="Arial" w:cs="Arial"/>
          <w:b/>
          <w:bCs/>
          <w:sz w:val="20"/>
          <w:szCs w:val="20"/>
          <w:lang w:val="en-GB"/>
        </w:rPr>
      </w:pPr>
    </w:p>
    <w:p w14:paraId="2D40FF6D"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Value of pension entitlement</w:t>
      </w:r>
    </w:p>
    <w:p w14:paraId="3193BD75"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 xml:space="preserve">The Supreme Court recently received a case concerning the value of a pension capital held by a company. </w:t>
      </w:r>
    </w:p>
    <w:p w14:paraId="0BD80893" w14:textId="77777777" w:rsidR="00322AD9" w:rsidRPr="008D49E6" w:rsidRDefault="00322AD9" w:rsidP="00322AD9">
      <w:pPr>
        <w:rPr>
          <w:rFonts w:ascii="Arial" w:eastAsia="Calibri" w:hAnsi="Arial" w:cs="Arial"/>
          <w:sz w:val="20"/>
          <w:szCs w:val="20"/>
          <w:lang w:val="en-GB"/>
        </w:rPr>
      </w:pPr>
    </w:p>
    <w:p w14:paraId="79CDA56C" w14:textId="77777777" w:rsidR="00322AD9" w:rsidRPr="008D49E6" w:rsidRDefault="00322AD9" w:rsidP="00322AD9">
      <w:pPr>
        <w:rPr>
          <w:rFonts w:ascii="Arial" w:eastAsia="Calibri" w:hAnsi="Arial" w:cs="Arial"/>
          <w:b/>
          <w:sz w:val="20"/>
          <w:szCs w:val="20"/>
          <w:lang w:val="en-GB"/>
        </w:rPr>
      </w:pPr>
      <w:r>
        <w:rPr>
          <w:rFonts w:ascii="Arial" w:eastAsia="Calibri" w:hAnsi="Arial" w:cs="Arial"/>
          <w:b/>
          <w:bCs/>
          <w:sz w:val="20"/>
          <w:szCs w:val="20"/>
          <w:lang w:val="en-GB"/>
        </w:rPr>
        <w:t>Commercial measurement</w:t>
      </w:r>
    </w:p>
    <w:p w14:paraId="61501F03" w14:textId="77777777" w:rsidR="00322AD9" w:rsidRPr="008D49E6" w:rsidRDefault="00322AD9" w:rsidP="00322AD9">
      <w:pPr>
        <w:rPr>
          <w:rFonts w:ascii="Arial" w:eastAsia="Calibri" w:hAnsi="Arial" w:cs="Arial"/>
          <w:sz w:val="20"/>
          <w:szCs w:val="20"/>
          <w:lang w:val="en-GB"/>
        </w:rPr>
      </w:pPr>
      <w:r>
        <w:rPr>
          <w:rFonts w:ascii="Arial" w:eastAsia="Calibri" w:hAnsi="Arial" w:cs="Arial"/>
          <w:sz w:val="20"/>
          <w:szCs w:val="20"/>
          <w:lang w:val="en-GB"/>
        </w:rPr>
        <w:t>The commercial measurement of the pension was valued at €58,000. However, the company had 9.5 times this amount in reserves on the balance sheet. The Court in Den Bosch found this acceptable, but the Supreme Court did not. The Supreme Court judged that this is more than was required to hedge the retirement facility.</w:t>
      </w:r>
    </w:p>
    <w:p w14:paraId="59C29CD1" w14:textId="77777777" w:rsidR="00322AD9" w:rsidRPr="008D49E6" w:rsidRDefault="00322AD9" w:rsidP="00322AD9">
      <w:pPr>
        <w:rPr>
          <w:rFonts w:ascii="Arial" w:eastAsia="Calibri" w:hAnsi="Arial" w:cs="Arial"/>
          <w:sz w:val="20"/>
          <w:szCs w:val="20"/>
          <w:lang w:val="en-GB"/>
        </w:rPr>
      </w:pPr>
    </w:p>
    <w:p w14:paraId="1A06D8E4" w14:textId="77777777" w:rsidR="00322AD9" w:rsidRDefault="00322AD9" w:rsidP="00322AD9">
      <w:pPr>
        <w:rPr>
          <w:rFonts w:ascii="Arial" w:eastAsia="Calibri" w:hAnsi="Arial" w:cs="Arial"/>
          <w:sz w:val="20"/>
          <w:szCs w:val="20"/>
          <w:lang w:val="en-GB"/>
        </w:rPr>
      </w:pPr>
      <w:r>
        <w:rPr>
          <w:rFonts w:ascii="Arial" w:eastAsia="Calibri" w:hAnsi="Arial" w:cs="Arial"/>
          <w:sz w:val="20"/>
          <w:szCs w:val="20"/>
          <w:lang w:val="en-GB"/>
        </w:rPr>
        <w:t>Another Court must now decide on the permitted amount of reserves. The Supreme Court has already indicated that this does not concern the commercial measurement because a buffer should be taken into account in case of worst-case scenarios.</w:t>
      </w:r>
    </w:p>
    <w:p w14:paraId="069816A1" w14:textId="77777777" w:rsidR="00224370" w:rsidRDefault="00224370" w:rsidP="00322AD9">
      <w:pPr>
        <w:rPr>
          <w:rFonts w:ascii="Arial" w:eastAsia="Calibri" w:hAnsi="Arial" w:cs="Arial"/>
          <w:sz w:val="20"/>
          <w:szCs w:val="20"/>
          <w:lang w:val="en-GB"/>
        </w:rPr>
      </w:pPr>
    </w:p>
    <w:p w14:paraId="13A8DBDC" w14:textId="77777777" w:rsidR="00224370" w:rsidRPr="008D49E6" w:rsidRDefault="00224370" w:rsidP="00322AD9">
      <w:pPr>
        <w:rPr>
          <w:rFonts w:ascii="Arial" w:eastAsia="Calibri" w:hAnsi="Arial" w:cs="Arial"/>
          <w:sz w:val="20"/>
          <w:szCs w:val="20"/>
          <w:lang w:val="en-GB"/>
        </w:rPr>
      </w:pPr>
    </w:p>
    <w:p w14:paraId="70F1C35C" w14:textId="77777777" w:rsidR="007166AB" w:rsidRPr="008D49E6" w:rsidRDefault="007166AB" w:rsidP="007166AB">
      <w:pPr>
        <w:shd w:val="clear" w:color="auto" w:fill="D9D9D9"/>
        <w:rPr>
          <w:rFonts w:ascii="Arial" w:hAnsi="Arial" w:cs="Arial"/>
          <w:b/>
          <w:sz w:val="20"/>
          <w:szCs w:val="20"/>
          <w:lang w:val="en-GB"/>
        </w:rPr>
      </w:pPr>
      <w:r>
        <w:rPr>
          <w:rFonts w:ascii="Arial" w:hAnsi="Arial" w:cs="Arial"/>
          <w:b/>
          <w:bCs/>
          <w:sz w:val="20"/>
          <w:szCs w:val="20"/>
          <w:lang w:val="en-GB"/>
        </w:rPr>
        <w:t xml:space="preserve">Please note! </w:t>
      </w:r>
    </w:p>
    <w:p w14:paraId="158A6B5B" w14:textId="129AE489" w:rsidR="007166AB" w:rsidRPr="008D49E6" w:rsidRDefault="007166AB" w:rsidP="007166AB">
      <w:pPr>
        <w:shd w:val="clear" w:color="auto" w:fill="D9D9D9"/>
        <w:rPr>
          <w:rFonts w:ascii="Arial" w:eastAsia="Calibri" w:hAnsi="Arial" w:cs="Arial"/>
          <w:sz w:val="20"/>
          <w:szCs w:val="20"/>
          <w:lang w:val="en-GB"/>
        </w:rPr>
      </w:pPr>
      <w:r>
        <w:rPr>
          <w:rFonts w:ascii="Arial" w:eastAsia="Calibri" w:hAnsi="Arial" w:cs="Arial"/>
          <w:sz w:val="20"/>
          <w:szCs w:val="20"/>
          <w:lang w:val="en-GB"/>
        </w:rPr>
        <w:t>Since 1 July 2017, self-administered pension accrual is no longer permitted. The DGA has until 2019 to choose an option for the self-administered pension already accrued.</w:t>
      </w:r>
    </w:p>
    <w:p w14:paraId="2B1037C8" w14:textId="77777777" w:rsidR="007166AB" w:rsidRPr="008D49E6" w:rsidRDefault="007166AB" w:rsidP="007166AB">
      <w:pPr>
        <w:pStyle w:val="Geenafstand"/>
        <w:rPr>
          <w:rFonts w:ascii="Arial" w:hAnsi="Arial" w:cs="Arial"/>
          <w:sz w:val="20"/>
          <w:szCs w:val="20"/>
          <w:lang w:val="en-GB"/>
        </w:rPr>
      </w:pPr>
    </w:p>
    <w:p w14:paraId="2838B0A6" w14:textId="1F2E4590" w:rsidR="007166AB" w:rsidRPr="008D49E6" w:rsidRDefault="007166AB" w:rsidP="007166AB">
      <w:pPr>
        <w:shd w:val="clear" w:color="auto" w:fill="D9D9D9"/>
        <w:rPr>
          <w:rFonts w:ascii="Arial" w:hAnsi="Arial" w:cs="Arial"/>
          <w:b/>
          <w:sz w:val="20"/>
          <w:szCs w:val="20"/>
          <w:lang w:val="en-GB"/>
        </w:rPr>
      </w:pPr>
      <w:r>
        <w:rPr>
          <w:rFonts w:ascii="Arial" w:hAnsi="Arial" w:cs="Arial"/>
          <w:b/>
          <w:bCs/>
          <w:sz w:val="20"/>
          <w:szCs w:val="20"/>
          <w:lang w:val="en-GB"/>
        </w:rPr>
        <w:t xml:space="preserve">Tip! </w:t>
      </w:r>
    </w:p>
    <w:p w14:paraId="21DDA49A" w14:textId="55989121" w:rsidR="007166AB" w:rsidRPr="008D49E6" w:rsidRDefault="007166AB" w:rsidP="007166AB">
      <w:pPr>
        <w:shd w:val="clear" w:color="auto" w:fill="D9D9D9"/>
        <w:rPr>
          <w:rFonts w:ascii="Arial" w:eastAsia="Calibri" w:hAnsi="Arial" w:cs="Arial"/>
          <w:sz w:val="20"/>
          <w:szCs w:val="20"/>
          <w:lang w:val="en-GB"/>
        </w:rPr>
      </w:pPr>
      <w:r>
        <w:rPr>
          <w:rFonts w:ascii="Arial" w:eastAsia="Calibri" w:hAnsi="Arial" w:cs="Arial"/>
          <w:sz w:val="20"/>
          <w:szCs w:val="20"/>
          <w:lang w:val="en-GB"/>
        </w:rPr>
        <w:t>Ask for sound advice when handing over your company, also concerning measurement of the value of your company and your pension reserve.</w:t>
      </w:r>
    </w:p>
    <w:p w14:paraId="255B910E" w14:textId="4D2F788F" w:rsidR="00322AD9" w:rsidRPr="008D49E6" w:rsidRDefault="00322AD9" w:rsidP="00322AD9">
      <w:pPr>
        <w:rPr>
          <w:rFonts w:ascii="Arial" w:eastAsia="Calibri" w:hAnsi="Arial" w:cs="Arial"/>
          <w:b/>
          <w:sz w:val="20"/>
          <w:szCs w:val="20"/>
          <w:lang w:val="en-GB"/>
        </w:rPr>
      </w:pPr>
    </w:p>
    <w:p w14:paraId="3EFB4DA8" w14:textId="0E4EBE4E" w:rsidR="00322AD9" w:rsidRPr="008D49E6" w:rsidRDefault="00322AD9" w:rsidP="007166AB">
      <w:pPr>
        <w:pStyle w:val="Kop1"/>
        <w:rPr>
          <w:rFonts w:eastAsia="Calibri" w:cs="Arial"/>
          <w:sz w:val="20"/>
          <w:szCs w:val="20"/>
          <w:lang w:val="en-GB"/>
        </w:rPr>
      </w:pPr>
      <w:bookmarkStart w:id="120" w:name="_Toc534204721"/>
      <w:bookmarkStart w:id="121" w:name="_Toc536010248"/>
      <w:r>
        <w:rPr>
          <w:lang w:val="en-GB"/>
        </w:rPr>
        <w:t>Tax addition to income for car</w:t>
      </w:r>
      <w:bookmarkEnd w:id="120"/>
      <w:bookmarkEnd w:id="121"/>
    </w:p>
    <w:p w14:paraId="49DF0A83" w14:textId="77777777" w:rsidR="00322AD9" w:rsidRPr="008D49E6" w:rsidRDefault="00322AD9" w:rsidP="00322AD9">
      <w:pPr>
        <w:rPr>
          <w:rFonts w:ascii="Arial" w:hAnsi="Arial" w:cs="Arial"/>
          <w:sz w:val="20"/>
          <w:lang w:val="en-GB"/>
        </w:rPr>
      </w:pPr>
    </w:p>
    <w:p w14:paraId="0CA30D53" w14:textId="77777777" w:rsidR="00322AD9" w:rsidRDefault="00322AD9" w:rsidP="007166AB">
      <w:pPr>
        <w:pStyle w:val="Kop2"/>
      </w:pPr>
      <w:bookmarkStart w:id="122" w:name="_Toc534204722"/>
      <w:bookmarkStart w:id="123" w:name="_Toc536010249"/>
      <w:r>
        <w:rPr>
          <w:bCs/>
          <w:iCs w:val="0"/>
          <w:lang w:val="en-GB"/>
        </w:rPr>
        <w:t>2019 tax addition rates</w:t>
      </w:r>
      <w:bookmarkEnd w:id="122"/>
      <w:bookmarkEnd w:id="123"/>
    </w:p>
    <w:p w14:paraId="6642D270" w14:textId="77777777" w:rsidR="00322AD9" w:rsidRPr="007166AB" w:rsidRDefault="00322AD9" w:rsidP="00322AD9">
      <w:pPr>
        <w:rPr>
          <w:rFonts w:ascii="Arial" w:hAnsi="Arial" w:cs="Arial"/>
          <w:sz w:val="20"/>
        </w:rPr>
      </w:pPr>
    </w:p>
    <w:p w14:paraId="2C8FEFC0" w14:textId="77777777" w:rsidR="00322AD9" w:rsidRPr="008D49E6" w:rsidRDefault="00322AD9" w:rsidP="00322AD9">
      <w:pPr>
        <w:rPr>
          <w:rFonts w:ascii="Arial" w:hAnsi="Arial" w:cs="Arial"/>
          <w:sz w:val="20"/>
          <w:szCs w:val="20"/>
          <w:lang w:val="en-GB"/>
        </w:rPr>
      </w:pPr>
      <w:r>
        <w:rPr>
          <w:rFonts w:ascii="Arial" w:hAnsi="Arial" w:cs="Arial"/>
          <w:sz w:val="20"/>
          <w:szCs w:val="20"/>
          <w:lang w:val="en-GB"/>
        </w:rPr>
        <w:t xml:space="preserve">In 2019, nothing will change to the tax addition to your income for new cars with a CO2 emission level of over 0 grams per kilometre. The addition rate is still 22%. The tax addition for the more expensive electric car will change, the so-called Tesla tax. The tax addition will change in the course of 2019 for all cars, electric and non-electric, with initial registration in 2014. </w:t>
      </w:r>
    </w:p>
    <w:p w14:paraId="28ED6328" w14:textId="77777777" w:rsidR="00322AD9" w:rsidRPr="008D49E6" w:rsidRDefault="00322AD9" w:rsidP="00322AD9">
      <w:pPr>
        <w:rPr>
          <w:rFonts w:ascii="Arial" w:hAnsi="Arial" w:cs="Arial"/>
          <w:sz w:val="20"/>
          <w:szCs w:val="20"/>
          <w:lang w:val="en-GB"/>
        </w:rPr>
      </w:pPr>
    </w:p>
    <w:p w14:paraId="3601B72B" w14:textId="77777777" w:rsidR="00322AD9" w:rsidRPr="008D49E6" w:rsidRDefault="00322AD9" w:rsidP="00322AD9">
      <w:pPr>
        <w:rPr>
          <w:rFonts w:ascii="Arial" w:hAnsi="Arial" w:cs="Arial"/>
          <w:b/>
          <w:sz w:val="20"/>
          <w:szCs w:val="20"/>
          <w:lang w:val="en-GB"/>
        </w:rPr>
      </w:pPr>
      <w:r>
        <w:rPr>
          <w:rFonts w:ascii="Arial" w:hAnsi="Arial" w:cs="Arial"/>
          <w:b/>
          <w:bCs/>
          <w:sz w:val="20"/>
          <w:szCs w:val="20"/>
          <w:lang w:val="en-GB"/>
        </w:rPr>
        <w:t>Tesla tax</w:t>
      </w:r>
    </w:p>
    <w:p w14:paraId="7ADCCAF4" w14:textId="77777777" w:rsidR="00322AD9" w:rsidRPr="008D49E6" w:rsidRDefault="00322AD9" w:rsidP="00322AD9">
      <w:pPr>
        <w:rPr>
          <w:rFonts w:ascii="Arial" w:hAnsi="Arial" w:cs="Arial"/>
          <w:sz w:val="20"/>
          <w:szCs w:val="20"/>
          <w:lang w:val="en-GB"/>
        </w:rPr>
      </w:pPr>
      <w:r>
        <w:rPr>
          <w:rFonts w:ascii="Arial" w:hAnsi="Arial" w:cs="Arial"/>
          <w:sz w:val="20"/>
          <w:szCs w:val="20"/>
          <w:lang w:val="en-GB"/>
        </w:rPr>
        <w:t>The addition to taxable income for the fully electric car stands at 4% on the portion of the catalogue price up to €50,000. For a car with a catalogue value over €50,000, a 22% tax addition is charged on the excess amount. This applies only to electric cars with an initial registration date (DET) on or after 1 January 2019. The example below sets out the result of this tax.</w:t>
      </w:r>
    </w:p>
    <w:p w14:paraId="0362E6C9" w14:textId="77777777" w:rsidR="00322AD9" w:rsidRPr="008D49E6" w:rsidRDefault="00322AD9" w:rsidP="00322AD9">
      <w:pPr>
        <w:rPr>
          <w:rFonts w:ascii="Arial" w:hAnsi="Arial" w:cs="Arial"/>
          <w:sz w:val="20"/>
          <w:szCs w:val="20"/>
          <w:lang w:val="en-GB"/>
        </w:rPr>
      </w:pPr>
    </w:p>
    <w:p w14:paraId="043C4F1E" w14:textId="77777777" w:rsidR="00322AD9" w:rsidRPr="008D49E6" w:rsidRDefault="00322AD9" w:rsidP="00322AD9">
      <w:pPr>
        <w:rPr>
          <w:rFonts w:ascii="Arial" w:hAnsi="Arial" w:cs="Arial"/>
          <w:i/>
          <w:sz w:val="20"/>
          <w:szCs w:val="20"/>
          <w:lang w:val="en-GB"/>
        </w:rPr>
      </w:pPr>
      <w:r>
        <w:rPr>
          <w:rFonts w:ascii="Arial" w:hAnsi="Arial" w:cs="Arial"/>
          <w:b/>
          <w:bCs/>
          <w:i/>
          <w:iCs/>
          <w:sz w:val="20"/>
          <w:szCs w:val="20"/>
          <w:lang w:val="en-GB"/>
        </w:rPr>
        <w:t>Example:</w:t>
      </w:r>
      <w:r>
        <w:rPr>
          <w:rFonts w:ascii="Arial" w:hAnsi="Arial" w:cs="Arial"/>
          <w:i/>
          <w:iCs/>
          <w:sz w:val="20"/>
          <w:szCs w:val="20"/>
          <w:lang w:val="en-GB"/>
        </w:rPr>
        <w:t xml:space="preserve"> </w:t>
      </w:r>
    </w:p>
    <w:p w14:paraId="18B3D7D1" w14:textId="77777777" w:rsidR="00322AD9" w:rsidRPr="008D49E6" w:rsidRDefault="00322AD9" w:rsidP="00322AD9">
      <w:pPr>
        <w:rPr>
          <w:rFonts w:ascii="Arial" w:hAnsi="Arial" w:cs="Arial"/>
          <w:i/>
          <w:sz w:val="20"/>
          <w:szCs w:val="20"/>
          <w:lang w:val="en-GB"/>
        </w:rPr>
      </w:pPr>
      <w:r>
        <w:rPr>
          <w:rFonts w:ascii="Arial" w:hAnsi="Arial" w:cs="Arial"/>
          <w:i/>
          <w:iCs/>
          <w:sz w:val="20"/>
          <w:szCs w:val="20"/>
          <w:lang w:val="en-GB"/>
        </w:rPr>
        <w:t xml:space="preserve">An employee has an electric car with a catalogue price of €90,000. Upon initial registration in 2018, this employee paid a 4% tax addition to his income on the full catalogue price, which amounts to €3,600 per year. Based on the new rules, upon initial registration in 2019, he will pay 4% on </w:t>
      </w:r>
      <w:r>
        <w:rPr>
          <w:rFonts w:ascii="Arial" w:hAnsi="Arial" w:cs="Arial"/>
          <w:sz w:val="20"/>
          <w:szCs w:val="20"/>
          <w:lang w:val="en-GB"/>
        </w:rPr>
        <w:br/>
      </w:r>
      <w:r>
        <w:rPr>
          <w:rFonts w:ascii="Arial" w:hAnsi="Arial" w:cs="Arial"/>
          <w:i/>
          <w:iCs/>
          <w:sz w:val="20"/>
          <w:szCs w:val="20"/>
          <w:lang w:val="en-GB"/>
        </w:rPr>
        <w:t>€50,000 and 22% on the remaining €40,000, i.e. €10,800 per year. This amounts to a difference of €7,200 per year.</w:t>
      </w:r>
    </w:p>
    <w:p w14:paraId="5153DE9B" w14:textId="77777777" w:rsidR="007166AB" w:rsidRPr="008D49E6" w:rsidRDefault="007166AB" w:rsidP="007166AB">
      <w:pPr>
        <w:pStyle w:val="Geenafstand"/>
        <w:rPr>
          <w:rFonts w:ascii="Arial" w:hAnsi="Arial" w:cs="Arial"/>
          <w:sz w:val="20"/>
          <w:szCs w:val="20"/>
          <w:lang w:val="en-GB"/>
        </w:rPr>
      </w:pPr>
    </w:p>
    <w:p w14:paraId="198FCF5B" w14:textId="77777777" w:rsidR="007166AB" w:rsidRPr="008D49E6" w:rsidRDefault="007166AB" w:rsidP="007166AB">
      <w:pPr>
        <w:shd w:val="clear" w:color="auto" w:fill="D9D9D9"/>
        <w:rPr>
          <w:rFonts w:ascii="Arial" w:hAnsi="Arial" w:cs="Arial"/>
          <w:b/>
          <w:sz w:val="20"/>
          <w:szCs w:val="20"/>
          <w:lang w:val="en-GB"/>
        </w:rPr>
      </w:pPr>
      <w:r>
        <w:rPr>
          <w:rFonts w:ascii="Arial" w:hAnsi="Arial" w:cs="Arial"/>
          <w:b/>
          <w:bCs/>
          <w:sz w:val="20"/>
          <w:szCs w:val="20"/>
          <w:lang w:val="en-GB"/>
        </w:rPr>
        <w:t xml:space="preserve">Please note! </w:t>
      </w:r>
    </w:p>
    <w:p w14:paraId="3D1290E1" w14:textId="4D0D298B" w:rsidR="007166AB" w:rsidRPr="008D49E6" w:rsidRDefault="007166AB" w:rsidP="007166AB">
      <w:pPr>
        <w:shd w:val="clear" w:color="auto" w:fill="D9D9D9"/>
        <w:rPr>
          <w:rFonts w:ascii="Arial" w:eastAsia="Calibri" w:hAnsi="Arial" w:cs="Arial"/>
          <w:sz w:val="20"/>
          <w:szCs w:val="20"/>
          <w:lang w:val="en-GB"/>
        </w:rPr>
      </w:pPr>
      <w:r>
        <w:rPr>
          <w:rFonts w:ascii="Arial" w:hAnsi="Arial" w:cs="Arial"/>
          <w:sz w:val="20"/>
          <w:szCs w:val="20"/>
          <w:lang w:val="en-GB"/>
        </w:rPr>
        <w:t>The tax addition is in principle fixed for 60 months, applicable from the first month after the month of the car’s initial registration.</w:t>
      </w:r>
    </w:p>
    <w:p w14:paraId="160F01C7" w14:textId="77777777" w:rsidR="00322AD9" w:rsidRPr="008D49E6" w:rsidRDefault="00322AD9" w:rsidP="00322AD9">
      <w:pPr>
        <w:rPr>
          <w:rFonts w:ascii="Arial" w:hAnsi="Arial" w:cs="Arial"/>
          <w:sz w:val="20"/>
          <w:szCs w:val="20"/>
          <w:lang w:val="en-GB"/>
        </w:rPr>
      </w:pPr>
    </w:p>
    <w:p w14:paraId="58C3EC49" w14:textId="77777777" w:rsidR="00322AD9" w:rsidRPr="008D49E6" w:rsidRDefault="00322AD9" w:rsidP="00322AD9">
      <w:pPr>
        <w:rPr>
          <w:rFonts w:ascii="Arial" w:hAnsi="Arial" w:cs="Arial"/>
          <w:sz w:val="20"/>
          <w:szCs w:val="20"/>
          <w:lang w:val="en-GB"/>
        </w:rPr>
      </w:pPr>
      <w:r>
        <w:rPr>
          <w:rFonts w:ascii="Arial" w:hAnsi="Arial" w:cs="Arial"/>
          <w:sz w:val="20"/>
          <w:szCs w:val="20"/>
          <w:lang w:val="en-GB"/>
        </w:rPr>
        <w:t>In principle, the 2019 tax addition rates therefore have not changed compared with 2018. The tax addition for a new car, i.e. also for electric cars, is currently fixed until expiration of the full 60-month period. This implies that for electric cars with initial registration in 2018, the 4% tax addition to the income is applied on the full catalogue price for 60 months.</w:t>
      </w:r>
    </w:p>
    <w:p w14:paraId="6F4C80D0" w14:textId="77777777" w:rsidR="00322AD9" w:rsidRPr="008D49E6" w:rsidRDefault="00322AD9" w:rsidP="00322AD9">
      <w:pPr>
        <w:rPr>
          <w:rFonts w:ascii="Arial" w:hAnsi="Arial" w:cs="Arial"/>
          <w:sz w:val="20"/>
          <w:szCs w:val="20"/>
          <w:lang w:val="en-GB"/>
        </w:rPr>
      </w:pPr>
    </w:p>
    <w:p w14:paraId="64F692A9" w14:textId="77777777" w:rsidR="00322AD9" w:rsidRPr="008D49E6" w:rsidRDefault="00322AD9" w:rsidP="00322AD9">
      <w:pPr>
        <w:rPr>
          <w:rFonts w:ascii="Arial" w:hAnsi="Arial" w:cs="Arial"/>
          <w:b/>
          <w:sz w:val="20"/>
          <w:szCs w:val="20"/>
          <w:lang w:val="en-GB"/>
        </w:rPr>
      </w:pPr>
      <w:r>
        <w:rPr>
          <w:rFonts w:ascii="Arial" w:hAnsi="Arial" w:cs="Arial"/>
          <w:b/>
          <w:bCs/>
          <w:sz w:val="20"/>
          <w:szCs w:val="20"/>
          <w:lang w:val="en-GB"/>
        </w:rPr>
        <w:t>Exception for cars on hydrogen cells (and solar energy)</w:t>
      </w:r>
    </w:p>
    <w:p w14:paraId="62655B33" w14:textId="77777777" w:rsidR="00322AD9" w:rsidRPr="008D49E6" w:rsidRDefault="00322AD9" w:rsidP="00322AD9">
      <w:pPr>
        <w:rPr>
          <w:rFonts w:ascii="Arial" w:hAnsi="Arial" w:cs="Arial"/>
          <w:sz w:val="20"/>
          <w:szCs w:val="20"/>
          <w:lang w:val="en-GB"/>
        </w:rPr>
      </w:pPr>
      <w:r>
        <w:rPr>
          <w:rFonts w:ascii="Arial" w:hAnsi="Arial" w:cs="Arial"/>
          <w:sz w:val="20"/>
          <w:szCs w:val="20"/>
          <w:lang w:val="en-GB"/>
        </w:rPr>
        <w:t xml:space="preserve">The change that the high tax addition is applied to the catalogue value above the first €50,000 does not apply to cars running on hydrogen cells. These retain a 4% tax addition on the entire catalogue value in 2019. The reason is that the government wants to give an incentive to buy this technology. </w:t>
      </w:r>
    </w:p>
    <w:p w14:paraId="65688C64" w14:textId="77777777" w:rsidR="00322AD9" w:rsidRPr="008D49E6" w:rsidRDefault="00322AD9" w:rsidP="00322AD9">
      <w:pPr>
        <w:rPr>
          <w:rFonts w:ascii="Arial" w:hAnsi="Arial" w:cs="Arial"/>
          <w:sz w:val="20"/>
          <w:szCs w:val="20"/>
          <w:lang w:val="en-GB"/>
        </w:rPr>
      </w:pPr>
    </w:p>
    <w:p w14:paraId="76DEC280" w14:textId="77777777" w:rsidR="00322AD9" w:rsidRPr="008D49E6" w:rsidRDefault="00322AD9" w:rsidP="00322AD9">
      <w:pPr>
        <w:rPr>
          <w:rFonts w:ascii="Arial" w:hAnsi="Arial" w:cs="Arial"/>
          <w:sz w:val="20"/>
          <w:szCs w:val="20"/>
          <w:lang w:val="en-GB"/>
        </w:rPr>
      </w:pPr>
      <w:r>
        <w:rPr>
          <w:rFonts w:ascii="Arial" w:hAnsi="Arial" w:cs="Arial"/>
          <w:sz w:val="20"/>
          <w:szCs w:val="20"/>
          <w:lang w:val="en-GB"/>
        </w:rPr>
        <w:t>The Cabinet recently indicated reviewing a similar exception for cars running fully on solar energy. The outcome will probably be announced around mid 2019, with potential plans about car taxation from 2021 onwards.</w:t>
      </w:r>
    </w:p>
    <w:p w14:paraId="5AD89119" w14:textId="77777777" w:rsidR="00322AD9" w:rsidRPr="008D49E6" w:rsidRDefault="00322AD9" w:rsidP="00322AD9">
      <w:pPr>
        <w:rPr>
          <w:rFonts w:ascii="Arial" w:hAnsi="Arial" w:cs="Arial"/>
          <w:sz w:val="20"/>
          <w:szCs w:val="20"/>
          <w:lang w:val="en-GB"/>
        </w:rPr>
      </w:pPr>
    </w:p>
    <w:p w14:paraId="41435BCD" w14:textId="77777777" w:rsidR="00322AD9" w:rsidRPr="00BD045D" w:rsidRDefault="00322AD9" w:rsidP="00322AD9">
      <w:pPr>
        <w:rPr>
          <w:rFonts w:ascii="Arial" w:hAnsi="Arial" w:cs="Arial"/>
          <w:b/>
          <w:sz w:val="20"/>
          <w:szCs w:val="20"/>
        </w:rPr>
      </w:pPr>
      <w:r>
        <w:rPr>
          <w:rFonts w:ascii="Arial" w:hAnsi="Arial" w:cs="Arial"/>
          <w:b/>
          <w:bCs/>
          <w:sz w:val="20"/>
          <w:szCs w:val="20"/>
          <w:lang w:val="en-GB"/>
        </w:rPr>
        <w:t>Summary:</w:t>
      </w:r>
    </w:p>
    <w:tbl>
      <w:tblPr>
        <w:tblStyle w:val="Tabelraster"/>
        <w:tblW w:w="6374" w:type="dxa"/>
        <w:tblLook w:val="04A0" w:firstRow="1" w:lastRow="0" w:firstColumn="1" w:lastColumn="0" w:noHBand="0" w:noVBand="1"/>
      </w:tblPr>
      <w:tblGrid>
        <w:gridCol w:w="3000"/>
        <w:gridCol w:w="3374"/>
      </w:tblGrid>
      <w:tr w:rsidR="00322AD9" w:rsidRPr="00431A98" w14:paraId="1FAD746B" w14:textId="77777777" w:rsidTr="0004786C">
        <w:trPr>
          <w:trHeight w:val="230"/>
        </w:trPr>
        <w:tc>
          <w:tcPr>
            <w:tcW w:w="0" w:type="auto"/>
            <w:hideMark/>
          </w:tcPr>
          <w:p w14:paraId="50259AA4" w14:textId="77777777" w:rsidR="00322AD9" w:rsidRPr="00431A98" w:rsidRDefault="00322AD9" w:rsidP="0004786C">
            <w:pPr>
              <w:rPr>
                <w:rFonts w:ascii="Arial" w:hAnsi="Arial" w:cs="Arial"/>
                <w:b/>
                <w:bCs/>
                <w:sz w:val="20"/>
                <w:szCs w:val="20"/>
              </w:rPr>
            </w:pPr>
            <w:r>
              <w:rPr>
                <w:rFonts w:ascii="Arial" w:hAnsi="Arial" w:cs="Arial"/>
                <w:b/>
                <w:bCs/>
                <w:sz w:val="20"/>
                <w:szCs w:val="20"/>
                <w:lang w:val="en-GB"/>
              </w:rPr>
              <w:t>CO</w:t>
            </w:r>
            <w:r>
              <w:rPr>
                <w:rFonts w:ascii="Arial" w:hAnsi="Arial" w:cs="Arial"/>
                <w:b/>
                <w:bCs/>
                <w:sz w:val="20"/>
                <w:szCs w:val="20"/>
                <w:vertAlign w:val="subscript"/>
                <w:lang w:val="en-GB"/>
              </w:rPr>
              <w:t>2</w:t>
            </w:r>
            <w:r>
              <w:rPr>
                <w:rFonts w:ascii="Arial" w:hAnsi="Arial" w:cs="Arial"/>
                <w:b/>
                <w:bCs/>
                <w:sz w:val="20"/>
                <w:szCs w:val="20"/>
                <w:lang w:val="en-GB"/>
              </w:rPr>
              <w:t xml:space="preserve"> emissions</w:t>
            </w:r>
          </w:p>
        </w:tc>
        <w:tc>
          <w:tcPr>
            <w:tcW w:w="3374" w:type="dxa"/>
            <w:hideMark/>
          </w:tcPr>
          <w:p w14:paraId="4DAA773E" w14:textId="77777777" w:rsidR="00322AD9" w:rsidRPr="00431A98" w:rsidRDefault="00322AD9" w:rsidP="0004786C">
            <w:pPr>
              <w:rPr>
                <w:rFonts w:ascii="Arial" w:hAnsi="Arial" w:cs="Arial"/>
                <w:b/>
                <w:bCs/>
                <w:sz w:val="20"/>
                <w:szCs w:val="20"/>
              </w:rPr>
            </w:pPr>
            <w:r>
              <w:rPr>
                <w:rFonts w:ascii="Arial" w:hAnsi="Arial" w:cs="Arial"/>
                <w:b/>
                <w:bCs/>
                <w:sz w:val="20"/>
                <w:szCs w:val="20"/>
                <w:lang w:val="en-GB"/>
              </w:rPr>
              <w:t xml:space="preserve">Tax addition </w:t>
            </w:r>
          </w:p>
        </w:tc>
      </w:tr>
      <w:tr w:rsidR="00322AD9" w:rsidRPr="00431A98" w14:paraId="7B7BC964" w14:textId="77777777" w:rsidTr="0004786C">
        <w:trPr>
          <w:trHeight w:val="135"/>
        </w:trPr>
        <w:tc>
          <w:tcPr>
            <w:tcW w:w="0" w:type="auto"/>
            <w:hideMark/>
          </w:tcPr>
          <w:p w14:paraId="5C58001D" w14:textId="77777777" w:rsidR="00322AD9" w:rsidRPr="00431A98" w:rsidRDefault="00322AD9" w:rsidP="0004786C">
            <w:pPr>
              <w:rPr>
                <w:rFonts w:ascii="Arial" w:hAnsi="Arial" w:cs="Arial"/>
                <w:sz w:val="20"/>
                <w:szCs w:val="20"/>
              </w:rPr>
            </w:pPr>
            <w:r>
              <w:rPr>
                <w:rFonts w:ascii="Arial" w:hAnsi="Arial" w:cs="Arial"/>
                <w:sz w:val="20"/>
                <w:szCs w:val="20"/>
                <w:lang w:val="en-GB"/>
              </w:rPr>
              <w:t>0 (on battery)</w:t>
            </w:r>
          </w:p>
        </w:tc>
        <w:tc>
          <w:tcPr>
            <w:tcW w:w="3374" w:type="dxa"/>
            <w:hideMark/>
          </w:tcPr>
          <w:p w14:paraId="3709512C" w14:textId="77777777" w:rsidR="00322AD9" w:rsidRPr="00431A98" w:rsidRDefault="00322AD9" w:rsidP="0004786C">
            <w:pPr>
              <w:rPr>
                <w:rFonts w:ascii="Arial" w:hAnsi="Arial" w:cs="Arial"/>
                <w:sz w:val="20"/>
                <w:szCs w:val="20"/>
              </w:rPr>
            </w:pPr>
            <w:r>
              <w:rPr>
                <w:rFonts w:ascii="Arial" w:hAnsi="Arial" w:cs="Arial"/>
                <w:sz w:val="20"/>
                <w:szCs w:val="20"/>
                <w:lang w:val="en-GB"/>
              </w:rPr>
              <w:t xml:space="preserve">4% up to €50,000, </w:t>
            </w:r>
            <w:r>
              <w:rPr>
                <w:rFonts w:ascii="Arial" w:hAnsi="Arial" w:cs="Arial"/>
                <w:b/>
                <w:bCs/>
                <w:sz w:val="20"/>
                <w:szCs w:val="20"/>
                <w:lang w:val="en-GB"/>
              </w:rPr>
              <w:t xml:space="preserve">excess </w:t>
            </w:r>
            <w:r>
              <w:rPr>
                <w:rFonts w:ascii="Arial" w:hAnsi="Arial" w:cs="Arial"/>
                <w:sz w:val="20"/>
                <w:szCs w:val="20"/>
                <w:lang w:val="en-GB"/>
              </w:rPr>
              <w:t>22%</w:t>
            </w:r>
          </w:p>
        </w:tc>
      </w:tr>
      <w:tr w:rsidR="00322AD9" w:rsidRPr="00431A98" w14:paraId="6254D3BA" w14:textId="77777777" w:rsidTr="0004786C">
        <w:trPr>
          <w:trHeight w:val="181"/>
        </w:trPr>
        <w:tc>
          <w:tcPr>
            <w:tcW w:w="0" w:type="auto"/>
            <w:hideMark/>
          </w:tcPr>
          <w:p w14:paraId="56E9FB4F" w14:textId="77777777" w:rsidR="00322AD9" w:rsidRPr="00431A98" w:rsidRDefault="00322AD9" w:rsidP="0004786C">
            <w:pPr>
              <w:rPr>
                <w:rFonts w:ascii="Arial" w:hAnsi="Arial" w:cs="Arial"/>
                <w:sz w:val="20"/>
                <w:szCs w:val="20"/>
              </w:rPr>
            </w:pPr>
            <w:r>
              <w:rPr>
                <w:rFonts w:ascii="Arial" w:hAnsi="Arial" w:cs="Arial"/>
                <w:sz w:val="20"/>
                <w:szCs w:val="20"/>
                <w:lang w:val="en-GB"/>
              </w:rPr>
              <w:t>0 (on hydrogen)</w:t>
            </w:r>
          </w:p>
        </w:tc>
        <w:tc>
          <w:tcPr>
            <w:tcW w:w="3374" w:type="dxa"/>
            <w:hideMark/>
          </w:tcPr>
          <w:p w14:paraId="695AFACF" w14:textId="77777777" w:rsidR="00322AD9" w:rsidRPr="00431A98" w:rsidRDefault="00322AD9" w:rsidP="0004786C">
            <w:pPr>
              <w:rPr>
                <w:rFonts w:ascii="Arial" w:hAnsi="Arial" w:cs="Arial"/>
                <w:sz w:val="20"/>
                <w:szCs w:val="20"/>
              </w:rPr>
            </w:pPr>
            <w:r>
              <w:rPr>
                <w:rFonts w:ascii="Arial" w:hAnsi="Arial" w:cs="Arial"/>
                <w:sz w:val="20"/>
                <w:szCs w:val="20"/>
                <w:lang w:val="en-GB"/>
              </w:rPr>
              <w:t>4% unlimited</w:t>
            </w:r>
          </w:p>
        </w:tc>
      </w:tr>
      <w:tr w:rsidR="00322AD9" w:rsidRPr="00431A98" w14:paraId="46678EAD" w14:textId="77777777" w:rsidTr="0004786C">
        <w:trPr>
          <w:trHeight w:val="227"/>
        </w:trPr>
        <w:tc>
          <w:tcPr>
            <w:tcW w:w="0" w:type="auto"/>
            <w:hideMark/>
          </w:tcPr>
          <w:p w14:paraId="6B4B826D" w14:textId="77777777" w:rsidR="00322AD9" w:rsidRPr="00431A98" w:rsidRDefault="00322AD9" w:rsidP="0004786C">
            <w:pPr>
              <w:rPr>
                <w:rFonts w:ascii="Arial" w:hAnsi="Arial" w:cs="Arial"/>
                <w:sz w:val="20"/>
                <w:szCs w:val="20"/>
              </w:rPr>
            </w:pPr>
            <w:r>
              <w:rPr>
                <w:rFonts w:ascii="Arial" w:hAnsi="Arial" w:cs="Arial"/>
                <w:sz w:val="20"/>
                <w:szCs w:val="20"/>
                <w:lang w:val="en-GB"/>
              </w:rPr>
              <w:t>More than 0</w:t>
            </w:r>
          </w:p>
        </w:tc>
        <w:tc>
          <w:tcPr>
            <w:tcW w:w="3374" w:type="dxa"/>
            <w:hideMark/>
          </w:tcPr>
          <w:p w14:paraId="4AD7731A" w14:textId="77777777" w:rsidR="00322AD9" w:rsidRPr="00431A98" w:rsidRDefault="00322AD9" w:rsidP="0004786C">
            <w:pPr>
              <w:rPr>
                <w:rFonts w:ascii="Arial" w:hAnsi="Arial" w:cs="Arial"/>
                <w:sz w:val="20"/>
                <w:szCs w:val="20"/>
              </w:rPr>
            </w:pPr>
            <w:r>
              <w:rPr>
                <w:rFonts w:ascii="Arial" w:hAnsi="Arial" w:cs="Arial"/>
                <w:sz w:val="20"/>
                <w:szCs w:val="20"/>
                <w:lang w:val="en-GB"/>
              </w:rPr>
              <w:t>22%</w:t>
            </w:r>
          </w:p>
        </w:tc>
      </w:tr>
    </w:tbl>
    <w:p w14:paraId="0DD961B6" w14:textId="77777777" w:rsidR="00322AD9" w:rsidRPr="002019B9" w:rsidRDefault="00322AD9" w:rsidP="00322AD9">
      <w:pPr>
        <w:rPr>
          <w:rFonts w:ascii="Arial" w:hAnsi="Arial" w:cs="Arial"/>
          <w:sz w:val="20"/>
          <w:szCs w:val="20"/>
        </w:rPr>
      </w:pPr>
    </w:p>
    <w:p w14:paraId="60E9CE7B" w14:textId="77777777" w:rsidR="007164CA" w:rsidRDefault="007164CA" w:rsidP="00322AD9">
      <w:pPr>
        <w:rPr>
          <w:rFonts w:ascii="Arial" w:hAnsi="Arial" w:cs="Arial"/>
          <w:b/>
          <w:bCs/>
          <w:sz w:val="20"/>
          <w:szCs w:val="20"/>
          <w:lang w:val="en-GB"/>
        </w:rPr>
      </w:pPr>
    </w:p>
    <w:p w14:paraId="04A31E01" w14:textId="77777777" w:rsidR="007164CA" w:rsidRDefault="007164CA" w:rsidP="00322AD9">
      <w:pPr>
        <w:rPr>
          <w:rFonts w:ascii="Arial" w:hAnsi="Arial" w:cs="Arial"/>
          <w:b/>
          <w:bCs/>
          <w:sz w:val="20"/>
          <w:szCs w:val="20"/>
          <w:lang w:val="en-GB"/>
        </w:rPr>
      </w:pPr>
    </w:p>
    <w:p w14:paraId="678634F1" w14:textId="77777777" w:rsidR="00322AD9" w:rsidRPr="002019B9" w:rsidRDefault="00322AD9" w:rsidP="00322AD9">
      <w:pPr>
        <w:rPr>
          <w:rFonts w:ascii="Arial" w:hAnsi="Arial" w:cs="Arial"/>
          <w:b/>
          <w:sz w:val="20"/>
          <w:szCs w:val="20"/>
        </w:rPr>
      </w:pPr>
      <w:r>
        <w:rPr>
          <w:rFonts w:ascii="Arial" w:hAnsi="Arial" w:cs="Arial"/>
          <w:b/>
          <w:bCs/>
          <w:sz w:val="20"/>
          <w:szCs w:val="20"/>
          <w:lang w:val="en-GB"/>
        </w:rPr>
        <w:t>Consequences for cars from 2014</w:t>
      </w:r>
    </w:p>
    <w:p w14:paraId="22A9F9BD" w14:textId="77777777" w:rsidR="00322AD9" w:rsidRPr="008D49E6" w:rsidRDefault="00322AD9" w:rsidP="00322AD9">
      <w:pPr>
        <w:rPr>
          <w:rFonts w:ascii="Arial" w:hAnsi="Arial" w:cs="Arial"/>
          <w:sz w:val="20"/>
          <w:szCs w:val="20"/>
          <w:lang w:val="en-GB"/>
        </w:rPr>
      </w:pPr>
      <w:r>
        <w:rPr>
          <w:rFonts w:ascii="Arial" w:hAnsi="Arial" w:cs="Arial"/>
          <w:sz w:val="20"/>
          <w:szCs w:val="20"/>
          <w:lang w:val="en-GB"/>
        </w:rPr>
        <w:t xml:space="preserve">For cars from 2014, the 60-month period will expire in the course of 2019. This means that cars with initial registration in 2014 may be subject to the new tax addition in the course of 2019. If the initial registration of the car took place in December 2014, this is not until 1 January 2020. </w:t>
      </w:r>
    </w:p>
    <w:p w14:paraId="6DDE889F" w14:textId="77777777" w:rsidR="00322AD9" w:rsidRPr="008D49E6" w:rsidRDefault="00322AD9" w:rsidP="00322AD9">
      <w:pPr>
        <w:rPr>
          <w:rFonts w:ascii="Arial" w:hAnsi="Arial" w:cs="Arial"/>
          <w:sz w:val="20"/>
          <w:szCs w:val="20"/>
          <w:lang w:val="en-GB"/>
        </w:rPr>
      </w:pPr>
    </w:p>
    <w:p w14:paraId="0D2C281D" w14:textId="77777777" w:rsidR="00322AD9" w:rsidRDefault="00322AD9" w:rsidP="00322AD9">
      <w:pPr>
        <w:rPr>
          <w:rFonts w:ascii="Arial" w:hAnsi="Arial" w:cs="Arial"/>
          <w:sz w:val="20"/>
          <w:szCs w:val="20"/>
        </w:rPr>
      </w:pPr>
      <w:r>
        <w:rPr>
          <w:rFonts w:ascii="Arial" w:hAnsi="Arial" w:cs="Arial"/>
          <w:sz w:val="20"/>
          <w:szCs w:val="20"/>
          <w:lang w:val="en-GB"/>
        </w:rPr>
        <w:t xml:space="preserve">Electric cars incur an extra tax addition of 7% up to </w:t>
      </w:r>
      <w:r>
        <w:rPr>
          <w:rFonts w:ascii="Arial" w:hAnsi="Arial" w:cs="Arial"/>
          <w:sz w:val="20"/>
          <w:szCs w:val="20"/>
          <w:lang w:val="en-GB"/>
        </w:rPr>
        <w:br/>
        <w:t>€50,000 and 25% on the remaining amount. Cars with CO2 emissions in any case are subject to the 25% tax addition after expiration of the 60-month period. Also see the table below.</w:t>
      </w:r>
    </w:p>
    <w:p w14:paraId="720B86D2" w14:textId="77777777" w:rsidR="00322AD9" w:rsidRDefault="00322AD9" w:rsidP="00322AD9">
      <w:pPr>
        <w:rPr>
          <w:rFonts w:ascii="Arial" w:hAnsi="Arial" w:cs="Arial"/>
          <w:sz w:val="20"/>
          <w:szCs w:val="20"/>
        </w:rPr>
      </w:pPr>
    </w:p>
    <w:tbl>
      <w:tblPr>
        <w:tblStyle w:val="Tabelraster"/>
        <w:tblW w:w="6374" w:type="dxa"/>
        <w:tblLook w:val="04A0" w:firstRow="1" w:lastRow="0" w:firstColumn="1" w:lastColumn="0" w:noHBand="0" w:noVBand="1"/>
      </w:tblPr>
      <w:tblGrid>
        <w:gridCol w:w="3000"/>
        <w:gridCol w:w="3374"/>
      </w:tblGrid>
      <w:tr w:rsidR="00322AD9" w:rsidRPr="008D49E6" w14:paraId="7A1113B6" w14:textId="77777777" w:rsidTr="0004786C">
        <w:trPr>
          <w:trHeight w:val="230"/>
        </w:trPr>
        <w:tc>
          <w:tcPr>
            <w:tcW w:w="0" w:type="auto"/>
            <w:hideMark/>
          </w:tcPr>
          <w:p w14:paraId="3F401F86" w14:textId="77777777" w:rsidR="00322AD9" w:rsidRPr="00431A98" w:rsidRDefault="00322AD9" w:rsidP="0004786C">
            <w:pPr>
              <w:rPr>
                <w:rFonts w:ascii="Arial" w:hAnsi="Arial" w:cs="Arial"/>
                <w:b/>
                <w:bCs/>
                <w:sz w:val="20"/>
                <w:szCs w:val="20"/>
              </w:rPr>
            </w:pPr>
            <w:r>
              <w:rPr>
                <w:rFonts w:ascii="Arial" w:hAnsi="Arial" w:cs="Arial"/>
                <w:b/>
                <w:bCs/>
                <w:sz w:val="20"/>
                <w:szCs w:val="20"/>
                <w:lang w:val="en-GB"/>
              </w:rPr>
              <w:t>CO</w:t>
            </w:r>
            <w:r>
              <w:rPr>
                <w:rFonts w:ascii="Arial" w:hAnsi="Arial" w:cs="Arial"/>
                <w:b/>
                <w:bCs/>
                <w:sz w:val="20"/>
                <w:szCs w:val="20"/>
                <w:vertAlign w:val="subscript"/>
                <w:lang w:val="en-GB"/>
              </w:rPr>
              <w:t>2</w:t>
            </w:r>
            <w:r>
              <w:rPr>
                <w:rFonts w:ascii="Arial" w:hAnsi="Arial" w:cs="Arial"/>
                <w:b/>
                <w:bCs/>
                <w:sz w:val="20"/>
                <w:szCs w:val="20"/>
                <w:lang w:val="en-GB"/>
              </w:rPr>
              <w:t xml:space="preserve"> emissions</w:t>
            </w:r>
          </w:p>
        </w:tc>
        <w:tc>
          <w:tcPr>
            <w:tcW w:w="3374" w:type="dxa"/>
            <w:hideMark/>
          </w:tcPr>
          <w:p w14:paraId="1A062DA0" w14:textId="77777777" w:rsidR="00322AD9" w:rsidRPr="008D49E6" w:rsidRDefault="00322AD9" w:rsidP="0004786C">
            <w:pPr>
              <w:rPr>
                <w:rFonts w:ascii="Arial" w:hAnsi="Arial" w:cs="Arial"/>
                <w:b/>
                <w:bCs/>
                <w:sz w:val="20"/>
                <w:szCs w:val="20"/>
                <w:lang w:val="en-GB"/>
              </w:rPr>
            </w:pPr>
            <w:r>
              <w:rPr>
                <w:rFonts w:ascii="Arial" w:hAnsi="Arial" w:cs="Arial"/>
                <w:b/>
                <w:bCs/>
                <w:sz w:val="20"/>
                <w:szCs w:val="20"/>
                <w:lang w:val="en-GB"/>
              </w:rPr>
              <w:t>Addition to income after 60 months</w:t>
            </w:r>
          </w:p>
        </w:tc>
      </w:tr>
      <w:tr w:rsidR="00322AD9" w:rsidRPr="00431A98" w14:paraId="6FC66009" w14:textId="77777777" w:rsidTr="0004786C">
        <w:trPr>
          <w:trHeight w:val="135"/>
        </w:trPr>
        <w:tc>
          <w:tcPr>
            <w:tcW w:w="0" w:type="auto"/>
            <w:hideMark/>
          </w:tcPr>
          <w:p w14:paraId="7C2E1CFB" w14:textId="77777777" w:rsidR="00322AD9" w:rsidRPr="00431A98" w:rsidRDefault="00322AD9" w:rsidP="0004786C">
            <w:pPr>
              <w:rPr>
                <w:rFonts w:ascii="Arial" w:hAnsi="Arial" w:cs="Arial"/>
                <w:sz w:val="20"/>
                <w:szCs w:val="20"/>
              </w:rPr>
            </w:pPr>
            <w:r>
              <w:rPr>
                <w:rFonts w:ascii="Arial" w:hAnsi="Arial" w:cs="Arial"/>
                <w:sz w:val="20"/>
                <w:szCs w:val="20"/>
                <w:lang w:val="en-GB"/>
              </w:rPr>
              <w:t>0 (on battery)</w:t>
            </w:r>
          </w:p>
        </w:tc>
        <w:tc>
          <w:tcPr>
            <w:tcW w:w="3374" w:type="dxa"/>
            <w:hideMark/>
          </w:tcPr>
          <w:p w14:paraId="101AD0BB" w14:textId="77777777" w:rsidR="00322AD9" w:rsidRPr="00431A98" w:rsidRDefault="00322AD9" w:rsidP="0004786C">
            <w:pPr>
              <w:rPr>
                <w:rFonts w:ascii="Arial" w:hAnsi="Arial" w:cs="Arial"/>
                <w:sz w:val="20"/>
                <w:szCs w:val="20"/>
              </w:rPr>
            </w:pPr>
            <w:r>
              <w:rPr>
                <w:rFonts w:ascii="Arial" w:hAnsi="Arial" w:cs="Arial"/>
                <w:sz w:val="20"/>
                <w:szCs w:val="20"/>
                <w:lang w:val="en-GB"/>
              </w:rPr>
              <w:t xml:space="preserve">7% up to €50,000, </w:t>
            </w:r>
            <w:r>
              <w:rPr>
                <w:rFonts w:ascii="Arial" w:hAnsi="Arial" w:cs="Arial"/>
                <w:b/>
                <w:bCs/>
                <w:sz w:val="20"/>
                <w:szCs w:val="20"/>
                <w:lang w:val="en-GB"/>
              </w:rPr>
              <w:t xml:space="preserve">excess </w:t>
            </w:r>
            <w:r>
              <w:rPr>
                <w:rFonts w:ascii="Arial" w:hAnsi="Arial" w:cs="Arial"/>
                <w:sz w:val="20"/>
                <w:szCs w:val="20"/>
                <w:lang w:val="en-GB"/>
              </w:rPr>
              <w:t>25%</w:t>
            </w:r>
          </w:p>
        </w:tc>
      </w:tr>
      <w:tr w:rsidR="00322AD9" w:rsidRPr="00431A98" w14:paraId="3FF84FE3" w14:textId="77777777" w:rsidTr="0004786C">
        <w:trPr>
          <w:trHeight w:val="135"/>
        </w:trPr>
        <w:tc>
          <w:tcPr>
            <w:tcW w:w="0" w:type="auto"/>
          </w:tcPr>
          <w:p w14:paraId="285F2BC3" w14:textId="77777777" w:rsidR="00322AD9" w:rsidRPr="00431A98" w:rsidRDefault="00322AD9" w:rsidP="0004786C">
            <w:pPr>
              <w:rPr>
                <w:rFonts w:ascii="Arial" w:hAnsi="Arial" w:cs="Arial"/>
                <w:sz w:val="20"/>
                <w:szCs w:val="20"/>
              </w:rPr>
            </w:pPr>
            <w:r>
              <w:rPr>
                <w:rFonts w:ascii="Arial" w:hAnsi="Arial" w:cs="Arial"/>
                <w:sz w:val="20"/>
                <w:szCs w:val="20"/>
                <w:lang w:val="en-GB"/>
              </w:rPr>
              <w:t>0 (on hydrogen)</w:t>
            </w:r>
          </w:p>
        </w:tc>
        <w:tc>
          <w:tcPr>
            <w:tcW w:w="3374" w:type="dxa"/>
          </w:tcPr>
          <w:p w14:paraId="661EA04B" w14:textId="77777777" w:rsidR="00322AD9" w:rsidRDefault="00322AD9" w:rsidP="0004786C">
            <w:pPr>
              <w:rPr>
                <w:rFonts w:ascii="Arial" w:hAnsi="Arial" w:cs="Arial"/>
                <w:sz w:val="20"/>
                <w:szCs w:val="20"/>
              </w:rPr>
            </w:pPr>
            <w:r>
              <w:rPr>
                <w:rFonts w:ascii="Arial" w:hAnsi="Arial" w:cs="Arial"/>
                <w:sz w:val="20"/>
                <w:szCs w:val="20"/>
                <w:lang w:val="en-GB"/>
              </w:rPr>
              <w:t>7% unlimited</w:t>
            </w:r>
          </w:p>
        </w:tc>
      </w:tr>
      <w:tr w:rsidR="00322AD9" w:rsidRPr="00431A98" w14:paraId="33DD3226" w14:textId="77777777" w:rsidTr="0004786C">
        <w:trPr>
          <w:trHeight w:val="227"/>
        </w:trPr>
        <w:tc>
          <w:tcPr>
            <w:tcW w:w="0" w:type="auto"/>
            <w:hideMark/>
          </w:tcPr>
          <w:p w14:paraId="341D8DDC" w14:textId="77777777" w:rsidR="00322AD9" w:rsidRPr="00431A98" w:rsidRDefault="00322AD9" w:rsidP="0004786C">
            <w:pPr>
              <w:rPr>
                <w:rFonts w:ascii="Arial" w:hAnsi="Arial" w:cs="Arial"/>
                <w:sz w:val="20"/>
                <w:szCs w:val="20"/>
              </w:rPr>
            </w:pPr>
            <w:r>
              <w:rPr>
                <w:rFonts w:ascii="Arial" w:hAnsi="Arial" w:cs="Arial"/>
                <w:sz w:val="20"/>
                <w:szCs w:val="20"/>
                <w:lang w:val="en-GB"/>
              </w:rPr>
              <w:t>More than 0</w:t>
            </w:r>
          </w:p>
        </w:tc>
        <w:tc>
          <w:tcPr>
            <w:tcW w:w="3374" w:type="dxa"/>
            <w:hideMark/>
          </w:tcPr>
          <w:p w14:paraId="6CD7F4F4" w14:textId="77777777" w:rsidR="00322AD9" w:rsidRPr="00431A98" w:rsidRDefault="00322AD9" w:rsidP="0004786C">
            <w:pPr>
              <w:rPr>
                <w:rFonts w:ascii="Arial" w:hAnsi="Arial" w:cs="Arial"/>
                <w:sz w:val="20"/>
                <w:szCs w:val="20"/>
              </w:rPr>
            </w:pPr>
            <w:r>
              <w:rPr>
                <w:rFonts w:ascii="Arial" w:hAnsi="Arial" w:cs="Arial"/>
                <w:sz w:val="20"/>
                <w:szCs w:val="20"/>
                <w:lang w:val="en-GB"/>
              </w:rPr>
              <w:t>25%</w:t>
            </w:r>
          </w:p>
        </w:tc>
      </w:tr>
    </w:tbl>
    <w:p w14:paraId="47D998DF" w14:textId="77777777" w:rsidR="00322AD9" w:rsidRDefault="00322AD9" w:rsidP="00322AD9">
      <w:pPr>
        <w:rPr>
          <w:rFonts w:ascii="Arial" w:hAnsi="Arial" w:cs="Arial"/>
          <w:sz w:val="20"/>
          <w:szCs w:val="20"/>
        </w:rPr>
      </w:pPr>
    </w:p>
    <w:p w14:paraId="01CA7E47" w14:textId="77777777" w:rsidR="00322AD9" w:rsidRDefault="00322AD9" w:rsidP="00322AD9"/>
    <w:p w14:paraId="505B2669" w14:textId="77777777" w:rsidR="00322AD9" w:rsidRPr="00BE4865" w:rsidRDefault="00322AD9" w:rsidP="00322AD9">
      <w:pPr>
        <w:rPr>
          <w:rFonts w:ascii="Arial" w:eastAsia="Calibri" w:hAnsi="Arial" w:cs="Arial"/>
          <w:sz w:val="20"/>
          <w:szCs w:val="20"/>
        </w:rPr>
      </w:pPr>
    </w:p>
    <w:p w14:paraId="53DD61F6" w14:textId="77777777" w:rsidR="00322AD9" w:rsidRPr="00BE4865" w:rsidRDefault="00322AD9" w:rsidP="00322AD9">
      <w:pPr>
        <w:rPr>
          <w:rFonts w:ascii="Arial" w:eastAsia="Calibri" w:hAnsi="Arial" w:cs="Arial"/>
          <w:sz w:val="20"/>
          <w:szCs w:val="20"/>
        </w:rPr>
      </w:pPr>
    </w:p>
    <w:p w14:paraId="6F0406B6" w14:textId="77777777" w:rsidR="00322AD9" w:rsidRPr="00BE4865" w:rsidRDefault="00322AD9" w:rsidP="00322AD9">
      <w:pPr>
        <w:pStyle w:val="Geenafstand"/>
        <w:rPr>
          <w:rFonts w:ascii="Arial" w:hAnsi="Arial" w:cs="Arial"/>
          <w:sz w:val="20"/>
          <w:szCs w:val="20"/>
        </w:rPr>
      </w:pPr>
    </w:p>
    <w:p w14:paraId="088266FC" w14:textId="77777777" w:rsidR="00322AD9" w:rsidRPr="00BE4865" w:rsidRDefault="00322AD9" w:rsidP="00322AD9">
      <w:pPr>
        <w:pStyle w:val="Geenafstand"/>
        <w:rPr>
          <w:rFonts w:ascii="Arial" w:hAnsi="Arial" w:cs="Arial"/>
          <w:sz w:val="20"/>
          <w:szCs w:val="20"/>
        </w:rPr>
      </w:pPr>
    </w:p>
    <w:p w14:paraId="0DB5968F" w14:textId="77777777" w:rsidR="00322AD9" w:rsidRPr="00BE4865" w:rsidRDefault="00322AD9" w:rsidP="00322AD9">
      <w:pPr>
        <w:pStyle w:val="Geenafstand"/>
        <w:rPr>
          <w:rFonts w:ascii="Arial" w:hAnsi="Arial" w:cs="Arial"/>
          <w:sz w:val="20"/>
          <w:szCs w:val="20"/>
        </w:rPr>
      </w:pPr>
    </w:p>
    <w:p w14:paraId="0CFF8F98" w14:textId="77777777" w:rsidR="007166AB" w:rsidRDefault="007166AB" w:rsidP="00322AD9">
      <w:pPr>
        <w:rPr>
          <w:rFonts w:ascii="Arial" w:hAnsi="Arial" w:cs="Arial"/>
          <w:i/>
          <w:sz w:val="20"/>
          <w:szCs w:val="20"/>
        </w:rPr>
      </w:pPr>
    </w:p>
    <w:p w14:paraId="43346261" w14:textId="77777777" w:rsidR="007166AB" w:rsidRDefault="007166AB" w:rsidP="00322AD9">
      <w:pPr>
        <w:rPr>
          <w:rFonts w:ascii="Arial" w:hAnsi="Arial" w:cs="Arial"/>
          <w:i/>
          <w:sz w:val="20"/>
          <w:szCs w:val="20"/>
        </w:rPr>
      </w:pPr>
    </w:p>
    <w:p w14:paraId="4BAF0ADD" w14:textId="77777777" w:rsidR="007166AB" w:rsidRDefault="007166AB" w:rsidP="00322AD9">
      <w:pPr>
        <w:rPr>
          <w:rFonts w:ascii="Arial" w:hAnsi="Arial" w:cs="Arial"/>
          <w:i/>
          <w:sz w:val="20"/>
          <w:szCs w:val="20"/>
        </w:rPr>
      </w:pPr>
    </w:p>
    <w:p w14:paraId="1540A225" w14:textId="77777777" w:rsidR="007166AB" w:rsidRDefault="007166AB" w:rsidP="00322AD9">
      <w:pPr>
        <w:rPr>
          <w:rFonts w:ascii="Arial" w:hAnsi="Arial" w:cs="Arial"/>
          <w:i/>
          <w:sz w:val="20"/>
          <w:szCs w:val="20"/>
        </w:rPr>
      </w:pPr>
    </w:p>
    <w:p w14:paraId="6B992175" w14:textId="77777777" w:rsidR="007166AB" w:rsidRDefault="007166AB" w:rsidP="00322AD9">
      <w:pPr>
        <w:rPr>
          <w:rFonts w:ascii="Arial" w:hAnsi="Arial" w:cs="Arial"/>
          <w:i/>
          <w:sz w:val="20"/>
          <w:szCs w:val="20"/>
        </w:rPr>
      </w:pPr>
    </w:p>
    <w:p w14:paraId="6CA5724C" w14:textId="77777777" w:rsidR="007166AB" w:rsidRDefault="007166AB" w:rsidP="00322AD9">
      <w:pPr>
        <w:rPr>
          <w:rFonts w:ascii="Arial" w:hAnsi="Arial" w:cs="Arial"/>
          <w:i/>
          <w:sz w:val="20"/>
          <w:szCs w:val="20"/>
        </w:rPr>
      </w:pPr>
    </w:p>
    <w:p w14:paraId="221EC3EC" w14:textId="77777777" w:rsidR="007166AB" w:rsidRDefault="007166AB" w:rsidP="00322AD9">
      <w:pPr>
        <w:rPr>
          <w:rFonts w:ascii="Arial" w:hAnsi="Arial" w:cs="Arial"/>
          <w:i/>
          <w:sz w:val="20"/>
          <w:szCs w:val="20"/>
        </w:rPr>
      </w:pPr>
    </w:p>
    <w:p w14:paraId="114F0762" w14:textId="77777777" w:rsidR="007166AB" w:rsidRDefault="007166AB" w:rsidP="00322AD9">
      <w:pPr>
        <w:rPr>
          <w:rFonts w:ascii="Arial" w:hAnsi="Arial" w:cs="Arial"/>
          <w:i/>
          <w:sz w:val="20"/>
          <w:szCs w:val="20"/>
        </w:rPr>
      </w:pPr>
    </w:p>
    <w:p w14:paraId="1FDAFB7E" w14:textId="77777777" w:rsidR="007166AB" w:rsidRDefault="007166AB" w:rsidP="00322AD9">
      <w:pPr>
        <w:rPr>
          <w:rFonts w:ascii="Arial" w:hAnsi="Arial" w:cs="Arial"/>
          <w:i/>
          <w:sz w:val="20"/>
          <w:szCs w:val="20"/>
        </w:rPr>
      </w:pPr>
    </w:p>
    <w:p w14:paraId="2EEECFCA" w14:textId="77777777" w:rsidR="007166AB" w:rsidRDefault="007166AB" w:rsidP="00322AD9">
      <w:pPr>
        <w:rPr>
          <w:rFonts w:ascii="Arial" w:hAnsi="Arial" w:cs="Arial"/>
          <w:i/>
          <w:sz w:val="20"/>
          <w:szCs w:val="20"/>
        </w:rPr>
      </w:pPr>
    </w:p>
    <w:p w14:paraId="1AA64902" w14:textId="77777777" w:rsidR="007166AB" w:rsidRDefault="007166AB" w:rsidP="00322AD9">
      <w:pPr>
        <w:rPr>
          <w:rFonts w:ascii="Arial" w:hAnsi="Arial" w:cs="Arial"/>
          <w:i/>
          <w:sz w:val="20"/>
          <w:szCs w:val="20"/>
        </w:rPr>
      </w:pPr>
    </w:p>
    <w:p w14:paraId="784B9648" w14:textId="77777777" w:rsidR="007166AB" w:rsidRDefault="007166AB" w:rsidP="00322AD9">
      <w:pPr>
        <w:rPr>
          <w:rFonts w:ascii="Arial" w:hAnsi="Arial" w:cs="Arial"/>
          <w:i/>
          <w:sz w:val="20"/>
          <w:szCs w:val="20"/>
        </w:rPr>
      </w:pPr>
    </w:p>
    <w:p w14:paraId="06D15014" w14:textId="77777777" w:rsidR="007166AB" w:rsidRDefault="007166AB" w:rsidP="00322AD9">
      <w:pPr>
        <w:rPr>
          <w:rFonts w:ascii="Arial" w:hAnsi="Arial" w:cs="Arial"/>
          <w:i/>
          <w:sz w:val="20"/>
          <w:szCs w:val="20"/>
        </w:rPr>
      </w:pPr>
    </w:p>
    <w:p w14:paraId="26F9D5ED" w14:textId="77777777" w:rsidR="007166AB" w:rsidRDefault="007166AB" w:rsidP="00322AD9">
      <w:pPr>
        <w:rPr>
          <w:rFonts w:ascii="Arial" w:hAnsi="Arial" w:cs="Arial"/>
          <w:i/>
          <w:sz w:val="20"/>
          <w:szCs w:val="20"/>
        </w:rPr>
      </w:pPr>
    </w:p>
    <w:p w14:paraId="5EFFAF06" w14:textId="77777777" w:rsidR="007166AB" w:rsidRDefault="007166AB" w:rsidP="00322AD9">
      <w:pPr>
        <w:rPr>
          <w:rFonts w:ascii="Arial" w:hAnsi="Arial" w:cs="Arial"/>
          <w:i/>
          <w:sz w:val="20"/>
          <w:szCs w:val="20"/>
        </w:rPr>
      </w:pPr>
    </w:p>
    <w:p w14:paraId="11EA7437" w14:textId="77777777" w:rsidR="007166AB" w:rsidRDefault="007166AB" w:rsidP="00322AD9">
      <w:pPr>
        <w:rPr>
          <w:rFonts w:ascii="Arial" w:hAnsi="Arial" w:cs="Arial"/>
          <w:i/>
          <w:sz w:val="20"/>
          <w:szCs w:val="20"/>
        </w:rPr>
      </w:pPr>
    </w:p>
    <w:p w14:paraId="6A791F32" w14:textId="77777777" w:rsidR="007166AB" w:rsidRDefault="007166AB" w:rsidP="00322AD9">
      <w:pPr>
        <w:rPr>
          <w:rFonts w:ascii="Arial" w:hAnsi="Arial" w:cs="Arial"/>
          <w:i/>
          <w:sz w:val="20"/>
          <w:szCs w:val="20"/>
        </w:rPr>
      </w:pPr>
    </w:p>
    <w:p w14:paraId="43AEAA5D" w14:textId="77777777" w:rsidR="007166AB" w:rsidRDefault="007166AB" w:rsidP="00322AD9">
      <w:pPr>
        <w:rPr>
          <w:rFonts w:ascii="Arial" w:hAnsi="Arial" w:cs="Arial"/>
          <w:i/>
          <w:sz w:val="20"/>
          <w:szCs w:val="20"/>
        </w:rPr>
      </w:pPr>
    </w:p>
    <w:p w14:paraId="1ECA8C87" w14:textId="77777777" w:rsidR="007166AB" w:rsidRDefault="007166AB" w:rsidP="00322AD9">
      <w:pPr>
        <w:rPr>
          <w:rFonts w:ascii="Arial" w:hAnsi="Arial" w:cs="Arial"/>
          <w:i/>
          <w:sz w:val="20"/>
          <w:szCs w:val="20"/>
        </w:rPr>
      </w:pPr>
    </w:p>
    <w:p w14:paraId="5B7DC93E" w14:textId="77777777" w:rsidR="007166AB" w:rsidRDefault="007166AB" w:rsidP="00322AD9">
      <w:pPr>
        <w:rPr>
          <w:rFonts w:ascii="Arial" w:hAnsi="Arial" w:cs="Arial"/>
          <w:i/>
          <w:sz w:val="20"/>
          <w:szCs w:val="20"/>
        </w:rPr>
      </w:pPr>
    </w:p>
    <w:p w14:paraId="039E4431" w14:textId="77777777" w:rsidR="007166AB" w:rsidRDefault="007166AB" w:rsidP="00322AD9">
      <w:pPr>
        <w:rPr>
          <w:rFonts w:ascii="Arial" w:hAnsi="Arial" w:cs="Arial"/>
          <w:i/>
          <w:sz w:val="20"/>
          <w:szCs w:val="20"/>
        </w:rPr>
      </w:pPr>
    </w:p>
    <w:p w14:paraId="69AAB828" w14:textId="77777777" w:rsidR="007166AB" w:rsidRDefault="007166AB" w:rsidP="00322AD9">
      <w:pPr>
        <w:rPr>
          <w:rFonts w:ascii="Arial" w:hAnsi="Arial" w:cs="Arial"/>
          <w:i/>
          <w:sz w:val="20"/>
          <w:szCs w:val="20"/>
        </w:rPr>
      </w:pPr>
    </w:p>
    <w:p w14:paraId="5567C4C0" w14:textId="77777777" w:rsidR="007166AB" w:rsidRDefault="007166AB" w:rsidP="00322AD9">
      <w:pPr>
        <w:rPr>
          <w:rFonts w:ascii="Arial" w:hAnsi="Arial" w:cs="Arial"/>
          <w:i/>
          <w:sz w:val="20"/>
          <w:szCs w:val="20"/>
        </w:rPr>
      </w:pPr>
    </w:p>
    <w:p w14:paraId="08F3DB03" w14:textId="77777777" w:rsidR="007166AB" w:rsidRDefault="007166AB" w:rsidP="00322AD9">
      <w:pPr>
        <w:rPr>
          <w:rFonts w:ascii="Arial" w:hAnsi="Arial" w:cs="Arial"/>
          <w:i/>
          <w:sz w:val="20"/>
          <w:szCs w:val="20"/>
        </w:rPr>
      </w:pPr>
    </w:p>
    <w:p w14:paraId="0E25ACBA" w14:textId="77777777" w:rsidR="007166AB" w:rsidRDefault="007166AB" w:rsidP="00322AD9">
      <w:pPr>
        <w:rPr>
          <w:rFonts w:ascii="Arial" w:hAnsi="Arial" w:cs="Arial"/>
          <w:i/>
          <w:sz w:val="20"/>
          <w:szCs w:val="20"/>
        </w:rPr>
      </w:pPr>
    </w:p>
    <w:p w14:paraId="56601C9B" w14:textId="77777777" w:rsidR="007166AB" w:rsidRDefault="007166AB" w:rsidP="00322AD9">
      <w:pPr>
        <w:rPr>
          <w:rFonts w:ascii="Arial" w:hAnsi="Arial" w:cs="Arial"/>
          <w:i/>
          <w:sz w:val="20"/>
          <w:szCs w:val="20"/>
        </w:rPr>
      </w:pPr>
    </w:p>
    <w:p w14:paraId="403659A0" w14:textId="77777777" w:rsidR="007166AB" w:rsidRDefault="007166AB" w:rsidP="00322AD9">
      <w:pPr>
        <w:rPr>
          <w:rFonts w:ascii="Arial" w:hAnsi="Arial" w:cs="Arial"/>
          <w:i/>
          <w:sz w:val="20"/>
          <w:szCs w:val="20"/>
        </w:rPr>
      </w:pPr>
    </w:p>
    <w:p w14:paraId="00191783" w14:textId="77777777" w:rsidR="007166AB" w:rsidRDefault="007166AB" w:rsidP="00322AD9">
      <w:pPr>
        <w:rPr>
          <w:rFonts w:ascii="Arial" w:hAnsi="Arial" w:cs="Arial"/>
          <w:i/>
          <w:sz w:val="20"/>
          <w:szCs w:val="20"/>
        </w:rPr>
      </w:pPr>
    </w:p>
    <w:p w14:paraId="5DA79B89" w14:textId="77777777" w:rsidR="007166AB" w:rsidRDefault="007166AB" w:rsidP="00322AD9">
      <w:pPr>
        <w:rPr>
          <w:rFonts w:ascii="Arial" w:hAnsi="Arial" w:cs="Arial"/>
          <w:i/>
          <w:sz w:val="20"/>
          <w:szCs w:val="20"/>
        </w:rPr>
      </w:pPr>
    </w:p>
    <w:p w14:paraId="0206B14A" w14:textId="77777777" w:rsidR="007166AB" w:rsidRDefault="007166AB" w:rsidP="00322AD9">
      <w:pPr>
        <w:rPr>
          <w:rFonts w:ascii="Arial" w:hAnsi="Arial" w:cs="Arial"/>
          <w:i/>
          <w:sz w:val="20"/>
          <w:szCs w:val="20"/>
        </w:rPr>
      </w:pPr>
    </w:p>
    <w:p w14:paraId="0A5DAA98" w14:textId="77777777" w:rsidR="00322AD9" w:rsidRPr="00BE4865" w:rsidRDefault="00322AD9" w:rsidP="00322AD9">
      <w:pPr>
        <w:rPr>
          <w:rFonts w:ascii="Arial" w:hAnsi="Arial" w:cs="Arial"/>
          <w:bCs/>
          <w:i/>
          <w:sz w:val="20"/>
          <w:szCs w:val="20"/>
        </w:rPr>
      </w:pPr>
      <w:r>
        <w:rPr>
          <w:rFonts w:ascii="Arial" w:hAnsi="Arial" w:cs="Arial"/>
          <w:i/>
          <w:iCs/>
          <w:sz w:val="20"/>
          <w:szCs w:val="20"/>
          <w:lang w:val="en-GB"/>
        </w:rPr>
        <w:t>No liability is accepted for any incompleteness or inaccuracies in this newsletter despite the fact that it has been drawn up with the greatest possible care. The broad and general nature of this newsletter means that it is not intended to provide all information that is needed to make financial decisions. Date of publication: 7 January 2019.</w:t>
      </w:r>
    </w:p>
    <w:p w14:paraId="3EEEB436" w14:textId="77777777" w:rsidR="00322AD9" w:rsidRPr="00322AD9" w:rsidRDefault="00322AD9" w:rsidP="00322AD9"/>
    <w:sectPr w:rsidR="00322AD9" w:rsidRPr="00322AD9" w:rsidSect="00663565">
      <w:headerReference w:type="even" r:id="rId14"/>
      <w:headerReference w:type="default" r:id="rId15"/>
      <w:footerReference w:type="even" r:id="rId16"/>
      <w:footerReference w:type="default" r:id="rId17"/>
      <w:headerReference w:type="first" r:id="rId18"/>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BC12C" w14:textId="77777777" w:rsidR="00D57A7F" w:rsidRDefault="00D57A7F">
      <w:r>
        <w:separator/>
      </w:r>
    </w:p>
  </w:endnote>
  <w:endnote w:type="continuationSeparator" w:id="0">
    <w:p w14:paraId="5F1FDCC5" w14:textId="77777777" w:rsidR="00D57A7F" w:rsidRDefault="00D5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55 Roman">
    <w:altName w:val="Century Gothic"/>
    <w:charset w:val="00"/>
    <w:family w:val="swiss"/>
    <w:pitch w:val="variable"/>
    <w:sig w:usb0="00000003" w:usb1="00000000" w:usb2="00000000" w:usb3="00000000" w:csb0="00000001" w:csb1="00000000"/>
  </w:font>
  <w:font w:name="Linotype EuroFont G to P">
    <w:altName w:val="Arial Narrow"/>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56D3C" w14:textId="77777777" w:rsidR="00D57A7F" w:rsidRDefault="00D57A7F" w:rsidP="00FD1F9E">
    <w:pPr>
      <w:pStyle w:val="Voettekst"/>
      <w:framePr w:wrap="around" w:vAnchor="text" w:hAnchor="margin" w:xAlign="right" w:y="1"/>
      <w:rPr>
        <w:rStyle w:val="Paginanummer"/>
      </w:rPr>
    </w:pPr>
    <w:r>
      <w:rPr>
        <w:rStyle w:val="Paginanummer"/>
        <w:lang w:val="en-GB"/>
      </w:rPr>
      <w:fldChar w:fldCharType="begin"/>
    </w:r>
    <w:r>
      <w:rPr>
        <w:rStyle w:val="Paginanummer"/>
        <w:lang w:val="en-GB"/>
      </w:rPr>
      <w:instrText xml:space="preserve">PAGE  </w:instrText>
    </w:r>
    <w:r>
      <w:rPr>
        <w:rStyle w:val="Paginanummer"/>
        <w:lang w:val="en-GB"/>
      </w:rPr>
      <w:fldChar w:fldCharType="end"/>
    </w:r>
  </w:p>
  <w:p w14:paraId="56FC8DA2" w14:textId="77777777" w:rsidR="00D57A7F" w:rsidRDefault="00D57A7F" w:rsidP="00FD1F9E">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0678A" w14:textId="77777777" w:rsidR="00D57A7F" w:rsidRPr="00212BFB" w:rsidRDefault="00D57A7F" w:rsidP="00FD1F9E">
    <w:pPr>
      <w:pStyle w:val="Voettekst"/>
      <w:framePr w:wrap="around" w:vAnchor="text" w:hAnchor="margin" w:xAlign="right" w:y="1"/>
      <w:rPr>
        <w:rStyle w:val="Paginanummer"/>
        <w:rFonts w:ascii="Arial" w:hAnsi="Arial" w:cs="Arial"/>
        <w:sz w:val="16"/>
        <w:szCs w:val="16"/>
      </w:rPr>
    </w:pPr>
  </w:p>
  <w:tbl>
    <w:tblPr>
      <w:tblW w:w="9214" w:type="dxa"/>
      <w:tblLook w:val="00A0" w:firstRow="1" w:lastRow="0" w:firstColumn="1" w:lastColumn="0" w:noHBand="0" w:noVBand="0"/>
    </w:tblPr>
    <w:tblGrid>
      <w:gridCol w:w="7947"/>
      <w:gridCol w:w="1267"/>
    </w:tblGrid>
    <w:tr w:rsidR="00D57A7F" w:rsidRPr="004A3A57" w14:paraId="2C2BF492" w14:textId="77777777" w:rsidTr="00224370">
      <w:tc>
        <w:tcPr>
          <w:tcW w:w="7947" w:type="dxa"/>
          <w:shd w:val="clear" w:color="auto" w:fill="auto"/>
        </w:tcPr>
        <w:p w14:paraId="37D10541" w14:textId="104B8096" w:rsidR="00D57A7F" w:rsidRPr="004A3A57" w:rsidRDefault="00D57A7F" w:rsidP="004A3A57">
          <w:pPr>
            <w:pStyle w:val="Plattetekst"/>
            <w:spacing w:line="360" w:lineRule="auto"/>
            <w:ind w:right="-42"/>
            <w:jc w:val="right"/>
            <w:rPr>
              <w:rFonts w:ascii="Arial" w:hAnsi="Arial" w:cs="Arial"/>
              <w:spacing w:val="-4"/>
              <w:sz w:val="16"/>
            </w:rPr>
          </w:pPr>
          <w:r>
            <w:rPr>
              <w:rFonts w:ascii="Arial" w:hAnsi="Arial" w:cs="Arial"/>
              <w:sz w:val="16"/>
              <w:lang w:val="en-GB"/>
            </w:rPr>
            <w:t>Wages Special 2019</w:t>
          </w:r>
        </w:p>
      </w:tc>
      <w:tc>
        <w:tcPr>
          <w:tcW w:w="1267" w:type="dxa"/>
          <w:shd w:val="clear" w:color="auto" w:fill="auto"/>
        </w:tcPr>
        <w:p w14:paraId="68C36CA5" w14:textId="2DA11DB8" w:rsidR="00D57A7F" w:rsidRPr="004A3A57" w:rsidRDefault="00D57A7F" w:rsidP="00D57A7F">
          <w:pPr>
            <w:pStyle w:val="Plattetekst"/>
            <w:spacing w:line="360" w:lineRule="auto"/>
            <w:ind w:right="-42"/>
            <w:jc w:val="center"/>
            <w:rPr>
              <w:rFonts w:ascii="Arial" w:hAnsi="Arial" w:cs="Arial"/>
              <w:spacing w:val="-4"/>
              <w:sz w:val="16"/>
            </w:rPr>
          </w:pPr>
          <w:r>
            <w:rPr>
              <w:rFonts w:ascii="Arial" w:hAnsi="Arial" w:cs="Arial"/>
              <w:sz w:val="16"/>
              <w:lang w:val="en-GB"/>
            </w:rPr>
            <w:t xml:space="preserve">Page </w:t>
          </w:r>
          <w:r>
            <w:rPr>
              <w:rFonts w:ascii="Arial" w:hAnsi="Arial" w:cs="Arial"/>
              <w:sz w:val="16"/>
              <w:lang w:val="en-GB"/>
            </w:rPr>
            <w:fldChar w:fldCharType="begin"/>
          </w:r>
          <w:r>
            <w:rPr>
              <w:rFonts w:ascii="Arial" w:hAnsi="Arial" w:cs="Arial"/>
              <w:sz w:val="16"/>
              <w:lang w:val="en-GB"/>
            </w:rPr>
            <w:instrText xml:space="preserve"> PAGE </w:instrText>
          </w:r>
          <w:r>
            <w:rPr>
              <w:rFonts w:ascii="Arial" w:hAnsi="Arial" w:cs="Arial"/>
              <w:sz w:val="16"/>
              <w:lang w:val="en-GB"/>
            </w:rPr>
            <w:fldChar w:fldCharType="separate"/>
          </w:r>
          <w:r w:rsidR="007164CA">
            <w:rPr>
              <w:rFonts w:ascii="Arial" w:hAnsi="Arial" w:cs="Arial"/>
              <w:noProof/>
              <w:sz w:val="16"/>
              <w:lang w:val="en-GB"/>
            </w:rPr>
            <w:t>2</w:t>
          </w:r>
          <w:r>
            <w:rPr>
              <w:rFonts w:ascii="Arial" w:hAnsi="Arial" w:cs="Arial"/>
              <w:sz w:val="16"/>
              <w:lang w:val="en-GB"/>
            </w:rPr>
            <w:fldChar w:fldCharType="end"/>
          </w:r>
          <w:r>
            <w:rPr>
              <w:rFonts w:ascii="Arial" w:hAnsi="Arial" w:cs="Arial"/>
              <w:sz w:val="16"/>
              <w:lang w:val="en-GB"/>
            </w:rPr>
            <w:t xml:space="preserve"> of </w:t>
          </w:r>
          <w:r>
            <w:rPr>
              <w:rFonts w:ascii="Arial" w:hAnsi="Arial" w:cs="Arial"/>
              <w:sz w:val="16"/>
              <w:lang w:val="en-GB"/>
            </w:rPr>
            <w:fldChar w:fldCharType="begin"/>
          </w:r>
          <w:r>
            <w:rPr>
              <w:rFonts w:ascii="Arial" w:hAnsi="Arial" w:cs="Arial"/>
              <w:sz w:val="16"/>
              <w:lang w:val="en-GB"/>
            </w:rPr>
            <w:instrText xml:space="preserve"> NUMPAGES </w:instrText>
          </w:r>
          <w:r>
            <w:rPr>
              <w:rFonts w:ascii="Arial" w:hAnsi="Arial" w:cs="Arial"/>
              <w:sz w:val="16"/>
              <w:lang w:val="en-GB"/>
            </w:rPr>
            <w:fldChar w:fldCharType="separate"/>
          </w:r>
          <w:r w:rsidR="007164CA">
            <w:rPr>
              <w:rFonts w:ascii="Arial" w:hAnsi="Arial" w:cs="Arial"/>
              <w:noProof/>
              <w:sz w:val="16"/>
              <w:lang w:val="en-GB"/>
            </w:rPr>
            <w:t>28</w:t>
          </w:r>
          <w:r>
            <w:rPr>
              <w:rFonts w:ascii="Arial" w:hAnsi="Arial" w:cs="Arial"/>
              <w:sz w:val="16"/>
              <w:lang w:val="en-GB"/>
            </w:rPr>
            <w:fldChar w:fldCharType="end"/>
          </w:r>
        </w:p>
      </w:tc>
    </w:tr>
  </w:tbl>
  <w:p w14:paraId="2D525DD5" w14:textId="77777777" w:rsidR="00D57A7F" w:rsidRDefault="00D57A7F" w:rsidP="008658F9">
    <w:pPr>
      <w:pStyle w:val="Voettekst"/>
      <w:tabs>
        <w:tab w:val="clear" w:pos="4536"/>
        <w:tab w:val="clear" w:pos="9072"/>
        <w:tab w:val="left" w:pos="183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EB9CD" w14:textId="77777777" w:rsidR="00D57A7F" w:rsidRDefault="00D57A7F">
      <w:r>
        <w:separator/>
      </w:r>
    </w:p>
  </w:footnote>
  <w:footnote w:type="continuationSeparator" w:id="0">
    <w:p w14:paraId="44B4CB11" w14:textId="77777777" w:rsidR="00D57A7F" w:rsidRDefault="00D57A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EA454" w14:textId="77777777" w:rsidR="00D57A7F" w:rsidRDefault="00D57A7F">
    <w:pPr>
      <w:pStyle w:val="Koptekst"/>
    </w:pPr>
    <w:r>
      <w:rPr>
        <w:noProof/>
        <w:lang w:val="en-GB"/>
      </w:rPr>
      <w:pict w14:anchorId="78A15E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0" type="#_x0000_t136" style="position:absolute;margin-left:0;margin-top:0;width:497.4pt;height:142.1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EA90F" w14:textId="77777777" w:rsidR="00D57A7F" w:rsidRDefault="00D57A7F" w:rsidP="00D57A7F">
    <w:pPr>
      <w:pStyle w:val="Koptekst"/>
      <w:tabs>
        <w:tab w:val="clear" w:pos="4536"/>
        <w:tab w:val="clear" w:pos="9072"/>
      </w:tabs>
      <w:jc w:val="right"/>
      <w:rPr>
        <w:rFonts w:cs="Arial"/>
        <w:sz w:val="16"/>
        <w:szCs w:val="16"/>
      </w:rPr>
    </w:pPr>
    <w:r>
      <w:rPr>
        <w:noProof/>
      </w:rPr>
      <w:drawing>
        <wp:anchor distT="0" distB="0" distL="114300" distR="114300" simplePos="0" relativeHeight="251659776" behindDoc="1" locked="0" layoutInCell="1" allowOverlap="1" wp14:anchorId="12D889AE" wp14:editId="18269AE6">
          <wp:simplePos x="0" y="0"/>
          <wp:positionH relativeFrom="page">
            <wp:posOffset>899160</wp:posOffset>
          </wp:positionH>
          <wp:positionV relativeFrom="page">
            <wp:posOffset>487680</wp:posOffset>
          </wp:positionV>
          <wp:extent cx="723900" cy="600075"/>
          <wp:effectExtent l="0" t="0" r="0" b="9525"/>
          <wp:wrapNone/>
          <wp:docPr id="4" name="Afbeelding 4" descr="sra_logo_pa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ra_logo_paar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CC5BD0" w14:textId="77777777" w:rsidR="00D57A7F" w:rsidRPr="00D57A7F" w:rsidRDefault="00D57A7F" w:rsidP="00D57A7F">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25E10" w14:textId="77777777" w:rsidR="00D57A7F" w:rsidRDefault="00D57A7F">
    <w:pPr>
      <w:pStyle w:val="Koptekst"/>
    </w:pPr>
    <w:r>
      <w:rPr>
        <w:noProof/>
        <w:lang w:val="en-GB"/>
      </w:rPr>
      <w:pict w14:anchorId="550D96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49" type="#_x0000_t136" style="position:absolute;margin-left:0;margin-top:0;width:497.4pt;height:142.1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CBC59BA"/>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3C95AB9"/>
    <w:multiLevelType w:val="hybridMultilevel"/>
    <w:tmpl w:val="8DCA27E4"/>
    <w:lvl w:ilvl="0" w:tplc="BEA40BC2">
      <w:start w:val="1"/>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1F421C"/>
    <w:multiLevelType w:val="hybridMultilevel"/>
    <w:tmpl w:val="AD6ED78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B971E7"/>
    <w:multiLevelType w:val="hybridMultilevel"/>
    <w:tmpl w:val="2E42E54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EF0CE1"/>
    <w:multiLevelType w:val="hybridMultilevel"/>
    <w:tmpl w:val="A00099E0"/>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295A53"/>
    <w:multiLevelType w:val="hybridMultilevel"/>
    <w:tmpl w:val="F24004B0"/>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9EC6B50"/>
    <w:multiLevelType w:val="hybridMultilevel"/>
    <w:tmpl w:val="3702B6F2"/>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1A3867"/>
    <w:multiLevelType w:val="hybridMultilevel"/>
    <w:tmpl w:val="708620B6"/>
    <w:lvl w:ilvl="0" w:tplc="27FA2F74">
      <w:start w:val="1"/>
      <w:numFmt w:val="bullet"/>
      <w:pStyle w:val="Opsommingmetzwartblokjeniveau1"/>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1F6CC8"/>
    <w:multiLevelType w:val="hybridMultilevel"/>
    <w:tmpl w:val="50CAC974"/>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8704602"/>
    <w:multiLevelType w:val="hybridMultilevel"/>
    <w:tmpl w:val="D18687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BC34004"/>
    <w:multiLevelType w:val="hybridMultilevel"/>
    <w:tmpl w:val="63A2CFF0"/>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EBD74CB"/>
    <w:multiLevelType w:val="hybridMultilevel"/>
    <w:tmpl w:val="FB14EB7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1863F07"/>
    <w:multiLevelType w:val="hybridMultilevel"/>
    <w:tmpl w:val="88C46DA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7871B4F"/>
    <w:multiLevelType w:val="multilevel"/>
    <w:tmpl w:val="67EADA46"/>
    <w:lvl w:ilvl="0">
      <w:start w:val="1"/>
      <w:numFmt w:val="decimal"/>
      <w:pStyle w:val="Kop1"/>
      <w:lvlText w:val="%1"/>
      <w:lvlJc w:val="left"/>
      <w:pPr>
        <w:tabs>
          <w:tab w:val="num" w:pos="432"/>
        </w:tabs>
        <w:ind w:left="432" w:hanging="432"/>
      </w:pPr>
      <w:rPr>
        <w:rFonts w:hint="default"/>
        <w:sz w:val="28"/>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1260"/>
        </w:tabs>
        <w:ind w:left="126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52057AD"/>
    <w:multiLevelType w:val="hybridMultilevel"/>
    <w:tmpl w:val="6B2CD24C"/>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80017F5"/>
    <w:multiLevelType w:val="hybridMultilevel"/>
    <w:tmpl w:val="B01A5B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8281DD2"/>
    <w:multiLevelType w:val="hybridMultilevel"/>
    <w:tmpl w:val="B2DE7D2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8C8578C"/>
    <w:multiLevelType w:val="hybridMultilevel"/>
    <w:tmpl w:val="DB420228"/>
    <w:lvl w:ilvl="0" w:tplc="04130005">
      <w:start w:val="1"/>
      <w:numFmt w:val="bullet"/>
      <w:lvlText w:val=""/>
      <w:lvlJc w:val="left"/>
      <w:pPr>
        <w:ind w:left="2140" w:hanging="360"/>
      </w:pPr>
      <w:rPr>
        <w:rFonts w:ascii="Wingdings" w:hAnsi="Wingdings" w:hint="default"/>
      </w:rPr>
    </w:lvl>
    <w:lvl w:ilvl="1" w:tplc="04130003" w:tentative="1">
      <w:start w:val="1"/>
      <w:numFmt w:val="bullet"/>
      <w:lvlText w:val="o"/>
      <w:lvlJc w:val="left"/>
      <w:pPr>
        <w:ind w:left="2860" w:hanging="360"/>
      </w:pPr>
      <w:rPr>
        <w:rFonts w:ascii="Courier New" w:hAnsi="Courier New" w:cs="Courier New" w:hint="default"/>
      </w:rPr>
    </w:lvl>
    <w:lvl w:ilvl="2" w:tplc="04130005" w:tentative="1">
      <w:start w:val="1"/>
      <w:numFmt w:val="bullet"/>
      <w:lvlText w:val=""/>
      <w:lvlJc w:val="left"/>
      <w:pPr>
        <w:ind w:left="3580" w:hanging="360"/>
      </w:pPr>
      <w:rPr>
        <w:rFonts w:ascii="Wingdings" w:hAnsi="Wingdings" w:hint="default"/>
      </w:rPr>
    </w:lvl>
    <w:lvl w:ilvl="3" w:tplc="04130001" w:tentative="1">
      <w:start w:val="1"/>
      <w:numFmt w:val="bullet"/>
      <w:lvlText w:val=""/>
      <w:lvlJc w:val="left"/>
      <w:pPr>
        <w:ind w:left="4300" w:hanging="360"/>
      </w:pPr>
      <w:rPr>
        <w:rFonts w:ascii="Symbol" w:hAnsi="Symbol" w:hint="default"/>
      </w:rPr>
    </w:lvl>
    <w:lvl w:ilvl="4" w:tplc="04130003" w:tentative="1">
      <w:start w:val="1"/>
      <w:numFmt w:val="bullet"/>
      <w:lvlText w:val="o"/>
      <w:lvlJc w:val="left"/>
      <w:pPr>
        <w:ind w:left="5020" w:hanging="360"/>
      </w:pPr>
      <w:rPr>
        <w:rFonts w:ascii="Courier New" w:hAnsi="Courier New" w:cs="Courier New" w:hint="default"/>
      </w:rPr>
    </w:lvl>
    <w:lvl w:ilvl="5" w:tplc="04130005" w:tentative="1">
      <w:start w:val="1"/>
      <w:numFmt w:val="bullet"/>
      <w:lvlText w:val=""/>
      <w:lvlJc w:val="left"/>
      <w:pPr>
        <w:ind w:left="5740" w:hanging="360"/>
      </w:pPr>
      <w:rPr>
        <w:rFonts w:ascii="Wingdings" w:hAnsi="Wingdings" w:hint="default"/>
      </w:rPr>
    </w:lvl>
    <w:lvl w:ilvl="6" w:tplc="04130001" w:tentative="1">
      <w:start w:val="1"/>
      <w:numFmt w:val="bullet"/>
      <w:lvlText w:val=""/>
      <w:lvlJc w:val="left"/>
      <w:pPr>
        <w:ind w:left="6460" w:hanging="360"/>
      </w:pPr>
      <w:rPr>
        <w:rFonts w:ascii="Symbol" w:hAnsi="Symbol" w:hint="default"/>
      </w:rPr>
    </w:lvl>
    <w:lvl w:ilvl="7" w:tplc="04130003" w:tentative="1">
      <w:start w:val="1"/>
      <w:numFmt w:val="bullet"/>
      <w:lvlText w:val="o"/>
      <w:lvlJc w:val="left"/>
      <w:pPr>
        <w:ind w:left="7180" w:hanging="360"/>
      </w:pPr>
      <w:rPr>
        <w:rFonts w:ascii="Courier New" w:hAnsi="Courier New" w:cs="Courier New" w:hint="default"/>
      </w:rPr>
    </w:lvl>
    <w:lvl w:ilvl="8" w:tplc="04130005" w:tentative="1">
      <w:start w:val="1"/>
      <w:numFmt w:val="bullet"/>
      <w:lvlText w:val=""/>
      <w:lvlJc w:val="left"/>
      <w:pPr>
        <w:ind w:left="7900" w:hanging="360"/>
      </w:pPr>
      <w:rPr>
        <w:rFonts w:ascii="Wingdings" w:hAnsi="Wingdings" w:hint="default"/>
      </w:rPr>
    </w:lvl>
  </w:abstractNum>
  <w:abstractNum w:abstractNumId="18" w15:restartNumberingAfterBreak="0">
    <w:nsid w:val="7D643FA6"/>
    <w:multiLevelType w:val="hybridMultilevel"/>
    <w:tmpl w:val="0F429B40"/>
    <w:lvl w:ilvl="0" w:tplc="2EF26FFE">
      <w:start w:val="1"/>
      <w:numFmt w:val="decimal"/>
      <w:lvlRestart w:val="0"/>
      <w:lvlText w:val="%1."/>
      <w:lvlJc w:val="left"/>
      <w:pPr>
        <w:ind w:left="720" w:hanging="363"/>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DC826E2"/>
    <w:multiLevelType w:val="hybridMultilevel"/>
    <w:tmpl w:val="EAFE9B5E"/>
    <w:lvl w:ilvl="0" w:tplc="04130005">
      <w:start w:val="1"/>
      <w:numFmt w:val="bullet"/>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F7E58D4"/>
    <w:multiLevelType w:val="hybridMultilevel"/>
    <w:tmpl w:val="E756801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1"/>
  </w:num>
  <w:num w:numId="4">
    <w:abstractNumId w:val="7"/>
  </w:num>
  <w:num w:numId="5">
    <w:abstractNumId w:val="17"/>
  </w:num>
  <w:num w:numId="6">
    <w:abstractNumId w:val="19"/>
  </w:num>
  <w:num w:numId="7">
    <w:abstractNumId w:val="18"/>
  </w:num>
  <w:num w:numId="8">
    <w:abstractNumId w:val="3"/>
  </w:num>
  <w:num w:numId="9">
    <w:abstractNumId w:val="2"/>
  </w:num>
  <w:num w:numId="10">
    <w:abstractNumId w:val="12"/>
  </w:num>
  <w:num w:numId="11">
    <w:abstractNumId w:val="16"/>
  </w:num>
  <w:num w:numId="12">
    <w:abstractNumId w:val="20"/>
  </w:num>
  <w:num w:numId="13">
    <w:abstractNumId w:val="14"/>
  </w:num>
  <w:num w:numId="14">
    <w:abstractNumId w:val="6"/>
  </w:num>
  <w:num w:numId="15">
    <w:abstractNumId w:val="1"/>
  </w:num>
  <w:num w:numId="16">
    <w:abstractNumId w:val="10"/>
  </w:num>
  <w:num w:numId="17">
    <w:abstractNumId w:val="8"/>
  </w:num>
  <w:num w:numId="18">
    <w:abstractNumId w:val="9"/>
  </w:num>
  <w:num w:numId="19">
    <w:abstractNumId w:val="15"/>
  </w:num>
  <w:num w:numId="20">
    <w:abstractNumId w:val="5"/>
  </w:num>
  <w:num w:numId="2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DA2"/>
    <w:rsid w:val="00006FF5"/>
    <w:rsid w:val="00012D59"/>
    <w:rsid w:val="0001320B"/>
    <w:rsid w:val="000133A5"/>
    <w:rsid w:val="00014D66"/>
    <w:rsid w:val="0001643E"/>
    <w:rsid w:val="000171D7"/>
    <w:rsid w:val="0002305B"/>
    <w:rsid w:val="00025C0B"/>
    <w:rsid w:val="00026E0D"/>
    <w:rsid w:val="00027D4B"/>
    <w:rsid w:val="00030607"/>
    <w:rsid w:val="0003214F"/>
    <w:rsid w:val="00035775"/>
    <w:rsid w:val="00036104"/>
    <w:rsid w:val="0003745D"/>
    <w:rsid w:val="000377C9"/>
    <w:rsid w:val="00041579"/>
    <w:rsid w:val="00041996"/>
    <w:rsid w:val="000437C9"/>
    <w:rsid w:val="00044375"/>
    <w:rsid w:val="0004786C"/>
    <w:rsid w:val="000478DD"/>
    <w:rsid w:val="00050E4A"/>
    <w:rsid w:val="00051275"/>
    <w:rsid w:val="00056992"/>
    <w:rsid w:val="00066557"/>
    <w:rsid w:val="0007577F"/>
    <w:rsid w:val="00075B85"/>
    <w:rsid w:val="000811A0"/>
    <w:rsid w:val="00081C25"/>
    <w:rsid w:val="00083119"/>
    <w:rsid w:val="000839CE"/>
    <w:rsid w:val="00086DCD"/>
    <w:rsid w:val="00090FDE"/>
    <w:rsid w:val="00092218"/>
    <w:rsid w:val="000935D5"/>
    <w:rsid w:val="00093F30"/>
    <w:rsid w:val="0009500C"/>
    <w:rsid w:val="000A4490"/>
    <w:rsid w:val="000A6A8B"/>
    <w:rsid w:val="000B6F4D"/>
    <w:rsid w:val="000C1FBB"/>
    <w:rsid w:val="000C24B0"/>
    <w:rsid w:val="000C2831"/>
    <w:rsid w:val="000D27AE"/>
    <w:rsid w:val="000D33D5"/>
    <w:rsid w:val="000E0369"/>
    <w:rsid w:val="000F1103"/>
    <w:rsid w:val="000F4DB1"/>
    <w:rsid w:val="000F6975"/>
    <w:rsid w:val="001072F6"/>
    <w:rsid w:val="00111F06"/>
    <w:rsid w:val="0011637A"/>
    <w:rsid w:val="00117E70"/>
    <w:rsid w:val="00117ED1"/>
    <w:rsid w:val="00124C12"/>
    <w:rsid w:val="0012602F"/>
    <w:rsid w:val="001269F5"/>
    <w:rsid w:val="00127D02"/>
    <w:rsid w:val="00130EFE"/>
    <w:rsid w:val="00131C79"/>
    <w:rsid w:val="00135F02"/>
    <w:rsid w:val="00140279"/>
    <w:rsid w:val="0014092F"/>
    <w:rsid w:val="0014281A"/>
    <w:rsid w:val="00144185"/>
    <w:rsid w:val="00153582"/>
    <w:rsid w:val="00157433"/>
    <w:rsid w:val="00167602"/>
    <w:rsid w:val="00167FC3"/>
    <w:rsid w:val="00174C14"/>
    <w:rsid w:val="00176168"/>
    <w:rsid w:val="00182A77"/>
    <w:rsid w:val="00184D48"/>
    <w:rsid w:val="0018570B"/>
    <w:rsid w:val="00193549"/>
    <w:rsid w:val="001A189B"/>
    <w:rsid w:val="001A2ACF"/>
    <w:rsid w:val="001A474A"/>
    <w:rsid w:val="001A680D"/>
    <w:rsid w:val="001A7FAB"/>
    <w:rsid w:val="001B49FF"/>
    <w:rsid w:val="001C29BE"/>
    <w:rsid w:val="001C561D"/>
    <w:rsid w:val="001D0107"/>
    <w:rsid w:val="001D3C77"/>
    <w:rsid w:val="001D728F"/>
    <w:rsid w:val="001E00BA"/>
    <w:rsid w:val="001E1510"/>
    <w:rsid w:val="001E461B"/>
    <w:rsid w:val="001E4837"/>
    <w:rsid w:val="001E565E"/>
    <w:rsid w:val="001F06DA"/>
    <w:rsid w:val="002054E3"/>
    <w:rsid w:val="00206B7A"/>
    <w:rsid w:val="00206F47"/>
    <w:rsid w:val="002112C1"/>
    <w:rsid w:val="002125EE"/>
    <w:rsid w:val="00220A59"/>
    <w:rsid w:val="00222E02"/>
    <w:rsid w:val="00224234"/>
    <w:rsid w:val="00224370"/>
    <w:rsid w:val="0022510C"/>
    <w:rsid w:val="0022650C"/>
    <w:rsid w:val="002278AD"/>
    <w:rsid w:val="00230F20"/>
    <w:rsid w:val="002321C7"/>
    <w:rsid w:val="00233A5F"/>
    <w:rsid w:val="002340E0"/>
    <w:rsid w:val="002360F5"/>
    <w:rsid w:val="0024139C"/>
    <w:rsid w:val="0024621A"/>
    <w:rsid w:val="00246D0B"/>
    <w:rsid w:val="002471EC"/>
    <w:rsid w:val="00255304"/>
    <w:rsid w:val="00262252"/>
    <w:rsid w:val="0026648B"/>
    <w:rsid w:val="00266E9E"/>
    <w:rsid w:val="00273F77"/>
    <w:rsid w:val="00275ECC"/>
    <w:rsid w:val="002763EE"/>
    <w:rsid w:val="00276D3D"/>
    <w:rsid w:val="00281245"/>
    <w:rsid w:val="002812B7"/>
    <w:rsid w:val="002837A6"/>
    <w:rsid w:val="002901AA"/>
    <w:rsid w:val="00293FC4"/>
    <w:rsid w:val="002A505C"/>
    <w:rsid w:val="002A61C0"/>
    <w:rsid w:val="002B3BE2"/>
    <w:rsid w:val="002B590E"/>
    <w:rsid w:val="002B5D3E"/>
    <w:rsid w:val="002B6BA5"/>
    <w:rsid w:val="002B7027"/>
    <w:rsid w:val="002C1599"/>
    <w:rsid w:val="002C48F1"/>
    <w:rsid w:val="002C677A"/>
    <w:rsid w:val="002D3EEA"/>
    <w:rsid w:val="002D6B06"/>
    <w:rsid w:val="002E1A55"/>
    <w:rsid w:val="002E1F73"/>
    <w:rsid w:val="002E37BE"/>
    <w:rsid w:val="002E5424"/>
    <w:rsid w:val="002F2215"/>
    <w:rsid w:val="002F7843"/>
    <w:rsid w:val="002F78F3"/>
    <w:rsid w:val="002F7B88"/>
    <w:rsid w:val="003019E9"/>
    <w:rsid w:val="00307F38"/>
    <w:rsid w:val="00312EBC"/>
    <w:rsid w:val="00320768"/>
    <w:rsid w:val="00320DB6"/>
    <w:rsid w:val="003214D8"/>
    <w:rsid w:val="00322AD9"/>
    <w:rsid w:val="00325966"/>
    <w:rsid w:val="00326BA6"/>
    <w:rsid w:val="00326DF9"/>
    <w:rsid w:val="00327A57"/>
    <w:rsid w:val="0033107A"/>
    <w:rsid w:val="00331248"/>
    <w:rsid w:val="00341F55"/>
    <w:rsid w:val="00346271"/>
    <w:rsid w:val="00346645"/>
    <w:rsid w:val="003508DE"/>
    <w:rsid w:val="0035526C"/>
    <w:rsid w:val="0036444B"/>
    <w:rsid w:val="00370020"/>
    <w:rsid w:val="00370859"/>
    <w:rsid w:val="003715D3"/>
    <w:rsid w:val="00372FD5"/>
    <w:rsid w:val="00373766"/>
    <w:rsid w:val="00374D6C"/>
    <w:rsid w:val="00377EFE"/>
    <w:rsid w:val="00381449"/>
    <w:rsid w:val="00382FB8"/>
    <w:rsid w:val="003856D9"/>
    <w:rsid w:val="0039089F"/>
    <w:rsid w:val="00391757"/>
    <w:rsid w:val="0039387A"/>
    <w:rsid w:val="00396602"/>
    <w:rsid w:val="003A1712"/>
    <w:rsid w:val="003A52AD"/>
    <w:rsid w:val="003A5E08"/>
    <w:rsid w:val="003A74D3"/>
    <w:rsid w:val="003A78BB"/>
    <w:rsid w:val="003A7E3D"/>
    <w:rsid w:val="003C28EC"/>
    <w:rsid w:val="003C3B2E"/>
    <w:rsid w:val="003C3F6A"/>
    <w:rsid w:val="003D07A5"/>
    <w:rsid w:val="003D1152"/>
    <w:rsid w:val="003E0A9C"/>
    <w:rsid w:val="003E3C05"/>
    <w:rsid w:val="003E4BB0"/>
    <w:rsid w:val="003F490D"/>
    <w:rsid w:val="00401A5F"/>
    <w:rsid w:val="004022A1"/>
    <w:rsid w:val="004044F2"/>
    <w:rsid w:val="0041168F"/>
    <w:rsid w:val="00412D91"/>
    <w:rsid w:val="004168F6"/>
    <w:rsid w:val="00420C05"/>
    <w:rsid w:val="00420CF0"/>
    <w:rsid w:val="00420E2B"/>
    <w:rsid w:val="0042414E"/>
    <w:rsid w:val="004324E4"/>
    <w:rsid w:val="00435B85"/>
    <w:rsid w:val="00440A91"/>
    <w:rsid w:val="00444AC8"/>
    <w:rsid w:val="004506E2"/>
    <w:rsid w:val="00454540"/>
    <w:rsid w:val="0045677C"/>
    <w:rsid w:val="00456F40"/>
    <w:rsid w:val="004630D1"/>
    <w:rsid w:val="00463EF5"/>
    <w:rsid w:val="00471485"/>
    <w:rsid w:val="0047334E"/>
    <w:rsid w:val="004746E7"/>
    <w:rsid w:val="004773F2"/>
    <w:rsid w:val="004776FF"/>
    <w:rsid w:val="004779AB"/>
    <w:rsid w:val="00481AF8"/>
    <w:rsid w:val="004874A6"/>
    <w:rsid w:val="00490559"/>
    <w:rsid w:val="0049124B"/>
    <w:rsid w:val="00495429"/>
    <w:rsid w:val="0049770C"/>
    <w:rsid w:val="0049772B"/>
    <w:rsid w:val="004A0501"/>
    <w:rsid w:val="004A3A57"/>
    <w:rsid w:val="004A5428"/>
    <w:rsid w:val="004A6BC4"/>
    <w:rsid w:val="004A77ED"/>
    <w:rsid w:val="004B21E9"/>
    <w:rsid w:val="004B58BA"/>
    <w:rsid w:val="004C102D"/>
    <w:rsid w:val="004C7AA5"/>
    <w:rsid w:val="004D4DAF"/>
    <w:rsid w:val="004D6734"/>
    <w:rsid w:val="004D6B3E"/>
    <w:rsid w:val="004D7680"/>
    <w:rsid w:val="004D7AD6"/>
    <w:rsid w:val="004E5E82"/>
    <w:rsid w:val="004E6041"/>
    <w:rsid w:val="004F5F1F"/>
    <w:rsid w:val="00503021"/>
    <w:rsid w:val="00503609"/>
    <w:rsid w:val="00512A43"/>
    <w:rsid w:val="0052190F"/>
    <w:rsid w:val="00525B1E"/>
    <w:rsid w:val="00526137"/>
    <w:rsid w:val="0053500D"/>
    <w:rsid w:val="00535171"/>
    <w:rsid w:val="00535AE5"/>
    <w:rsid w:val="00535E8C"/>
    <w:rsid w:val="00541CC1"/>
    <w:rsid w:val="0054438A"/>
    <w:rsid w:val="005469BD"/>
    <w:rsid w:val="005475A5"/>
    <w:rsid w:val="00550281"/>
    <w:rsid w:val="005505AA"/>
    <w:rsid w:val="00552FD1"/>
    <w:rsid w:val="00564C28"/>
    <w:rsid w:val="00571AD3"/>
    <w:rsid w:val="00573341"/>
    <w:rsid w:val="00574710"/>
    <w:rsid w:val="00575956"/>
    <w:rsid w:val="00582842"/>
    <w:rsid w:val="00584807"/>
    <w:rsid w:val="005966C4"/>
    <w:rsid w:val="005A474C"/>
    <w:rsid w:val="005A4C0B"/>
    <w:rsid w:val="005A4C6C"/>
    <w:rsid w:val="005A5EDF"/>
    <w:rsid w:val="005A70F3"/>
    <w:rsid w:val="005A78DD"/>
    <w:rsid w:val="005B0288"/>
    <w:rsid w:val="005B2B7D"/>
    <w:rsid w:val="005B5D24"/>
    <w:rsid w:val="005B733C"/>
    <w:rsid w:val="005C7335"/>
    <w:rsid w:val="005C76A5"/>
    <w:rsid w:val="005D2F8A"/>
    <w:rsid w:val="005D368C"/>
    <w:rsid w:val="005D36F4"/>
    <w:rsid w:val="005E48D5"/>
    <w:rsid w:val="005E6D7B"/>
    <w:rsid w:val="005F10AF"/>
    <w:rsid w:val="005F290F"/>
    <w:rsid w:val="005F2A7B"/>
    <w:rsid w:val="005F5A4B"/>
    <w:rsid w:val="006049E7"/>
    <w:rsid w:val="00605161"/>
    <w:rsid w:val="00614506"/>
    <w:rsid w:val="006165A0"/>
    <w:rsid w:val="0061769A"/>
    <w:rsid w:val="00620E5F"/>
    <w:rsid w:val="0062742B"/>
    <w:rsid w:val="00635113"/>
    <w:rsid w:val="006355A1"/>
    <w:rsid w:val="006362A4"/>
    <w:rsid w:val="00637301"/>
    <w:rsid w:val="006417A8"/>
    <w:rsid w:val="00642DF7"/>
    <w:rsid w:val="0064424E"/>
    <w:rsid w:val="00644DAC"/>
    <w:rsid w:val="006472FC"/>
    <w:rsid w:val="00655DE5"/>
    <w:rsid w:val="00661057"/>
    <w:rsid w:val="00663565"/>
    <w:rsid w:val="00663AA8"/>
    <w:rsid w:val="006663D1"/>
    <w:rsid w:val="006671DD"/>
    <w:rsid w:val="00671B68"/>
    <w:rsid w:val="00672D66"/>
    <w:rsid w:val="00676D17"/>
    <w:rsid w:val="006810FA"/>
    <w:rsid w:val="006811AC"/>
    <w:rsid w:val="006816CD"/>
    <w:rsid w:val="00682BFE"/>
    <w:rsid w:val="00693E2B"/>
    <w:rsid w:val="00694CCE"/>
    <w:rsid w:val="006967DF"/>
    <w:rsid w:val="0069746F"/>
    <w:rsid w:val="006A537C"/>
    <w:rsid w:val="006C0875"/>
    <w:rsid w:val="006C2D44"/>
    <w:rsid w:val="006C3851"/>
    <w:rsid w:val="006C3ADC"/>
    <w:rsid w:val="006C5D6E"/>
    <w:rsid w:val="006C5EB5"/>
    <w:rsid w:val="006D276E"/>
    <w:rsid w:val="006D2C89"/>
    <w:rsid w:val="006D3F2E"/>
    <w:rsid w:val="006D4E57"/>
    <w:rsid w:val="006E4CAA"/>
    <w:rsid w:val="006F3651"/>
    <w:rsid w:val="006F4CE6"/>
    <w:rsid w:val="006F7EC3"/>
    <w:rsid w:val="00700217"/>
    <w:rsid w:val="007010B1"/>
    <w:rsid w:val="00710506"/>
    <w:rsid w:val="00714A04"/>
    <w:rsid w:val="007164CA"/>
    <w:rsid w:val="007166AB"/>
    <w:rsid w:val="00716B5F"/>
    <w:rsid w:val="00717D85"/>
    <w:rsid w:val="0072604A"/>
    <w:rsid w:val="00734973"/>
    <w:rsid w:val="00740AA2"/>
    <w:rsid w:val="0074129E"/>
    <w:rsid w:val="00741324"/>
    <w:rsid w:val="00741E6D"/>
    <w:rsid w:val="00741FFB"/>
    <w:rsid w:val="00743B8E"/>
    <w:rsid w:val="007441A9"/>
    <w:rsid w:val="007465BB"/>
    <w:rsid w:val="00750F45"/>
    <w:rsid w:val="007517CF"/>
    <w:rsid w:val="00753666"/>
    <w:rsid w:val="00766639"/>
    <w:rsid w:val="00767024"/>
    <w:rsid w:val="0077029A"/>
    <w:rsid w:val="007761D3"/>
    <w:rsid w:val="007778D0"/>
    <w:rsid w:val="00780D63"/>
    <w:rsid w:val="00781CD6"/>
    <w:rsid w:val="007837DD"/>
    <w:rsid w:val="00783891"/>
    <w:rsid w:val="00787529"/>
    <w:rsid w:val="00790587"/>
    <w:rsid w:val="0079460C"/>
    <w:rsid w:val="0079468C"/>
    <w:rsid w:val="00796F39"/>
    <w:rsid w:val="007A1512"/>
    <w:rsid w:val="007A39E7"/>
    <w:rsid w:val="007A3D96"/>
    <w:rsid w:val="007A425B"/>
    <w:rsid w:val="007A7D98"/>
    <w:rsid w:val="007B1D91"/>
    <w:rsid w:val="007B392C"/>
    <w:rsid w:val="007B7480"/>
    <w:rsid w:val="007C1D67"/>
    <w:rsid w:val="007C1DD0"/>
    <w:rsid w:val="007C1DF4"/>
    <w:rsid w:val="007C34E7"/>
    <w:rsid w:val="007C377E"/>
    <w:rsid w:val="007C3CAF"/>
    <w:rsid w:val="007D137D"/>
    <w:rsid w:val="007D5261"/>
    <w:rsid w:val="007D7BE7"/>
    <w:rsid w:val="007E3813"/>
    <w:rsid w:val="007E5714"/>
    <w:rsid w:val="007E5EBC"/>
    <w:rsid w:val="007F3C4E"/>
    <w:rsid w:val="007F7131"/>
    <w:rsid w:val="0080429C"/>
    <w:rsid w:val="00805125"/>
    <w:rsid w:val="008130D4"/>
    <w:rsid w:val="0081567C"/>
    <w:rsid w:val="00815BB2"/>
    <w:rsid w:val="00816E00"/>
    <w:rsid w:val="00817C15"/>
    <w:rsid w:val="008200EA"/>
    <w:rsid w:val="00821690"/>
    <w:rsid w:val="00822964"/>
    <w:rsid w:val="008243F1"/>
    <w:rsid w:val="00827046"/>
    <w:rsid w:val="008304D5"/>
    <w:rsid w:val="00834152"/>
    <w:rsid w:val="008367D9"/>
    <w:rsid w:val="00837F31"/>
    <w:rsid w:val="008400AA"/>
    <w:rsid w:val="008453C0"/>
    <w:rsid w:val="00846EB6"/>
    <w:rsid w:val="00846ECB"/>
    <w:rsid w:val="00851E0C"/>
    <w:rsid w:val="008609DC"/>
    <w:rsid w:val="0086186B"/>
    <w:rsid w:val="00862827"/>
    <w:rsid w:val="008658F9"/>
    <w:rsid w:val="00865BD9"/>
    <w:rsid w:val="00866D6F"/>
    <w:rsid w:val="00871943"/>
    <w:rsid w:val="00871BEF"/>
    <w:rsid w:val="0087503A"/>
    <w:rsid w:val="0088055B"/>
    <w:rsid w:val="00882AF2"/>
    <w:rsid w:val="008877C6"/>
    <w:rsid w:val="0089290E"/>
    <w:rsid w:val="00892ED8"/>
    <w:rsid w:val="008937B1"/>
    <w:rsid w:val="00895970"/>
    <w:rsid w:val="00896370"/>
    <w:rsid w:val="008A22EA"/>
    <w:rsid w:val="008A41D5"/>
    <w:rsid w:val="008A560C"/>
    <w:rsid w:val="008B236F"/>
    <w:rsid w:val="008B5774"/>
    <w:rsid w:val="008B6F39"/>
    <w:rsid w:val="008B7B79"/>
    <w:rsid w:val="008C0A62"/>
    <w:rsid w:val="008C3DE9"/>
    <w:rsid w:val="008C40B2"/>
    <w:rsid w:val="008C58FF"/>
    <w:rsid w:val="008D2354"/>
    <w:rsid w:val="008D49E6"/>
    <w:rsid w:val="008E130C"/>
    <w:rsid w:val="008E1999"/>
    <w:rsid w:val="008F0558"/>
    <w:rsid w:val="008F1D63"/>
    <w:rsid w:val="008F1F57"/>
    <w:rsid w:val="008F7E0C"/>
    <w:rsid w:val="00900FE1"/>
    <w:rsid w:val="00902AD7"/>
    <w:rsid w:val="00902B65"/>
    <w:rsid w:val="009035E8"/>
    <w:rsid w:val="00904D5B"/>
    <w:rsid w:val="00904F51"/>
    <w:rsid w:val="00907D37"/>
    <w:rsid w:val="00911A42"/>
    <w:rsid w:val="009200DD"/>
    <w:rsid w:val="00921ED1"/>
    <w:rsid w:val="00933191"/>
    <w:rsid w:val="0093682B"/>
    <w:rsid w:val="00943425"/>
    <w:rsid w:val="0095193E"/>
    <w:rsid w:val="00967D12"/>
    <w:rsid w:val="00970DA2"/>
    <w:rsid w:val="00970F86"/>
    <w:rsid w:val="00973BC9"/>
    <w:rsid w:val="00977812"/>
    <w:rsid w:val="009856E8"/>
    <w:rsid w:val="00986E65"/>
    <w:rsid w:val="00986FD2"/>
    <w:rsid w:val="00992510"/>
    <w:rsid w:val="00994FF3"/>
    <w:rsid w:val="00996384"/>
    <w:rsid w:val="0099785B"/>
    <w:rsid w:val="00997BE3"/>
    <w:rsid w:val="009A528A"/>
    <w:rsid w:val="009A58AC"/>
    <w:rsid w:val="009A6874"/>
    <w:rsid w:val="009B008F"/>
    <w:rsid w:val="009B030A"/>
    <w:rsid w:val="009B789C"/>
    <w:rsid w:val="009C25D7"/>
    <w:rsid w:val="009C521C"/>
    <w:rsid w:val="009C6A3D"/>
    <w:rsid w:val="009D37D4"/>
    <w:rsid w:val="009D7A5E"/>
    <w:rsid w:val="009E1EF7"/>
    <w:rsid w:val="009E49E7"/>
    <w:rsid w:val="009E6E21"/>
    <w:rsid w:val="009F030D"/>
    <w:rsid w:val="009F29F3"/>
    <w:rsid w:val="009F63D6"/>
    <w:rsid w:val="00A02BE5"/>
    <w:rsid w:val="00A02F4A"/>
    <w:rsid w:val="00A0411E"/>
    <w:rsid w:val="00A11799"/>
    <w:rsid w:val="00A14C21"/>
    <w:rsid w:val="00A1603F"/>
    <w:rsid w:val="00A1786E"/>
    <w:rsid w:val="00A2105D"/>
    <w:rsid w:val="00A25114"/>
    <w:rsid w:val="00A25B19"/>
    <w:rsid w:val="00A27A0A"/>
    <w:rsid w:val="00A3328E"/>
    <w:rsid w:val="00A34C7F"/>
    <w:rsid w:val="00A3592D"/>
    <w:rsid w:val="00A35BF6"/>
    <w:rsid w:val="00A35E78"/>
    <w:rsid w:val="00A40943"/>
    <w:rsid w:val="00A413F4"/>
    <w:rsid w:val="00A423D2"/>
    <w:rsid w:val="00A42C3B"/>
    <w:rsid w:val="00A501DD"/>
    <w:rsid w:val="00A5098A"/>
    <w:rsid w:val="00A52FD1"/>
    <w:rsid w:val="00A573EF"/>
    <w:rsid w:val="00A6254E"/>
    <w:rsid w:val="00A6541D"/>
    <w:rsid w:val="00A65F9E"/>
    <w:rsid w:val="00A66859"/>
    <w:rsid w:val="00A672BB"/>
    <w:rsid w:val="00A7219C"/>
    <w:rsid w:val="00A72A14"/>
    <w:rsid w:val="00A742EC"/>
    <w:rsid w:val="00A7661A"/>
    <w:rsid w:val="00A7715C"/>
    <w:rsid w:val="00A80D3E"/>
    <w:rsid w:val="00A86178"/>
    <w:rsid w:val="00A90A5F"/>
    <w:rsid w:val="00A92130"/>
    <w:rsid w:val="00A94DFC"/>
    <w:rsid w:val="00A9667E"/>
    <w:rsid w:val="00A97887"/>
    <w:rsid w:val="00AA0B60"/>
    <w:rsid w:val="00AA168F"/>
    <w:rsid w:val="00AA24EC"/>
    <w:rsid w:val="00AA4BD1"/>
    <w:rsid w:val="00AA69AB"/>
    <w:rsid w:val="00AA6D13"/>
    <w:rsid w:val="00AA7A95"/>
    <w:rsid w:val="00AB57F1"/>
    <w:rsid w:val="00AB6A51"/>
    <w:rsid w:val="00AB7224"/>
    <w:rsid w:val="00AB7B10"/>
    <w:rsid w:val="00AC2EA6"/>
    <w:rsid w:val="00AD150B"/>
    <w:rsid w:val="00AE1D65"/>
    <w:rsid w:val="00AE4186"/>
    <w:rsid w:val="00AE527F"/>
    <w:rsid w:val="00AF46FA"/>
    <w:rsid w:val="00AF470E"/>
    <w:rsid w:val="00AF4F16"/>
    <w:rsid w:val="00B00037"/>
    <w:rsid w:val="00B01F10"/>
    <w:rsid w:val="00B071E9"/>
    <w:rsid w:val="00B17058"/>
    <w:rsid w:val="00B211A8"/>
    <w:rsid w:val="00B21C8C"/>
    <w:rsid w:val="00B228EB"/>
    <w:rsid w:val="00B22B9E"/>
    <w:rsid w:val="00B246BE"/>
    <w:rsid w:val="00B24F28"/>
    <w:rsid w:val="00B31988"/>
    <w:rsid w:val="00B354D4"/>
    <w:rsid w:val="00B360C3"/>
    <w:rsid w:val="00B405AF"/>
    <w:rsid w:val="00B40A4E"/>
    <w:rsid w:val="00B46DE4"/>
    <w:rsid w:val="00B51B14"/>
    <w:rsid w:val="00B63AF8"/>
    <w:rsid w:val="00B64EB7"/>
    <w:rsid w:val="00B655E2"/>
    <w:rsid w:val="00B720F0"/>
    <w:rsid w:val="00B73DD0"/>
    <w:rsid w:val="00B761BC"/>
    <w:rsid w:val="00B8081B"/>
    <w:rsid w:val="00B845B5"/>
    <w:rsid w:val="00B84694"/>
    <w:rsid w:val="00B85CF4"/>
    <w:rsid w:val="00B974DF"/>
    <w:rsid w:val="00BA085F"/>
    <w:rsid w:val="00BA4346"/>
    <w:rsid w:val="00BA4BC4"/>
    <w:rsid w:val="00BA52DF"/>
    <w:rsid w:val="00BB21D3"/>
    <w:rsid w:val="00BB3024"/>
    <w:rsid w:val="00BB4498"/>
    <w:rsid w:val="00BB5846"/>
    <w:rsid w:val="00BB6A06"/>
    <w:rsid w:val="00BC674A"/>
    <w:rsid w:val="00BC7347"/>
    <w:rsid w:val="00BD1FA5"/>
    <w:rsid w:val="00BD34B1"/>
    <w:rsid w:val="00BD4543"/>
    <w:rsid w:val="00BE2208"/>
    <w:rsid w:val="00BE2CA8"/>
    <w:rsid w:val="00BE58D9"/>
    <w:rsid w:val="00BF1B98"/>
    <w:rsid w:val="00BF2C04"/>
    <w:rsid w:val="00BF32E5"/>
    <w:rsid w:val="00C04371"/>
    <w:rsid w:val="00C04B19"/>
    <w:rsid w:val="00C06BBA"/>
    <w:rsid w:val="00C07A60"/>
    <w:rsid w:val="00C11EC9"/>
    <w:rsid w:val="00C1286F"/>
    <w:rsid w:val="00C14B2D"/>
    <w:rsid w:val="00C17BAD"/>
    <w:rsid w:val="00C21327"/>
    <w:rsid w:val="00C231C1"/>
    <w:rsid w:val="00C2386B"/>
    <w:rsid w:val="00C23FBC"/>
    <w:rsid w:val="00C241C7"/>
    <w:rsid w:val="00C25677"/>
    <w:rsid w:val="00C25ADD"/>
    <w:rsid w:val="00C276C8"/>
    <w:rsid w:val="00C27E31"/>
    <w:rsid w:val="00C32487"/>
    <w:rsid w:val="00C32BDC"/>
    <w:rsid w:val="00C36298"/>
    <w:rsid w:val="00C4100C"/>
    <w:rsid w:val="00C41AEE"/>
    <w:rsid w:val="00C41E92"/>
    <w:rsid w:val="00C42E53"/>
    <w:rsid w:val="00C506AA"/>
    <w:rsid w:val="00C53373"/>
    <w:rsid w:val="00C57533"/>
    <w:rsid w:val="00C60B01"/>
    <w:rsid w:val="00C60D84"/>
    <w:rsid w:val="00C61B5D"/>
    <w:rsid w:val="00C63088"/>
    <w:rsid w:val="00C6321A"/>
    <w:rsid w:val="00C80C29"/>
    <w:rsid w:val="00C81B72"/>
    <w:rsid w:val="00C837D3"/>
    <w:rsid w:val="00C87FF0"/>
    <w:rsid w:val="00C9076A"/>
    <w:rsid w:val="00C9680F"/>
    <w:rsid w:val="00C96A0D"/>
    <w:rsid w:val="00CA223B"/>
    <w:rsid w:val="00CA5D6F"/>
    <w:rsid w:val="00CB14FC"/>
    <w:rsid w:val="00CB49E0"/>
    <w:rsid w:val="00CB6ECB"/>
    <w:rsid w:val="00CC3C1B"/>
    <w:rsid w:val="00CD1827"/>
    <w:rsid w:val="00CD233F"/>
    <w:rsid w:val="00CD349C"/>
    <w:rsid w:val="00CD5961"/>
    <w:rsid w:val="00CD7BB0"/>
    <w:rsid w:val="00CE40D6"/>
    <w:rsid w:val="00CF0942"/>
    <w:rsid w:val="00CF2643"/>
    <w:rsid w:val="00CF3240"/>
    <w:rsid w:val="00CF3623"/>
    <w:rsid w:val="00CF3964"/>
    <w:rsid w:val="00CF7ACC"/>
    <w:rsid w:val="00D0018B"/>
    <w:rsid w:val="00D0114C"/>
    <w:rsid w:val="00D04815"/>
    <w:rsid w:val="00D04B60"/>
    <w:rsid w:val="00D0779D"/>
    <w:rsid w:val="00D10314"/>
    <w:rsid w:val="00D106C5"/>
    <w:rsid w:val="00D14E9D"/>
    <w:rsid w:val="00D200CE"/>
    <w:rsid w:val="00D2046F"/>
    <w:rsid w:val="00D209BD"/>
    <w:rsid w:val="00D20FE0"/>
    <w:rsid w:val="00D23FAD"/>
    <w:rsid w:val="00D304FA"/>
    <w:rsid w:val="00D31264"/>
    <w:rsid w:val="00D32390"/>
    <w:rsid w:val="00D341A3"/>
    <w:rsid w:val="00D34DEB"/>
    <w:rsid w:val="00D409F0"/>
    <w:rsid w:val="00D42E50"/>
    <w:rsid w:val="00D44A32"/>
    <w:rsid w:val="00D53FDF"/>
    <w:rsid w:val="00D54965"/>
    <w:rsid w:val="00D5776F"/>
    <w:rsid w:val="00D57A7F"/>
    <w:rsid w:val="00D7027F"/>
    <w:rsid w:val="00D706DE"/>
    <w:rsid w:val="00D75523"/>
    <w:rsid w:val="00D7559C"/>
    <w:rsid w:val="00D75925"/>
    <w:rsid w:val="00D76ACB"/>
    <w:rsid w:val="00D774DB"/>
    <w:rsid w:val="00D8366F"/>
    <w:rsid w:val="00D83AB9"/>
    <w:rsid w:val="00D92A20"/>
    <w:rsid w:val="00DA7E1F"/>
    <w:rsid w:val="00DB07D7"/>
    <w:rsid w:val="00DB0B98"/>
    <w:rsid w:val="00DB0DAA"/>
    <w:rsid w:val="00DB1FBF"/>
    <w:rsid w:val="00DB2E52"/>
    <w:rsid w:val="00DB3556"/>
    <w:rsid w:val="00DC00F3"/>
    <w:rsid w:val="00DC20BA"/>
    <w:rsid w:val="00DC2704"/>
    <w:rsid w:val="00DD0D2F"/>
    <w:rsid w:val="00DD3B59"/>
    <w:rsid w:val="00DD4DBE"/>
    <w:rsid w:val="00DD60C1"/>
    <w:rsid w:val="00DE3688"/>
    <w:rsid w:val="00DF060C"/>
    <w:rsid w:val="00DF726F"/>
    <w:rsid w:val="00E0087A"/>
    <w:rsid w:val="00E00A51"/>
    <w:rsid w:val="00E0528C"/>
    <w:rsid w:val="00E07F75"/>
    <w:rsid w:val="00E07FE6"/>
    <w:rsid w:val="00E129CA"/>
    <w:rsid w:val="00E2132E"/>
    <w:rsid w:val="00E25282"/>
    <w:rsid w:val="00E25F68"/>
    <w:rsid w:val="00E30823"/>
    <w:rsid w:val="00E30BF4"/>
    <w:rsid w:val="00E313AB"/>
    <w:rsid w:val="00E3599B"/>
    <w:rsid w:val="00E42CA7"/>
    <w:rsid w:val="00E46C36"/>
    <w:rsid w:val="00E47A47"/>
    <w:rsid w:val="00E52925"/>
    <w:rsid w:val="00E572B0"/>
    <w:rsid w:val="00E629C6"/>
    <w:rsid w:val="00E642AA"/>
    <w:rsid w:val="00E758D1"/>
    <w:rsid w:val="00E774CC"/>
    <w:rsid w:val="00E774F3"/>
    <w:rsid w:val="00E777A8"/>
    <w:rsid w:val="00E809A7"/>
    <w:rsid w:val="00E8107C"/>
    <w:rsid w:val="00E85839"/>
    <w:rsid w:val="00E90D7C"/>
    <w:rsid w:val="00E92003"/>
    <w:rsid w:val="00E9310A"/>
    <w:rsid w:val="00E947C9"/>
    <w:rsid w:val="00EA0970"/>
    <w:rsid w:val="00EA678B"/>
    <w:rsid w:val="00EB03F9"/>
    <w:rsid w:val="00EB1103"/>
    <w:rsid w:val="00EB1162"/>
    <w:rsid w:val="00EB159D"/>
    <w:rsid w:val="00EB3C32"/>
    <w:rsid w:val="00EB57A7"/>
    <w:rsid w:val="00EB5967"/>
    <w:rsid w:val="00EB7078"/>
    <w:rsid w:val="00EC07C3"/>
    <w:rsid w:val="00EC08A8"/>
    <w:rsid w:val="00EC1383"/>
    <w:rsid w:val="00EC6EEB"/>
    <w:rsid w:val="00ED2644"/>
    <w:rsid w:val="00ED28EC"/>
    <w:rsid w:val="00ED4D58"/>
    <w:rsid w:val="00EE2FC7"/>
    <w:rsid w:val="00EE398B"/>
    <w:rsid w:val="00EE4101"/>
    <w:rsid w:val="00EE5906"/>
    <w:rsid w:val="00EF06F1"/>
    <w:rsid w:val="00EF2405"/>
    <w:rsid w:val="00EF74A6"/>
    <w:rsid w:val="00F03D51"/>
    <w:rsid w:val="00F03EAA"/>
    <w:rsid w:val="00F06386"/>
    <w:rsid w:val="00F07E81"/>
    <w:rsid w:val="00F10D5C"/>
    <w:rsid w:val="00F12D21"/>
    <w:rsid w:val="00F13A2C"/>
    <w:rsid w:val="00F13B4A"/>
    <w:rsid w:val="00F15C27"/>
    <w:rsid w:val="00F16DA3"/>
    <w:rsid w:val="00F17DDD"/>
    <w:rsid w:val="00F23EDE"/>
    <w:rsid w:val="00F272F4"/>
    <w:rsid w:val="00F320E1"/>
    <w:rsid w:val="00F35A59"/>
    <w:rsid w:val="00F35A60"/>
    <w:rsid w:val="00F4016C"/>
    <w:rsid w:val="00F43338"/>
    <w:rsid w:val="00F43D49"/>
    <w:rsid w:val="00F43DCC"/>
    <w:rsid w:val="00F45A86"/>
    <w:rsid w:val="00F45D9C"/>
    <w:rsid w:val="00F526C2"/>
    <w:rsid w:val="00F52C32"/>
    <w:rsid w:val="00F546D1"/>
    <w:rsid w:val="00F60F02"/>
    <w:rsid w:val="00F67327"/>
    <w:rsid w:val="00F700CB"/>
    <w:rsid w:val="00F73B93"/>
    <w:rsid w:val="00F75A9A"/>
    <w:rsid w:val="00F76D82"/>
    <w:rsid w:val="00F77830"/>
    <w:rsid w:val="00F77F2C"/>
    <w:rsid w:val="00F803A7"/>
    <w:rsid w:val="00F8334A"/>
    <w:rsid w:val="00F85A33"/>
    <w:rsid w:val="00FA4B00"/>
    <w:rsid w:val="00FA686B"/>
    <w:rsid w:val="00FA6C1E"/>
    <w:rsid w:val="00FB6BA7"/>
    <w:rsid w:val="00FC0883"/>
    <w:rsid w:val="00FC2097"/>
    <w:rsid w:val="00FC2688"/>
    <w:rsid w:val="00FC2A26"/>
    <w:rsid w:val="00FC4235"/>
    <w:rsid w:val="00FC6DCC"/>
    <w:rsid w:val="00FD0297"/>
    <w:rsid w:val="00FD139A"/>
    <w:rsid w:val="00FD1F9E"/>
    <w:rsid w:val="00FD5FC9"/>
    <w:rsid w:val="00FD654C"/>
    <w:rsid w:val="00FD690E"/>
    <w:rsid w:val="00FD7CCB"/>
    <w:rsid w:val="00FF1FC3"/>
    <w:rsid w:val="00FF24C4"/>
    <w:rsid w:val="00FF26CF"/>
    <w:rsid w:val="00FF4268"/>
    <w:rsid w:val="00FF4A6C"/>
    <w:rsid w:val="00FF6C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8191077"/>
  <w15:docId w15:val="{788CCC1F-D2BF-4B30-9B23-35C45837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4424E"/>
    <w:rPr>
      <w:sz w:val="24"/>
      <w:szCs w:val="24"/>
    </w:rPr>
  </w:style>
  <w:style w:type="paragraph" w:styleId="Kop1">
    <w:name w:val="heading 1"/>
    <w:basedOn w:val="Standaard"/>
    <w:next w:val="Standaard"/>
    <w:qFormat/>
    <w:rsid w:val="007D7BE7"/>
    <w:pPr>
      <w:keepNext/>
      <w:numPr>
        <w:numId w:val="1"/>
      </w:numPr>
      <w:tabs>
        <w:tab w:val="left" w:pos="539"/>
      </w:tabs>
      <w:outlineLvl w:val="0"/>
    </w:pPr>
    <w:rPr>
      <w:rFonts w:ascii="Arial" w:hAnsi="Arial"/>
      <w:b/>
      <w:bCs/>
      <w:sz w:val="28"/>
    </w:rPr>
  </w:style>
  <w:style w:type="paragraph" w:styleId="Kop2">
    <w:name w:val="heading 2"/>
    <w:basedOn w:val="Standaard"/>
    <w:next w:val="Standaard"/>
    <w:link w:val="Kop2Char"/>
    <w:qFormat/>
    <w:rsid w:val="007D7BE7"/>
    <w:pPr>
      <w:keepNext/>
      <w:numPr>
        <w:ilvl w:val="1"/>
        <w:numId w:val="1"/>
      </w:numPr>
      <w:tabs>
        <w:tab w:val="left" w:pos="539"/>
      </w:tabs>
      <w:outlineLvl w:val="1"/>
    </w:pPr>
    <w:rPr>
      <w:rFonts w:ascii="Arial" w:hAnsi="Arial"/>
      <w:b/>
      <w:iCs/>
      <w:szCs w:val="22"/>
    </w:rPr>
  </w:style>
  <w:style w:type="paragraph" w:styleId="Kop3">
    <w:name w:val="heading 3"/>
    <w:basedOn w:val="Standaard"/>
    <w:next w:val="Standaard"/>
    <w:qFormat/>
    <w:rsid w:val="007D7BE7"/>
    <w:pPr>
      <w:keepNext/>
      <w:numPr>
        <w:ilvl w:val="2"/>
        <w:numId w:val="1"/>
      </w:numPr>
      <w:tabs>
        <w:tab w:val="left" w:pos="539"/>
      </w:tabs>
      <w:spacing w:before="240" w:after="60"/>
      <w:outlineLvl w:val="2"/>
    </w:pPr>
    <w:rPr>
      <w:rFonts w:ascii="Arial" w:hAnsi="Arial" w:cs="Arial"/>
      <w:b/>
      <w:bCs/>
      <w:sz w:val="20"/>
      <w:szCs w:val="26"/>
    </w:rPr>
  </w:style>
  <w:style w:type="paragraph" w:styleId="Kop4">
    <w:name w:val="heading 4"/>
    <w:basedOn w:val="Standaard"/>
    <w:next w:val="Standaard"/>
    <w:qFormat/>
    <w:rsid w:val="007D7BE7"/>
    <w:pPr>
      <w:keepNext/>
      <w:numPr>
        <w:ilvl w:val="3"/>
        <w:numId w:val="1"/>
      </w:numPr>
      <w:spacing w:before="240" w:after="60"/>
      <w:outlineLvl w:val="3"/>
    </w:pPr>
    <w:rPr>
      <w:b/>
      <w:bCs/>
      <w:sz w:val="28"/>
      <w:szCs w:val="28"/>
    </w:rPr>
  </w:style>
  <w:style w:type="paragraph" w:styleId="Kop5">
    <w:name w:val="heading 5"/>
    <w:basedOn w:val="Standaard"/>
    <w:next w:val="Standaard"/>
    <w:qFormat/>
    <w:rsid w:val="007D7BE7"/>
    <w:pPr>
      <w:spacing w:before="240" w:after="60"/>
      <w:outlineLvl w:val="4"/>
    </w:pPr>
    <w:rPr>
      <w:b/>
      <w:bCs/>
      <w:i/>
      <w:iCs/>
      <w:sz w:val="26"/>
      <w:szCs w:val="26"/>
    </w:rPr>
  </w:style>
  <w:style w:type="paragraph" w:styleId="Kop6">
    <w:name w:val="heading 6"/>
    <w:basedOn w:val="Standaard"/>
    <w:next w:val="Standaard"/>
    <w:link w:val="Kop6Char"/>
    <w:qFormat/>
    <w:rsid w:val="007D7BE7"/>
    <w:pPr>
      <w:spacing w:before="240" w:after="60"/>
      <w:outlineLvl w:val="5"/>
    </w:pPr>
    <w:rPr>
      <w:b/>
      <w:bCs/>
      <w:sz w:val="22"/>
      <w:szCs w:val="22"/>
    </w:rPr>
  </w:style>
  <w:style w:type="paragraph" w:styleId="Kop7">
    <w:name w:val="heading 7"/>
    <w:basedOn w:val="Standaard"/>
    <w:next w:val="Standaard"/>
    <w:qFormat/>
    <w:rsid w:val="007D7BE7"/>
    <w:pPr>
      <w:spacing w:before="240" w:after="60"/>
      <w:outlineLvl w:val="6"/>
    </w:pPr>
  </w:style>
  <w:style w:type="paragraph" w:styleId="Kop8">
    <w:name w:val="heading 8"/>
    <w:basedOn w:val="Standaard"/>
    <w:next w:val="Standaard"/>
    <w:qFormat/>
    <w:rsid w:val="007D7BE7"/>
    <w:pPr>
      <w:spacing w:before="240" w:after="60"/>
      <w:outlineLvl w:val="7"/>
    </w:pPr>
    <w:rPr>
      <w:i/>
      <w:iCs/>
    </w:rPr>
  </w:style>
  <w:style w:type="paragraph" w:styleId="Kop9">
    <w:name w:val="heading 9"/>
    <w:basedOn w:val="Standaard"/>
    <w:next w:val="Standaard"/>
    <w:qFormat/>
    <w:rsid w:val="007D7BE7"/>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7D7BE7"/>
    <w:rPr>
      <w:sz w:val="20"/>
      <w:szCs w:val="20"/>
    </w:rPr>
  </w:style>
  <w:style w:type="character" w:styleId="Voetnootmarkering">
    <w:name w:val="footnote reference"/>
    <w:semiHidden/>
    <w:rsid w:val="007D7BE7"/>
    <w:rPr>
      <w:vertAlign w:val="superscript"/>
    </w:rPr>
  </w:style>
  <w:style w:type="paragraph" w:styleId="Documentstructuur">
    <w:name w:val="Document Map"/>
    <w:basedOn w:val="Standaard"/>
    <w:semiHidden/>
    <w:rsid w:val="007D7BE7"/>
    <w:pPr>
      <w:shd w:val="clear" w:color="auto" w:fill="000080"/>
    </w:pPr>
    <w:rPr>
      <w:rFonts w:ascii="Tahoma" w:hAnsi="Tahoma" w:cs="Tahoma"/>
      <w:sz w:val="20"/>
      <w:szCs w:val="20"/>
    </w:rPr>
  </w:style>
  <w:style w:type="paragraph" w:customStyle="1" w:styleId="KopNHopen">
    <w:name w:val="Kop NH open"/>
    <w:basedOn w:val="Standaard"/>
    <w:rsid w:val="007D7BE7"/>
    <w:pPr>
      <w:pBdr>
        <w:bottom w:val="single" w:sz="12" w:space="1" w:color="808080"/>
      </w:pBdr>
    </w:pPr>
    <w:rPr>
      <w:rFonts w:ascii="Arial" w:hAnsi="Arial"/>
      <w:b/>
      <w:sz w:val="20"/>
      <w:szCs w:val="20"/>
    </w:rPr>
  </w:style>
  <w:style w:type="paragraph" w:styleId="Ballontekst">
    <w:name w:val="Balloon Text"/>
    <w:basedOn w:val="Standaard"/>
    <w:semiHidden/>
    <w:rsid w:val="007D7BE7"/>
    <w:rPr>
      <w:rFonts w:ascii="Tahoma" w:hAnsi="Tahoma" w:cs="Tahoma"/>
      <w:sz w:val="16"/>
      <w:szCs w:val="16"/>
    </w:rPr>
  </w:style>
  <w:style w:type="paragraph" w:customStyle="1" w:styleId="Default">
    <w:name w:val="Default"/>
    <w:rsid w:val="007D7BE7"/>
    <w:pPr>
      <w:widowControl w:val="0"/>
      <w:autoSpaceDE w:val="0"/>
      <w:autoSpaceDN w:val="0"/>
      <w:adjustRightInd w:val="0"/>
    </w:pPr>
    <w:rPr>
      <w:rFonts w:ascii="Arial" w:hAnsi="Arial" w:cs="Arial"/>
      <w:color w:val="000000"/>
      <w:sz w:val="24"/>
      <w:szCs w:val="24"/>
    </w:rPr>
  </w:style>
  <w:style w:type="paragraph" w:styleId="Inhopg1">
    <w:name w:val="toc 1"/>
    <w:basedOn w:val="Standaard"/>
    <w:next w:val="Standaard"/>
    <w:autoRedefine/>
    <w:uiPriority w:val="39"/>
    <w:rsid w:val="007D7BE7"/>
    <w:pPr>
      <w:tabs>
        <w:tab w:val="right" w:leader="dot" w:pos="9062"/>
      </w:tabs>
    </w:pPr>
    <w:rPr>
      <w:rFonts w:ascii="Arial" w:hAnsi="Arial" w:cs="Arial"/>
      <w:b/>
      <w:noProof/>
    </w:rPr>
  </w:style>
  <w:style w:type="paragraph" w:styleId="Inhopg2">
    <w:name w:val="toc 2"/>
    <w:basedOn w:val="Standaard"/>
    <w:next w:val="Standaard"/>
    <w:autoRedefine/>
    <w:uiPriority w:val="39"/>
    <w:rsid w:val="007D7BE7"/>
    <w:pPr>
      <w:ind w:left="240"/>
    </w:pPr>
    <w:rPr>
      <w:rFonts w:ascii="Arial" w:hAnsi="Arial"/>
      <w:sz w:val="22"/>
    </w:rPr>
  </w:style>
  <w:style w:type="character" w:styleId="Hyperlink">
    <w:name w:val="Hyperlink"/>
    <w:uiPriority w:val="99"/>
    <w:rsid w:val="007D7BE7"/>
    <w:rPr>
      <w:color w:val="0000FF"/>
      <w:u w:val="single"/>
    </w:rPr>
  </w:style>
  <w:style w:type="paragraph" w:styleId="Koptekst">
    <w:name w:val="header"/>
    <w:basedOn w:val="Standaard"/>
    <w:rsid w:val="007D7BE7"/>
    <w:pPr>
      <w:tabs>
        <w:tab w:val="center" w:pos="4536"/>
        <w:tab w:val="right" w:pos="9072"/>
      </w:tabs>
    </w:pPr>
  </w:style>
  <w:style w:type="paragraph" w:styleId="Voettekst">
    <w:name w:val="footer"/>
    <w:basedOn w:val="Standaard"/>
    <w:rsid w:val="007D7BE7"/>
    <w:pPr>
      <w:tabs>
        <w:tab w:val="center" w:pos="4536"/>
        <w:tab w:val="right" w:pos="9072"/>
      </w:tabs>
    </w:pPr>
  </w:style>
  <w:style w:type="character" w:styleId="Paginanummer">
    <w:name w:val="page number"/>
    <w:basedOn w:val="Standaardalinea-lettertype"/>
    <w:rsid w:val="007D7BE7"/>
  </w:style>
  <w:style w:type="table" w:styleId="Tabelraster">
    <w:name w:val="Table Grid"/>
    <w:basedOn w:val="Standaardtabel"/>
    <w:rsid w:val="007D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uiPriority w:val="99"/>
    <w:semiHidden/>
    <w:rsid w:val="007D7BE7"/>
    <w:rPr>
      <w:sz w:val="16"/>
      <w:szCs w:val="16"/>
    </w:rPr>
  </w:style>
  <w:style w:type="paragraph" w:styleId="Tekstopmerking">
    <w:name w:val="annotation text"/>
    <w:basedOn w:val="Standaard"/>
    <w:link w:val="TekstopmerkingChar"/>
    <w:uiPriority w:val="99"/>
    <w:semiHidden/>
    <w:rsid w:val="007D7BE7"/>
    <w:rPr>
      <w:sz w:val="20"/>
      <w:szCs w:val="20"/>
    </w:rPr>
  </w:style>
  <w:style w:type="paragraph" w:styleId="Onderwerpvanopmerking">
    <w:name w:val="annotation subject"/>
    <w:basedOn w:val="Tekstopmerking"/>
    <w:next w:val="Tekstopmerking"/>
    <w:semiHidden/>
    <w:rsid w:val="007D7BE7"/>
    <w:rPr>
      <w:b/>
      <w:bCs/>
    </w:rPr>
  </w:style>
  <w:style w:type="paragraph" w:styleId="Inhopg3">
    <w:name w:val="toc 3"/>
    <w:basedOn w:val="Standaard"/>
    <w:next w:val="Standaard"/>
    <w:autoRedefine/>
    <w:uiPriority w:val="39"/>
    <w:rsid w:val="008130D4"/>
    <w:pPr>
      <w:tabs>
        <w:tab w:val="left" w:pos="1320"/>
        <w:tab w:val="right" w:leader="dot" w:pos="9062"/>
      </w:tabs>
      <w:ind w:left="480"/>
    </w:pPr>
    <w:rPr>
      <w:rFonts w:ascii="Arial" w:hAnsi="Arial" w:cs="Arial"/>
      <w:noProof/>
      <w:sz w:val="22"/>
    </w:rPr>
  </w:style>
  <w:style w:type="paragraph" w:styleId="Plattetekstinspringen2">
    <w:name w:val="Body Text Indent 2"/>
    <w:basedOn w:val="Standaard"/>
    <w:rsid w:val="007D7BE7"/>
    <w:pPr>
      <w:tabs>
        <w:tab w:val="left" w:pos="900"/>
      </w:tabs>
      <w:ind w:left="900"/>
    </w:pPr>
    <w:rPr>
      <w:rFonts w:ascii="Arial" w:hAnsi="Arial" w:cs="Arial"/>
      <w:sz w:val="20"/>
    </w:rPr>
  </w:style>
  <w:style w:type="paragraph" w:styleId="Lijstopsomteken">
    <w:name w:val="List Bullet"/>
    <w:basedOn w:val="Standaard"/>
    <w:rsid w:val="007D7BE7"/>
    <w:pPr>
      <w:numPr>
        <w:numId w:val="2"/>
      </w:numPr>
    </w:pPr>
  </w:style>
  <w:style w:type="paragraph" w:styleId="Normaalweb">
    <w:name w:val="Normal (Web)"/>
    <w:basedOn w:val="Standaard"/>
    <w:uiPriority w:val="99"/>
    <w:rsid w:val="007D7BE7"/>
    <w:pPr>
      <w:spacing w:before="100" w:beforeAutospacing="1" w:after="100" w:afterAutospacing="1"/>
    </w:pPr>
    <w:rPr>
      <w:lang w:val="en-US" w:eastAsia="en-US"/>
    </w:rPr>
  </w:style>
  <w:style w:type="paragraph" w:customStyle="1" w:styleId="voorbeeld">
    <w:name w:val="voorbeeld"/>
    <w:basedOn w:val="Standaard"/>
    <w:rsid w:val="007D7BE7"/>
    <w:pPr>
      <w:pBdr>
        <w:top w:val="single" w:sz="4" w:space="1" w:color="auto"/>
        <w:left w:val="single" w:sz="4" w:space="4" w:color="auto"/>
        <w:bottom w:val="single" w:sz="4" w:space="1" w:color="auto"/>
        <w:right w:val="single" w:sz="4" w:space="4" w:color="auto"/>
      </w:pBdr>
      <w:spacing w:line="280" w:lineRule="exact"/>
    </w:pPr>
    <w:rPr>
      <w:rFonts w:cs="Arial"/>
      <w:sz w:val="22"/>
      <w:szCs w:val="20"/>
      <w:lang w:val="nl"/>
    </w:rPr>
  </w:style>
  <w:style w:type="paragraph" w:customStyle="1" w:styleId="KLuwerStandaard">
    <w:name w:val="KLuwerStandaard"/>
    <w:rsid w:val="00330075"/>
    <w:pPr>
      <w:overflowPunct w:val="0"/>
      <w:autoSpaceDE w:val="0"/>
      <w:autoSpaceDN w:val="0"/>
      <w:adjustRightInd w:val="0"/>
      <w:textAlignment w:val="baseline"/>
    </w:pPr>
    <w:rPr>
      <w:rFonts w:ascii="Helvetica 55 Roman" w:hAnsi="Helvetica 55 Roman"/>
    </w:rPr>
  </w:style>
  <w:style w:type="paragraph" w:customStyle="1" w:styleId="KluwerVoettekst">
    <w:name w:val="KluwerVoettekst"/>
    <w:basedOn w:val="KLuwerStandaard"/>
    <w:rsid w:val="00604FF6"/>
    <w:pPr>
      <w:tabs>
        <w:tab w:val="right" w:pos="9639"/>
      </w:tabs>
      <w:spacing w:line="160" w:lineRule="exact"/>
    </w:pPr>
    <w:rPr>
      <w:noProof/>
      <w:sz w:val="12"/>
    </w:rPr>
  </w:style>
  <w:style w:type="paragraph" w:customStyle="1" w:styleId="KluwerKoptekst">
    <w:name w:val="KluwerKoptekst"/>
    <w:basedOn w:val="KLuwerStandaard"/>
    <w:rsid w:val="00604FF6"/>
    <w:pPr>
      <w:tabs>
        <w:tab w:val="left" w:pos="5387"/>
        <w:tab w:val="left" w:pos="7796"/>
        <w:tab w:val="right" w:pos="9639"/>
      </w:tabs>
    </w:pPr>
    <w:rPr>
      <w:sz w:val="16"/>
    </w:rPr>
  </w:style>
  <w:style w:type="paragraph" w:customStyle="1" w:styleId="AlineaMetZwevendeKantlijn">
    <w:name w:val="AlineaMetZwevendeKantlijn"/>
    <w:basedOn w:val="KLuwerStandaard"/>
    <w:rsid w:val="00604FF6"/>
    <w:pPr>
      <w:tabs>
        <w:tab w:val="left" w:pos="567"/>
        <w:tab w:val="left" w:pos="1134"/>
        <w:tab w:val="left" w:pos="1701"/>
        <w:tab w:val="left" w:pos="2268"/>
      </w:tabs>
      <w:ind w:left="567"/>
    </w:pPr>
  </w:style>
  <w:style w:type="paragraph" w:customStyle="1" w:styleId="Opsomletters">
    <w:name w:val="Opsomletters"/>
    <w:basedOn w:val="KLuwerStandaard"/>
    <w:rsid w:val="00604FF6"/>
    <w:pPr>
      <w:tabs>
        <w:tab w:val="left" w:pos="567"/>
        <w:tab w:val="left" w:pos="1134"/>
        <w:tab w:val="left" w:pos="1701"/>
        <w:tab w:val="left" w:pos="2268"/>
      </w:tabs>
      <w:ind w:left="567" w:hanging="567"/>
    </w:pPr>
  </w:style>
  <w:style w:type="paragraph" w:customStyle="1" w:styleId="OpsomlettersZwevendeKantlijn">
    <w:name w:val="OpsomlettersZwevendeKantlijn"/>
    <w:basedOn w:val="Opsomletters"/>
    <w:rsid w:val="00604FF6"/>
    <w:pPr>
      <w:ind w:left="1134"/>
    </w:pPr>
  </w:style>
  <w:style w:type="paragraph" w:customStyle="1" w:styleId="Opsomnummers">
    <w:name w:val="Opsomnummers"/>
    <w:basedOn w:val="KLuwerStandaard"/>
    <w:rsid w:val="00604FF6"/>
    <w:pPr>
      <w:tabs>
        <w:tab w:val="left" w:pos="567"/>
        <w:tab w:val="left" w:pos="1134"/>
        <w:tab w:val="left" w:pos="1701"/>
        <w:tab w:val="left" w:pos="2268"/>
      </w:tabs>
      <w:ind w:left="567" w:hanging="567"/>
    </w:pPr>
  </w:style>
  <w:style w:type="paragraph" w:customStyle="1" w:styleId="OpsomnummerZwevendeKantlijn">
    <w:name w:val="OpsomnummerZwevendeKantlijn"/>
    <w:basedOn w:val="KLuwerStandaard"/>
    <w:rsid w:val="00604FF6"/>
    <w:pPr>
      <w:tabs>
        <w:tab w:val="left" w:pos="567"/>
        <w:tab w:val="left" w:pos="1134"/>
        <w:tab w:val="left" w:pos="1701"/>
        <w:tab w:val="left" w:pos="2268"/>
      </w:tabs>
      <w:ind w:left="1134" w:hanging="567"/>
    </w:pPr>
  </w:style>
  <w:style w:type="paragraph" w:customStyle="1" w:styleId="Opsomstreepjes">
    <w:name w:val="Opsomstreepjes"/>
    <w:basedOn w:val="KLuwerStandaard"/>
    <w:rsid w:val="00604FF6"/>
    <w:pPr>
      <w:tabs>
        <w:tab w:val="left" w:pos="567"/>
        <w:tab w:val="left" w:pos="1134"/>
        <w:tab w:val="left" w:pos="1701"/>
        <w:tab w:val="left" w:pos="2268"/>
      </w:tabs>
      <w:ind w:left="567" w:hanging="567"/>
    </w:pPr>
  </w:style>
  <w:style w:type="paragraph" w:customStyle="1" w:styleId="OpsomstreepjesZwevendeKantlijn">
    <w:name w:val="OpsomstreepjesZwevendeKantlijn"/>
    <w:basedOn w:val="KLuwerStandaard"/>
    <w:rsid w:val="00604FF6"/>
    <w:pPr>
      <w:tabs>
        <w:tab w:val="left" w:pos="567"/>
        <w:tab w:val="left" w:pos="1134"/>
        <w:tab w:val="left" w:pos="1701"/>
        <w:tab w:val="left" w:pos="2268"/>
      </w:tabs>
      <w:ind w:left="1134" w:hanging="567"/>
    </w:pPr>
  </w:style>
  <w:style w:type="character" w:customStyle="1" w:styleId="KluwerEuroteken">
    <w:name w:val="KluwerEuroteken"/>
    <w:rsid w:val="00604FF6"/>
    <w:rPr>
      <w:rFonts w:ascii="Linotype EuroFont G to P" w:hAnsi="Linotype EuroFont G to P"/>
    </w:rPr>
  </w:style>
  <w:style w:type="paragraph" w:customStyle="1" w:styleId="Geenafstand1">
    <w:name w:val="Geen afstand1"/>
    <w:uiPriority w:val="99"/>
    <w:qFormat/>
    <w:rsid w:val="00604FF6"/>
    <w:rPr>
      <w:rFonts w:ascii="Calibri" w:eastAsia="Calibri" w:hAnsi="Calibri"/>
      <w:sz w:val="22"/>
      <w:szCs w:val="22"/>
      <w:lang w:eastAsia="en-US"/>
    </w:rPr>
  </w:style>
  <w:style w:type="character" w:customStyle="1" w:styleId="apple-converted-space">
    <w:name w:val="apple-converted-space"/>
    <w:basedOn w:val="Standaardalinea-lettertype"/>
    <w:rsid w:val="008F6A13"/>
  </w:style>
  <w:style w:type="paragraph" w:styleId="Geenafstand">
    <w:name w:val="No Spacing"/>
    <w:link w:val="GeenafstandChar"/>
    <w:uiPriority w:val="99"/>
    <w:qFormat/>
    <w:rsid w:val="008F7E0C"/>
    <w:rPr>
      <w:sz w:val="24"/>
      <w:szCs w:val="24"/>
    </w:rPr>
  </w:style>
  <w:style w:type="character" w:styleId="Zwaar">
    <w:name w:val="Strong"/>
    <w:uiPriority w:val="22"/>
    <w:qFormat/>
    <w:rsid w:val="00F17DDD"/>
    <w:rPr>
      <w:b/>
      <w:bCs/>
    </w:rPr>
  </w:style>
  <w:style w:type="paragraph" w:styleId="Plattetekst">
    <w:name w:val="Body Text"/>
    <w:basedOn w:val="Standaard"/>
    <w:rsid w:val="008658F9"/>
    <w:pPr>
      <w:spacing w:after="120"/>
    </w:pPr>
  </w:style>
  <w:style w:type="paragraph" w:styleId="Kopvaninhoudsopgave">
    <w:name w:val="TOC Heading"/>
    <w:basedOn w:val="Kop1"/>
    <w:next w:val="Standaard"/>
    <w:uiPriority w:val="39"/>
    <w:unhideWhenUsed/>
    <w:qFormat/>
    <w:rsid w:val="00F272F4"/>
    <w:pPr>
      <w:keepLines/>
      <w:numPr>
        <w:numId w:val="0"/>
      </w:numPr>
      <w:tabs>
        <w:tab w:val="clear" w:pos="539"/>
      </w:tabs>
      <w:spacing w:before="240" w:line="259" w:lineRule="auto"/>
      <w:outlineLvl w:val="9"/>
    </w:pPr>
    <w:rPr>
      <w:rFonts w:ascii="Calibri Light" w:hAnsi="Calibri Light"/>
      <w:b w:val="0"/>
      <w:bCs w:val="0"/>
      <w:color w:val="2E74B5"/>
      <w:sz w:val="32"/>
      <w:szCs w:val="32"/>
    </w:rPr>
  </w:style>
  <w:style w:type="character" w:customStyle="1" w:styleId="TekstopmerkingChar">
    <w:name w:val="Tekst opmerking Char"/>
    <w:link w:val="Tekstopmerking"/>
    <w:uiPriority w:val="99"/>
    <w:semiHidden/>
    <w:rsid w:val="00672D66"/>
  </w:style>
  <w:style w:type="paragraph" w:styleId="Lijstalinea">
    <w:name w:val="List Paragraph"/>
    <w:basedOn w:val="Standaard"/>
    <w:uiPriority w:val="34"/>
    <w:qFormat/>
    <w:rsid w:val="00672D66"/>
    <w:pPr>
      <w:spacing w:line="259" w:lineRule="auto"/>
      <w:ind w:left="720"/>
      <w:contextualSpacing/>
    </w:pPr>
    <w:rPr>
      <w:rFonts w:ascii="Calibri" w:eastAsia="Calibri" w:hAnsi="Calibri"/>
      <w:sz w:val="22"/>
      <w:szCs w:val="22"/>
      <w:lang w:eastAsia="en-US"/>
    </w:rPr>
  </w:style>
  <w:style w:type="paragraph" w:customStyle="1" w:styleId="Opsommingmetzwartblokjeniveau1">
    <w:name w:val="Opsomming met zwart blokje niveau 1"/>
    <w:basedOn w:val="Standaard"/>
    <w:link w:val="Opsommingmetzwartblokjeniveau1Char"/>
    <w:qFormat/>
    <w:rsid w:val="00672D66"/>
    <w:pPr>
      <w:numPr>
        <w:numId w:val="4"/>
      </w:numPr>
      <w:tabs>
        <w:tab w:val="clear" w:pos="720"/>
      </w:tabs>
      <w:ind w:left="284" w:hanging="284"/>
    </w:pPr>
    <w:rPr>
      <w:rFonts w:ascii="Arial" w:hAnsi="Arial"/>
      <w:sz w:val="20"/>
      <w:szCs w:val="20"/>
      <w:lang w:val="x-none" w:eastAsia="x-none"/>
    </w:rPr>
  </w:style>
  <w:style w:type="character" w:customStyle="1" w:styleId="Opsommingmetzwartblokjeniveau1Char">
    <w:name w:val="Opsomming met zwart blokje niveau 1 Char"/>
    <w:link w:val="Opsommingmetzwartblokjeniveau1"/>
    <w:rsid w:val="00672D66"/>
    <w:rPr>
      <w:rFonts w:ascii="Arial" w:hAnsi="Arial"/>
      <w:lang w:val="x-none" w:eastAsia="x-none"/>
    </w:rPr>
  </w:style>
  <w:style w:type="character" w:customStyle="1" w:styleId="VoetnoottekstChar">
    <w:name w:val="Voetnoottekst Char"/>
    <w:link w:val="Voetnoottekst"/>
    <w:semiHidden/>
    <w:rsid w:val="00672D66"/>
  </w:style>
  <w:style w:type="character" w:customStyle="1" w:styleId="GeenafstandChar">
    <w:name w:val="Geen afstand Char"/>
    <w:link w:val="Geenafstand"/>
    <w:uiPriority w:val="99"/>
    <w:rsid w:val="00672D66"/>
    <w:rPr>
      <w:sz w:val="24"/>
      <w:szCs w:val="24"/>
    </w:rPr>
  </w:style>
  <w:style w:type="character" w:customStyle="1" w:styleId="Kop6Char">
    <w:name w:val="Kop 6 Char"/>
    <w:basedOn w:val="Standaardalinea-lettertype"/>
    <w:link w:val="Kop6"/>
    <w:rsid w:val="00A7661A"/>
    <w:rPr>
      <w:b/>
      <w:bCs/>
      <w:sz w:val="22"/>
      <w:szCs w:val="22"/>
    </w:rPr>
  </w:style>
  <w:style w:type="character" w:customStyle="1" w:styleId="Onopgelostemelding1">
    <w:name w:val="Onopgeloste melding1"/>
    <w:basedOn w:val="Standaardalinea-lettertype"/>
    <w:uiPriority w:val="99"/>
    <w:semiHidden/>
    <w:unhideWhenUsed/>
    <w:rsid w:val="00A413F4"/>
    <w:rPr>
      <w:color w:val="808080"/>
      <w:shd w:val="clear" w:color="auto" w:fill="E6E6E6"/>
    </w:rPr>
  </w:style>
  <w:style w:type="character" w:styleId="GevolgdeHyperlink">
    <w:name w:val="FollowedHyperlink"/>
    <w:basedOn w:val="Standaardalinea-lettertype"/>
    <w:rsid w:val="002812B7"/>
    <w:rPr>
      <w:color w:val="954F72" w:themeColor="followedHyperlink"/>
      <w:u w:val="single"/>
    </w:rPr>
  </w:style>
  <w:style w:type="character" w:customStyle="1" w:styleId="Onopgelostemelding2">
    <w:name w:val="Onopgeloste melding2"/>
    <w:basedOn w:val="Standaardalinea-lettertype"/>
    <w:uiPriority w:val="99"/>
    <w:semiHidden/>
    <w:unhideWhenUsed/>
    <w:rsid w:val="00A80D3E"/>
    <w:rPr>
      <w:color w:val="808080"/>
      <w:shd w:val="clear" w:color="auto" w:fill="E6E6E6"/>
    </w:rPr>
  </w:style>
  <w:style w:type="numbering" w:customStyle="1" w:styleId="Geenlijst1">
    <w:name w:val="Geen lijst1"/>
    <w:next w:val="Geenlijst"/>
    <w:uiPriority w:val="99"/>
    <w:semiHidden/>
    <w:unhideWhenUsed/>
    <w:rsid w:val="00322AD9"/>
  </w:style>
  <w:style w:type="character" w:customStyle="1" w:styleId="Kop2Char">
    <w:name w:val="Kop 2 Char"/>
    <w:basedOn w:val="Standaardalinea-lettertype"/>
    <w:link w:val="Kop2"/>
    <w:rsid w:val="00322AD9"/>
    <w:rPr>
      <w:rFonts w:ascii="Arial" w:hAnsi="Arial"/>
      <w:b/>
      <w:iCs/>
      <w:sz w:val="24"/>
      <w:szCs w:val="22"/>
    </w:rPr>
  </w:style>
  <w:style w:type="character" w:customStyle="1" w:styleId="Onopgelostemelding3">
    <w:name w:val="Onopgeloste melding3"/>
    <w:basedOn w:val="Standaardalinea-lettertype"/>
    <w:uiPriority w:val="99"/>
    <w:semiHidden/>
    <w:unhideWhenUsed/>
    <w:rsid w:val="00322A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5760">
      <w:bodyDiv w:val="1"/>
      <w:marLeft w:val="0"/>
      <w:marRight w:val="0"/>
      <w:marTop w:val="0"/>
      <w:marBottom w:val="0"/>
      <w:divBdr>
        <w:top w:val="none" w:sz="0" w:space="0" w:color="auto"/>
        <w:left w:val="none" w:sz="0" w:space="0" w:color="auto"/>
        <w:bottom w:val="none" w:sz="0" w:space="0" w:color="auto"/>
        <w:right w:val="none" w:sz="0" w:space="0" w:color="auto"/>
      </w:divBdr>
    </w:div>
    <w:div w:id="41834275">
      <w:bodyDiv w:val="1"/>
      <w:marLeft w:val="0"/>
      <w:marRight w:val="0"/>
      <w:marTop w:val="0"/>
      <w:marBottom w:val="0"/>
      <w:divBdr>
        <w:top w:val="none" w:sz="0" w:space="0" w:color="auto"/>
        <w:left w:val="none" w:sz="0" w:space="0" w:color="auto"/>
        <w:bottom w:val="none" w:sz="0" w:space="0" w:color="auto"/>
        <w:right w:val="none" w:sz="0" w:space="0" w:color="auto"/>
      </w:divBdr>
    </w:div>
    <w:div w:id="42676316">
      <w:bodyDiv w:val="1"/>
      <w:marLeft w:val="0"/>
      <w:marRight w:val="0"/>
      <w:marTop w:val="0"/>
      <w:marBottom w:val="0"/>
      <w:divBdr>
        <w:top w:val="none" w:sz="0" w:space="0" w:color="auto"/>
        <w:left w:val="none" w:sz="0" w:space="0" w:color="auto"/>
        <w:bottom w:val="none" w:sz="0" w:space="0" w:color="auto"/>
        <w:right w:val="none" w:sz="0" w:space="0" w:color="auto"/>
      </w:divBdr>
      <w:divsChild>
        <w:div w:id="1530878252">
          <w:marLeft w:val="0"/>
          <w:marRight w:val="0"/>
          <w:marTop w:val="0"/>
          <w:marBottom w:val="0"/>
          <w:divBdr>
            <w:top w:val="none" w:sz="0" w:space="0" w:color="auto"/>
            <w:left w:val="none" w:sz="0" w:space="0" w:color="auto"/>
            <w:bottom w:val="none" w:sz="0" w:space="0" w:color="auto"/>
            <w:right w:val="none" w:sz="0" w:space="0" w:color="auto"/>
          </w:divBdr>
        </w:div>
        <w:div w:id="2053992686">
          <w:marLeft w:val="0"/>
          <w:marRight w:val="0"/>
          <w:marTop w:val="0"/>
          <w:marBottom w:val="0"/>
          <w:divBdr>
            <w:top w:val="none" w:sz="0" w:space="0" w:color="auto"/>
            <w:left w:val="none" w:sz="0" w:space="0" w:color="auto"/>
            <w:bottom w:val="none" w:sz="0" w:space="0" w:color="auto"/>
            <w:right w:val="none" w:sz="0" w:space="0" w:color="auto"/>
          </w:divBdr>
        </w:div>
        <w:div w:id="2091194522">
          <w:marLeft w:val="0"/>
          <w:marRight w:val="0"/>
          <w:marTop w:val="0"/>
          <w:marBottom w:val="0"/>
          <w:divBdr>
            <w:top w:val="none" w:sz="0" w:space="0" w:color="auto"/>
            <w:left w:val="none" w:sz="0" w:space="0" w:color="auto"/>
            <w:bottom w:val="none" w:sz="0" w:space="0" w:color="auto"/>
            <w:right w:val="none" w:sz="0" w:space="0" w:color="auto"/>
          </w:divBdr>
        </w:div>
      </w:divsChild>
    </w:div>
    <w:div w:id="61952815">
      <w:bodyDiv w:val="1"/>
      <w:marLeft w:val="0"/>
      <w:marRight w:val="0"/>
      <w:marTop w:val="0"/>
      <w:marBottom w:val="0"/>
      <w:divBdr>
        <w:top w:val="none" w:sz="0" w:space="0" w:color="auto"/>
        <w:left w:val="none" w:sz="0" w:space="0" w:color="auto"/>
        <w:bottom w:val="none" w:sz="0" w:space="0" w:color="auto"/>
        <w:right w:val="none" w:sz="0" w:space="0" w:color="auto"/>
      </w:divBdr>
    </w:div>
    <w:div w:id="70347391">
      <w:bodyDiv w:val="1"/>
      <w:marLeft w:val="0"/>
      <w:marRight w:val="0"/>
      <w:marTop w:val="0"/>
      <w:marBottom w:val="0"/>
      <w:divBdr>
        <w:top w:val="none" w:sz="0" w:space="0" w:color="auto"/>
        <w:left w:val="none" w:sz="0" w:space="0" w:color="auto"/>
        <w:bottom w:val="none" w:sz="0" w:space="0" w:color="auto"/>
        <w:right w:val="none" w:sz="0" w:space="0" w:color="auto"/>
      </w:divBdr>
    </w:div>
    <w:div w:id="86006103">
      <w:bodyDiv w:val="1"/>
      <w:marLeft w:val="0"/>
      <w:marRight w:val="0"/>
      <w:marTop w:val="0"/>
      <w:marBottom w:val="0"/>
      <w:divBdr>
        <w:top w:val="none" w:sz="0" w:space="0" w:color="auto"/>
        <w:left w:val="none" w:sz="0" w:space="0" w:color="auto"/>
        <w:bottom w:val="none" w:sz="0" w:space="0" w:color="auto"/>
        <w:right w:val="none" w:sz="0" w:space="0" w:color="auto"/>
      </w:divBdr>
    </w:div>
    <w:div w:id="101727850">
      <w:bodyDiv w:val="1"/>
      <w:marLeft w:val="0"/>
      <w:marRight w:val="0"/>
      <w:marTop w:val="0"/>
      <w:marBottom w:val="0"/>
      <w:divBdr>
        <w:top w:val="none" w:sz="0" w:space="0" w:color="auto"/>
        <w:left w:val="none" w:sz="0" w:space="0" w:color="auto"/>
        <w:bottom w:val="none" w:sz="0" w:space="0" w:color="auto"/>
        <w:right w:val="none" w:sz="0" w:space="0" w:color="auto"/>
      </w:divBdr>
      <w:divsChild>
        <w:div w:id="385883498">
          <w:marLeft w:val="0"/>
          <w:marRight w:val="0"/>
          <w:marTop w:val="0"/>
          <w:marBottom w:val="0"/>
          <w:divBdr>
            <w:top w:val="none" w:sz="0" w:space="0" w:color="auto"/>
            <w:left w:val="none" w:sz="0" w:space="0" w:color="auto"/>
            <w:bottom w:val="none" w:sz="0" w:space="0" w:color="auto"/>
            <w:right w:val="none" w:sz="0" w:space="0" w:color="auto"/>
          </w:divBdr>
        </w:div>
      </w:divsChild>
    </w:div>
    <w:div w:id="128786179">
      <w:bodyDiv w:val="1"/>
      <w:marLeft w:val="0"/>
      <w:marRight w:val="0"/>
      <w:marTop w:val="0"/>
      <w:marBottom w:val="0"/>
      <w:divBdr>
        <w:top w:val="none" w:sz="0" w:space="0" w:color="auto"/>
        <w:left w:val="none" w:sz="0" w:space="0" w:color="auto"/>
        <w:bottom w:val="none" w:sz="0" w:space="0" w:color="auto"/>
        <w:right w:val="none" w:sz="0" w:space="0" w:color="auto"/>
      </w:divBdr>
    </w:div>
    <w:div w:id="142547199">
      <w:bodyDiv w:val="1"/>
      <w:marLeft w:val="0"/>
      <w:marRight w:val="0"/>
      <w:marTop w:val="0"/>
      <w:marBottom w:val="0"/>
      <w:divBdr>
        <w:top w:val="none" w:sz="0" w:space="0" w:color="auto"/>
        <w:left w:val="none" w:sz="0" w:space="0" w:color="auto"/>
        <w:bottom w:val="none" w:sz="0" w:space="0" w:color="auto"/>
        <w:right w:val="none" w:sz="0" w:space="0" w:color="auto"/>
      </w:divBdr>
    </w:div>
    <w:div w:id="159733114">
      <w:bodyDiv w:val="1"/>
      <w:marLeft w:val="0"/>
      <w:marRight w:val="0"/>
      <w:marTop w:val="0"/>
      <w:marBottom w:val="0"/>
      <w:divBdr>
        <w:top w:val="none" w:sz="0" w:space="0" w:color="auto"/>
        <w:left w:val="none" w:sz="0" w:space="0" w:color="auto"/>
        <w:bottom w:val="none" w:sz="0" w:space="0" w:color="auto"/>
        <w:right w:val="none" w:sz="0" w:space="0" w:color="auto"/>
      </w:divBdr>
    </w:div>
    <w:div w:id="163404333">
      <w:bodyDiv w:val="1"/>
      <w:marLeft w:val="0"/>
      <w:marRight w:val="0"/>
      <w:marTop w:val="0"/>
      <w:marBottom w:val="0"/>
      <w:divBdr>
        <w:top w:val="none" w:sz="0" w:space="0" w:color="auto"/>
        <w:left w:val="none" w:sz="0" w:space="0" w:color="auto"/>
        <w:bottom w:val="none" w:sz="0" w:space="0" w:color="auto"/>
        <w:right w:val="none" w:sz="0" w:space="0" w:color="auto"/>
      </w:divBdr>
    </w:div>
    <w:div w:id="174534730">
      <w:bodyDiv w:val="1"/>
      <w:marLeft w:val="0"/>
      <w:marRight w:val="0"/>
      <w:marTop w:val="0"/>
      <w:marBottom w:val="0"/>
      <w:divBdr>
        <w:top w:val="none" w:sz="0" w:space="0" w:color="auto"/>
        <w:left w:val="none" w:sz="0" w:space="0" w:color="auto"/>
        <w:bottom w:val="none" w:sz="0" w:space="0" w:color="auto"/>
        <w:right w:val="none" w:sz="0" w:space="0" w:color="auto"/>
      </w:divBdr>
    </w:div>
    <w:div w:id="196434358">
      <w:bodyDiv w:val="1"/>
      <w:marLeft w:val="0"/>
      <w:marRight w:val="0"/>
      <w:marTop w:val="0"/>
      <w:marBottom w:val="0"/>
      <w:divBdr>
        <w:top w:val="none" w:sz="0" w:space="0" w:color="auto"/>
        <w:left w:val="none" w:sz="0" w:space="0" w:color="auto"/>
        <w:bottom w:val="none" w:sz="0" w:space="0" w:color="auto"/>
        <w:right w:val="none" w:sz="0" w:space="0" w:color="auto"/>
      </w:divBdr>
    </w:div>
    <w:div w:id="214975059">
      <w:bodyDiv w:val="1"/>
      <w:marLeft w:val="0"/>
      <w:marRight w:val="0"/>
      <w:marTop w:val="0"/>
      <w:marBottom w:val="0"/>
      <w:divBdr>
        <w:top w:val="none" w:sz="0" w:space="0" w:color="auto"/>
        <w:left w:val="none" w:sz="0" w:space="0" w:color="auto"/>
        <w:bottom w:val="none" w:sz="0" w:space="0" w:color="auto"/>
        <w:right w:val="none" w:sz="0" w:space="0" w:color="auto"/>
      </w:divBdr>
    </w:div>
    <w:div w:id="256181357">
      <w:bodyDiv w:val="1"/>
      <w:marLeft w:val="0"/>
      <w:marRight w:val="0"/>
      <w:marTop w:val="0"/>
      <w:marBottom w:val="0"/>
      <w:divBdr>
        <w:top w:val="none" w:sz="0" w:space="0" w:color="auto"/>
        <w:left w:val="none" w:sz="0" w:space="0" w:color="auto"/>
        <w:bottom w:val="none" w:sz="0" w:space="0" w:color="auto"/>
        <w:right w:val="none" w:sz="0" w:space="0" w:color="auto"/>
      </w:divBdr>
    </w:div>
    <w:div w:id="276522340">
      <w:bodyDiv w:val="1"/>
      <w:marLeft w:val="0"/>
      <w:marRight w:val="0"/>
      <w:marTop w:val="0"/>
      <w:marBottom w:val="0"/>
      <w:divBdr>
        <w:top w:val="none" w:sz="0" w:space="0" w:color="auto"/>
        <w:left w:val="none" w:sz="0" w:space="0" w:color="auto"/>
        <w:bottom w:val="none" w:sz="0" w:space="0" w:color="auto"/>
        <w:right w:val="none" w:sz="0" w:space="0" w:color="auto"/>
      </w:divBdr>
    </w:div>
    <w:div w:id="279845831">
      <w:bodyDiv w:val="1"/>
      <w:marLeft w:val="0"/>
      <w:marRight w:val="0"/>
      <w:marTop w:val="0"/>
      <w:marBottom w:val="0"/>
      <w:divBdr>
        <w:top w:val="none" w:sz="0" w:space="0" w:color="auto"/>
        <w:left w:val="none" w:sz="0" w:space="0" w:color="auto"/>
        <w:bottom w:val="none" w:sz="0" w:space="0" w:color="auto"/>
        <w:right w:val="none" w:sz="0" w:space="0" w:color="auto"/>
      </w:divBdr>
    </w:div>
    <w:div w:id="279999847">
      <w:bodyDiv w:val="1"/>
      <w:marLeft w:val="0"/>
      <w:marRight w:val="0"/>
      <w:marTop w:val="0"/>
      <w:marBottom w:val="0"/>
      <w:divBdr>
        <w:top w:val="none" w:sz="0" w:space="0" w:color="auto"/>
        <w:left w:val="none" w:sz="0" w:space="0" w:color="auto"/>
        <w:bottom w:val="none" w:sz="0" w:space="0" w:color="auto"/>
        <w:right w:val="none" w:sz="0" w:space="0" w:color="auto"/>
      </w:divBdr>
    </w:div>
    <w:div w:id="289098124">
      <w:bodyDiv w:val="1"/>
      <w:marLeft w:val="0"/>
      <w:marRight w:val="0"/>
      <w:marTop w:val="0"/>
      <w:marBottom w:val="0"/>
      <w:divBdr>
        <w:top w:val="none" w:sz="0" w:space="0" w:color="auto"/>
        <w:left w:val="none" w:sz="0" w:space="0" w:color="auto"/>
        <w:bottom w:val="none" w:sz="0" w:space="0" w:color="auto"/>
        <w:right w:val="none" w:sz="0" w:space="0" w:color="auto"/>
      </w:divBdr>
    </w:div>
    <w:div w:id="298220982">
      <w:bodyDiv w:val="1"/>
      <w:marLeft w:val="0"/>
      <w:marRight w:val="0"/>
      <w:marTop w:val="0"/>
      <w:marBottom w:val="0"/>
      <w:divBdr>
        <w:top w:val="none" w:sz="0" w:space="0" w:color="auto"/>
        <w:left w:val="none" w:sz="0" w:space="0" w:color="auto"/>
        <w:bottom w:val="none" w:sz="0" w:space="0" w:color="auto"/>
        <w:right w:val="none" w:sz="0" w:space="0" w:color="auto"/>
      </w:divBdr>
    </w:div>
    <w:div w:id="326829048">
      <w:bodyDiv w:val="1"/>
      <w:marLeft w:val="0"/>
      <w:marRight w:val="0"/>
      <w:marTop w:val="0"/>
      <w:marBottom w:val="0"/>
      <w:divBdr>
        <w:top w:val="none" w:sz="0" w:space="0" w:color="auto"/>
        <w:left w:val="none" w:sz="0" w:space="0" w:color="auto"/>
        <w:bottom w:val="none" w:sz="0" w:space="0" w:color="auto"/>
        <w:right w:val="none" w:sz="0" w:space="0" w:color="auto"/>
      </w:divBdr>
    </w:div>
    <w:div w:id="332611955">
      <w:bodyDiv w:val="1"/>
      <w:marLeft w:val="0"/>
      <w:marRight w:val="0"/>
      <w:marTop w:val="0"/>
      <w:marBottom w:val="0"/>
      <w:divBdr>
        <w:top w:val="none" w:sz="0" w:space="0" w:color="auto"/>
        <w:left w:val="none" w:sz="0" w:space="0" w:color="auto"/>
        <w:bottom w:val="none" w:sz="0" w:space="0" w:color="auto"/>
        <w:right w:val="none" w:sz="0" w:space="0" w:color="auto"/>
      </w:divBdr>
    </w:div>
    <w:div w:id="440876171">
      <w:bodyDiv w:val="1"/>
      <w:marLeft w:val="0"/>
      <w:marRight w:val="0"/>
      <w:marTop w:val="0"/>
      <w:marBottom w:val="0"/>
      <w:divBdr>
        <w:top w:val="none" w:sz="0" w:space="0" w:color="auto"/>
        <w:left w:val="none" w:sz="0" w:space="0" w:color="auto"/>
        <w:bottom w:val="none" w:sz="0" w:space="0" w:color="auto"/>
        <w:right w:val="none" w:sz="0" w:space="0" w:color="auto"/>
      </w:divBdr>
      <w:divsChild>
        <w:div w:id="762458225">
          <w:marLeft w:val="0"/>
          <w:marRight w:val="0"/>
          <w:marTop w:val="0"/>
          <w:marBottom w:val="0"/>
          <w:divBdr>
            <w:top w:val="none" w:sz="0" w:space="0" w:color="auto"/>
            <w:left w:val="none" w:sz="0" w:space="0" w:color="auto"/>
            <w:bottom w:val="none" w:sz="0" w:space="0" w:color="auto"/>
            <w:right w:val="none" w:sz="0" w:space="0" w:color="auto"/>
          </w:divBdr>
        </w:div>
        <w:div w:id="1785345959">
          <w:marLeft w:val="0"/>
          <w:marRight w:val="0"/>
          <w:marTop w:val="0"/>
          <w:marBottom w:val="0"/>
          <w:divBdr>
            <w:top w:val="none" w:sz="0" w:space="0" w:color="auto"/>
            <w:left w:val="none" w:sz="0" w:space="0" w:color="auto"/>
            <w:bottom w:val="none" w:sz="0" w:space="0" w:color="auto"/>
            <w:right w:val="none" w:sz="0" w:space="0" w:color="auto"/>
          </w:divBdr>
        </w:div>
      </w:divsChild>
    </w:div>
    <w:div w:id="470056446">
      <w:bodyDiv w:val="1"/>
      <w:marLeft w:val="0"/>
      <w:marRight w:val="0"/>
      <w:marTop w:val="0"/>
      <w:marBottom w:val="0"/>
      <w:divBdr>
        <w:top w:val="none" w:sz="0" w:space="0" w:color="auto"/>
        <w:left w:val="none" w:sz="0" w:space="0" w:color="auto"/>
        <w:bottom w:val="none" w:sz="0" w:space="0" w:color="auto"/>
        <w:right w:val="none" w:sz="0" w:space="0" w:color="auto"/>
      </w:divBdr>
    </w:div>
    <w:div w:id="490606040">
      <w:bodyDiv w:val="1"/>
      <w:marLeft w:val="0"/>
      <w:marRight w:val="0"/>
      <w:marTop w:val="0"/>
      <w:marBottom w:val="0"/>
      <w:divBdr>
        <w:top w:val="none" w:sz="0" w:space="0" w:color="auto"/>
        <w:left w:val="none" w:sz="0" w:space="0" w:color="auto"/>
        <w:bottom w:val="none" w:sz="0" w:space="0" w:color="auto"/>
        <w:right w:val="none" w:sz="0" w:space="0" w:color="auto"/>
      </w:divBdr>
    </w:div>
    <w:div w:id="591745675">
      <w:bodyDiv w:val="1"/>
      <w:marLeft w:val="0"/>
      <w:marRight w:val="0"/>
      <w:marTop w:val="0"/>
      <w:marBottom w:val="0"/>
      <w:divBdr>
        <w:top w:val="none" w:sz="0" w:space="0" w:color="auto"/>
        <w:left w:val="none" w:sz="0" w:space="0" w:color="auto"/>
        <w:bottom w:val="none" w:sz="0" w:space="0" w:color="auto"/>
        <w:right w:val="none" w:sz="0" w:space="0" w:color="auto"/>
      </w:divBdr>
    </w:div>
    <w:div w:id="599873581">
      <w:bodyDiv w:val="1"/>
      <w:marLeft w:val="0"/>
      <w:marRight w:val="0"/>
      <w:marTop w:val="0"/>
      <w:marBottom w:val="0"/>
      <w:divBdr>
        <w:top w:val="none" w:sz="0" w:space="0" w:color="auto"/>
        <w:left w:val="none" w:sz="0" w:space="0" w:color="auto"/>
        <w:bottom w:val="none" w:sz="0" w:space="0" w:color="auto"/>
        <w:right w:val="none" w:sz="0" w:space="0" w:color="auto"/>
      </w:divBdr>
    </w:div>
    <w:div w:id="628435487">
      <w:bodyDiv w:val="1"/>
      <w:marLeft w:val="0"/>
      <w:marRight w:val="0"/>
      <w:marTop w:val="0"/>
      <w:marBottom w:val="0"/>
      <w:divBdr>
        <w:top w:val="none" w:sz="0" w:space="0" w:color="auto"/>
        <w:left w:val="none" w:sz="0" w:space="0" w:color="auto"/>
        <w:bottom w:val="none" w:sz="0" w:space="0" w:color="auto"/>
        <w:right w:val="none" w:sz="0" w:space="0" w:color="auto"/>
      </w:divBdr>
    </w:div>
    <w:div w:id="644168891">
      <w:bodyDiv w:val="1"/>
      <w:marLeft w:val="0"/>
      <w:marRight w:val="0"/>
      <w:marTop w:val="0"/>
      <w:marBottom w:val="0"/>
      <w:divBdr>
        <w:top w:val="none" w:sz="0" w:space="0" w:color="auto"/>
        <w:left w:val="none" w:sz="0" w:space="0" w:color="auto"/>
        <w:bottom w:val="none" w:sz="0" w:space="0" w:color="auto"/>
        <w:right w:val="none" w:sz="0" w:space="0" w:color="auto"/>
      </w:divBdr>
    </w:div>
    <w:div w:id="647437649">
      <w:bodyDiv w:val="1"/>
      <w:marLeft w:val="0"/>
      <w:marRight w:val="0"/>
      <w:marTop w:val="0"/>
      <w:marBottom w:val="0"/>
      <w:divBdr>
        <w:top w:val="none" w:sz="0" w:space="0" w:color="auto"/>
        <w:left w:val="none" w:sz="0" w:space="0" w:color="auto"/>
        <w:bottom w:val="none" w:sz="0" w:space="0" w:color="auto"/>
        <w:right w:val="none" w:sz="0" w:space="0" w:color="auto"/>
      </w:divBdr>
    </w:div>
    <w:div w:id="658969652">
      <w:bodyDiv w:val="1"/>
      <w:marLeft w:val="0"/>
      <w:marRight w:val="0"/>
      <w:marTop w:val="0"/>
      <w:marBottom w:val="0"/>
      <w:divBdr>
        <w:top w:val="none" w:sz="0" w:space="0" w:color="auto"/>
        <w:left w:val="none" w:sz="0" w:space="0" w:color="auto"/>
        <w:bottom w:val="none" w:sz="0" w:space="0" w:color="auto"/>
        <w:right w:val="none" w:sz="0" w:space="0" w:color="auto"/>
      </w:divBdr>
    </w:div>
    <w:div w:id="702250129">
      <w:bodyDiv w:val="1"/>
      <w:marLeft w:val="0"/>
      <w:marRight w:val="0"/>
      <w:marTop w:val="0"/>
      <w:marBottom w:val="0"/>
      <w:divBdr>
        <w:top w:val="none" w:sz="0" w:space="0" w:color="auto"/>
        <w:left w:val="none" w:sz="0" w:space="0" w:color="auto"/>
        <w:bottom w:val="none" w:sz="0" w:space="0" w:color="auto"/>
        <w:right w:val="none" w:sz="0" w:space="0" w:color="auto"/>
      </w:divBdr>
    </w:div>
    <w:div w:id="708385273">
      <w:bodyDiv w:val="1"/>
      <w:marLeft w:val="0"/>
      <w:marRight w:val="0"/>
      <w:marTop w:val="0"/>
      <w:marBottom w:val="0"/>
      <w:divBdr>
        <w:top w:val="none" w:sz="0" w:space="0" w:color="auto"/>
        <w:left w:val="none" w:sz="0" w:space="0" w:color="auto"/>
        <w:bottom w:val="none" w:sz="0" w:space="0" w:color="auto"/>
        <w:right w:val="none" w:sz="0" w:space="0" w:color="auto"/>
      </w:divBdr>
    </w:div>
    <w:div w:id="820193804">
      <w:bodyDiv w:val="1"/>
      <w:marLeft w:val="0"/>
      <w:marRight w:val="0"/>
      <w:marTop w:val="0"/>
      <w:marBottom w:val="0"/>
      <w:divBdr>
        <w:top w:val="none" w:sz="0" w:space="0" w:color="auto"/>
        <w:left w:val="none" w:sz="0" w:space="0" w:color="auto"/>
        <w:bottom w:val="none" w:sz="0" w:space="0" w:color="auto"/>
        <w:right w:val="none" w:sz="0" w:space="0" w:color="auto"/>
      </w:divBdr>
    </w:div>
    <w:div w:id="821821654">
      <w:bodyDiv w:val="1"/>
      <w:marLeft w:val="0"/>
      <w:marRight w:val="0"/>
      <w:marTop w:val="0"/>
      <w:marBottom w:val="0"/>
      <w:divBdr>
        <w:top w:val="none" w:sz="0" w:space="0" w:color="auto"/>
        <w:left w:val="none" w:sz="0" w:space="0" w:color="auto"/>
        <w:bottom w:val="none" w:sz="0" w:space="0" w:color="auto"/>
        <w:right w:val="none" w:sz="0" w:space="0" w:color="auto"/>
      </w:divBdr>
    </w:div>
    <w:div w:id="951128119">
      <w:bodyDiv w:val="1"/>
      <w:marLeft w:val="0"/>
      <w:marRight w:val="0"/>
      <w:marTop w:val="0"/>
      <w:marBottom w:val="0"/>
      <w:divBdr>
        <w:top w:val="none" w:sz="0" w:space="0" w:color="auto"/>
        <w:left w:val="none" w:sz="0" w:space="0" w:color="auto"/>
        <w:bottom w:val="none" w:sz="0" w:space="0" w:color="auto"/>
        <w:right w:val="none" w:sz="0" w:space="0" w:color="auto"/>
      </w:divBdr>
    </w:div>
    <w:div w:id="955598712">
      <w:bodyDiv w:val="1"/>
      <w:marLeft w:val="0"/>
      <w:marRight w:val="0"/>
      <w:marTop w:val="0"/>
      <w:marBottom w:val="0"/>
      <w:divBdr>
        <w:top w:val="none" w:sz="0" w:space="0" w:color="auto"/>
        <w:left w:val="none" w:sz="0" w:space="0" w:color="auto"/>
        <w:bottom w:val="none" w:sz="0" w:space="0" w:color="auto"/>
        <w:right w:val="none" w:sz="0" w:space="0" w:color="auto"/>
      </w:divBdr>
    </w:div>
    <w:div w:id="1015038391">
      <w:bodyDiv w:val="1"/>
      <w:marLeft w:val="0"/>
      <w:marRight w:val="0"/>
      <w:marTop w:val="0"/>
      <w:marBottom w:val="0"/>
      <w:divBdr>
        <w:top w:val="none" w:sz="0" w:space="0" w:color="auto"/>
        <w:left w:val="none" w:sz="0" w:space="0" w:color="auto"/>
        <w:bottom w:val="none" w:sz="0" w:space="0" w:color="auto"/>
        <w:right w:val="none" w:sz="0" w:space="0" w:color="auto"/>
      </w:divBdr>
    </w:div>
    <w:div w:id="1021396187">
      <w:bodyDiv w:val="1"/>
      <w:marLeft w:val="0"/>
      <w:marRight w:val="0"/>
      <w:marTop w:val="0"/>
      <w:marBottom w:val="0"/>
      <w:divBdr>
        <w:top w:val="none" w:sz="0" w:space="0" w:color="auto"/>
        <w:left w:val="none" w:sz="0" w:space="0" w:color="auto"/>
        <w:bottom w:val="none" w:sz="0" w:space="0" w:color="auto"/>
        <w:right w:val="none" w:sz="0" w:space="0" w:color="auto"/>
      </w:divBdr>
    </w:div>
    <w:div w:id="1035891005">
      <w:bodyDiv w:val="1"/>
      <w:marLeft w:val="0"/>
      <w:marRight w:val="0"/>
      <w:marTop w:val="0"/>
      <w:marBottom w:val="0"/>
      <w:divBdr>
        <w:top w:val="none" w:sz="0" w:space="0" w:color="auto"/>
        <w:left w:val="none" w:sz="0" w:space="0" w:color="auto"/>
        <w:bottom w:val="none" w:sz="0" w:space="0" w:color="auto"/>
        <w:right w:val="none" w:sz="0" w:space="0" w:color="auto"/>
      </w:divBdr>
    </w:div>
    <w:div w:id="1038429514">
      <w:bodyDiv w:val="1"/>
      <w:marLeft w:val="0"/>
      <w:marRight w:val="0"/>
      <w:marTop w:val="0"/>
      <w:marBottom w:val="0"/>
      <w:divBdr>
        <w:top w:val="none" w:sz="0" w:space="0" w:color="auto"/>
        <w:left w:val="none" w:sz="0" w:space="0" w:color="auto"/>
        <w:bottom w:val="none" w:sz="0" w:space="0" w:color="auto"/>
        <w:right w:val="none" w:sz="0" w:space="0" w:color="auto"/>
      </w:divBdr>
    </w:div>
    <w:div w:id="1038773966">
      <w:bodyDiv w:val="1"/>
      <w:marLeft w:val="0"/>
      <w:marRight w:val="0"/>
      <w:marTop w:val="0"/>
      <w:marBottom w:val="0"/>
      <w:divBdr>
        <w:top w:val="none" w:sz="0" w:space="0" w:color="auto"/>
        <w:left w:val="none" w:sz="0" w:space="0" w:color="auto"/>
        <w:bottom w:val="none" w:sz="0" w:space="0" w:color="auto"/>
        <w:right w:val="none" w:sz="0" w:space="0" w:color="auto"/>
      </w:divBdr>
    </w:div>
    <w:div w:id="1071342640">
      <w:bodyDiv w:val="1"/>
      <w:marLeft w:val="0"/>
      <w:marRight w:val="0"/>
      <w:marTop w:val="0"/>
      <w:marBottom w:val="0"/>
      <w:divBdr>
        <w:top w:val="none" w:sz="0" w:space="0" w:color="auto"/>
        <w:left w:val="none" w:sz="0" w:space="0" w:color="auto"/>
        <w:bottom w:val="none" w:sz="0" w:space="0" w:color="auto"/>
        <w:right w:val="none" w:sz="0" w:space="0" w:color="auto"/>
      </w:divBdr>
    </w:div>
    <w:div w:id="1181314559">
      <w:bodyDiv w:val="1"/>
      <w:marLeft w:val="0"/>
      <w:marRight w:val="0"/>
      <w:marTop w:val="0"/>
      <w:marBottom w:val="0"/>
      <w:divBdr>
        <w:top w:val="none" w:sz="0" w:space="0" w:color="auto"/>
        <w:left w:val="none" w:sz="0" w:space="0" w:color="auto"/>
        <w:bottom w:val="none" w:sz="0" w:space="0" w:color="auto"/>
        <w:right w:val="none" w:sz="0" w:space="0" w:color="auto"/>
      </w:divBdr>
    </w:div>
    <w:div w:id="1194032433">
      <w:bodyDiv w:val="1"/>
      <w:marLeft w:val="0"/>
      <w:marRight w:val="0"/>
      <w:marTop w:val="0"/>
      <w:marBottom w:val="0"/>
      <w:divBdr>
        <w:top w:val="none" w:sz="0" w:space="0" w:color="auto"/>
        <w:left w:val="none" w:sz="0" w:space="0" w:color="auto"/>
        <w:bottom w:val="none" w:sz="0" w:space="0" w:color="auto"/>
        <w:right w:val="none" w:sz="0" w:space="0" w:color="auto"/>
      </w:divBdr>
    </w:div>
    <w:div w:id="1207713779">
      <w:bodyDiv w:val="1"/>
      <w:marLeft w:val="0"/>
      <w:marRight w:val="0"/>
      <w:marTop w:val="0"/>
      <w:marBottom w:val="0"/>
      <w:divBdr>
        <w:top w:val="none" w:sz="0" w:space="0" w:color="auto"/>
        <w:left w:val="none" w:sz="0" w:space="0" w:color="auto"/>
        <w:bottom w:val="none" w:sz="0" w:space="0" w:color="auto"/>
        <w:right w:val="none" w:sz="0" w:space="0" w:color="auto"/>
      </w:divBdr>
    </w:div>
    <w:div w:id="1218933325">
      <w:bodyDiv w:val="1"/>
      <w:marLeft w:val="0"/>
      <w:marRight w:val="0"/>
      <w:marTop w:val="0"/>
      <w:marBottom w:val="0"/>
      <w:divBdr>
        <w:top w:val="none" w:sz="0" w:space="0" w:color="auto"/>
        <w:left w:val="none" w:sz="0" w:space="0" w:color="auto"/>
        <w:bottom w:val="none" w:sz="0" w:space="0" w:color="auto"/>
        <w:right w:val="none" w:sz="0" w:space="0" w:color="auto"/>
      </w:divBdr>
    </w:div>
    <w:div w:id="1261907644">
      <w:bodyDiv w:val="1"/>
      <w:marLeft w:val="0"/>
      <w:marRight w:val="0"/>
      <w:marTop w:val="0"/>
      <w:marBottom w:val="0"/>
      <w:divBdr>
        <w:top w:val="none" w:sz="0" w:space="0" w:color="auto"/>
        <w:left w:val="none" w:sz="0" w:space="0" w:color="auto"/>
        <w:bottom w:val="none" w:sz="0" w:space="0" w:color="auto"/>
        <w:right w:val="none" w:sz="0" w:space="0" w:color="auto"/>
      </w:divBdr>
    </w:div>
    <w:div w:id="1263223482">
      <w:bodyDiv w:val="1"/>
      <w:marLeft w:val="0"/>
      <w:marRight w:val="0"/>
      <w:marTop w:val="0"/>
      <w:marBottom w:val="0"/>
      <w:divBdr>
        <w:top w:val="none" w:sz="0" w:space="0" w:color="auto"/>
        <w:left w:val="none" w:sz="0" w:space="0" w:color="auto"/>
        <w:bottom w:val="none" w:sz="0" w:space="0" w:color="auto"/>
        <w:right w:val="none" w:sz="0" w:space="0" w:color="auto"/>
      </w:divBdr>
    </w:div>
    <w:div w:id="1288585379">
      <w:bodyDiv w:val="1"/>
      <w:marLeft w:val="0"/>
      <w:marRight w:val="0"/>
      <w:marTop w:val="0"/>
      <w:marBottom w:val="0"/>
      <w:divBdr>
        <w:top w:val="none" w:sz="0" w:space="0" w:color="auto"/>
        <w:left w:val="none" w:sz="0" w:space="0" w:color="auto"/>
        <w:bottom w:val="none" w:sz="0" w:space="0" w:color="auto"/>
        <w:right w:val="none" w:sz="0" w:space="0" w:color="auto"/>
      </w:divBdr>
    </w:div>
    <w:div w:id="1291207939">
      <w:bodyDiv w:val="1"/>
      <w:marLeft w:val="0"/>
      <w:marRight w:val="0"/>
      <w:marTop w:val="0"/>
      <w:marBottom w:val="0"/>
      <w:divBdr>
        <w:top w:val="none" w:sz="0" w:space="0" w:color="auto"/>
        <w:left w:val="none" w:sz="0" w:space="0" w:color="auto"/>
        <w:bottom w:val="none" w:sz="0" w:space="0" w:color="auto"/>
        <w:right w:val="none" w:sz="0" w:space="0" w:color="auto"/>
      </w:divBdr>
    </w:div>
    <w:div w:id="1329020750">
      <w:bodyDiv w:val="1"/>
      <w:marLeft w:val="0"/>
      <w:marRight w:val="0"/>
      <w:marTop w:val="0"/>
      <w:marBottom w:val="0"/>
      <w:divBdr>
        <w:top w:val="none" w:sz="0" w:space="0" w:color="auto"/>
        <w:left w:val="none" w:sz="0" w:space="0" w:color="auto"/>
        <w:bottom w:val="none" w:sz="0" w:space="0" w:color="auto"/>
        <w:right w:val="none" w:sz="0" w:space="0" w:color="auto"/>
      </w:divBdr>
    </w:div>
    <w:div w:id="1336153527">
      <w:bodyDiv w:val="1"/>
      <w:marLeft w:val="0"/>
      <w:marRight w:val="0"/>
      <w:marTop w:val="0"/>
      <w:marBottom w:val="0"/>
      <w:divBdr>
        <w:top w:val="none" w:sz="0" w:space="0" w:color="auto"/>
        <w:left w:val="none" w:sz="0" w:space="0" w:color="auto"/>
        <w:bottom w:val="none" w:sz="0" w:space="0" w:color="auto"/>
        <w:right w:val="none" w:sz="0" w:space="0" w:color="auto"/>
      </w:divBdr>
    </w:div>
    <w:div w:id="1342968698">
      <w:bodyDiv w:val="1"/>
      <w:marLeft w:val="0"/>
      <w:marRight w:val="0"/>
      <w:marTop w:val="0"/>
      <w:marBottom w:val="0"/>
      <w:divBdr>
        <w:top w:val="none" w:sz="0" w:space="0" w:color="auto"/>
        <w:left w:val="none" w:sz="0" w:space="0" w:color="auto"/>
        <w:bottom w:val="none" w:sz="0" w:space="0" w:color="auto"/>
        <w:right w:val="none" w:sz="0" w:space="0" w:color="auto"/>
      </w:divBdr>
    </w:div>
    <w:div w:id="1368989111">
      <w:bodyDiv w:val="1"/>
      <w:marLeft w:val="0"/>
      <w:marRight w:val="0"/>
      <w:marTop w:val="0"/>
      <w:marBottom w:val="0"/>
      <w:divBdr>
        <w:top w:val="none" w:sz="0" w:space="0" w:color="auto"/>
        <w:left w:val="none" w:sz="0" w:space="0" w:color="auto"/>
        <w:bottom w:val="none" w:sz="0" w:space="0" w:color="auto"/>
        <w:right w:val="none" w:sz="0" w:space="0" w:color="auto"/>
      </w:divBdr>
    </w:div>
    <w:div w:id="1399018788">
      <w:bodyDiv w:val="1"/>
      <w:marLeft w:val="0"/>
      <w:marRight w:val="0"/>
      <w:marTop w:val="0"/>
      <w:marBottom w:val="0"/>
      <w:divBdr>
        <w:top w:val="none" w:sz="0" w:space="0" w:color="auto"/>
        <w:left w:val="none" w:sz="0" w:space="0" w:color="auto"/>
        <w:bottom w:val="none" w:sz="0" w:space="0" w:color="auto"/>
        <w:right w:val="none" w:sz="0" w:space="0" w:color="auto"/>
      </w:divBdr>
    </w:div>
    <w:div w:id="1467235169">
      <w:bodyDiv w:val="1"/>
      <w:marLeft w:val="0"/>
      <w:marRight w:val="0"/>
      <w:marTop w:val="0"/>
      <w:marBottom w:val="0"/>
      <w:divBdr>
        <w:top w:val="none" w:sz="0" w:space="0" w:color="auto"/>
        <w:left w:val="none" w:sz="0" w:space="0" w:color="auto"/>
        <w:bottom w:val="none" w:sz="0" w:space="0" w:color="auto"/>
        <w:right w:val="none" w:sz="0" w:space="0" w:color="auto"/>
      </w:divBdr>
    </w:div>
    <w:div w:id="1559247990">
      <w:bodyDiv w:val="1"/>
      <w:marLeft w:val="0"/>
      <w:marRight w:val="0"/>
      <w:marTop w:val="0"/>
      <w:marBottom w:val="0"/>
      <w:divBdr>
        <w:top w:val="none" w:sz="0" w:space="0" w:color="auto"/>
        <w:left w:val="none" w:sz="0" w:space="0" w:color="auto"/>
        <w:bottom w:val="none" w:sz="0" w:space="0" w:color="auto"/>
        <w:right w:val="none" w:sz="0" w:space="0" w:color="auto"/>
      </w:divBdr>
    </w:div>
    <w:div w:id="1580167891">
      <w:bodyDiv w:val="1"/>
      <w:marLeft w:val="0"/>
      <w:marRight w:val="0"/>
      <w:marTop w:val="0"/>
      <w:marBottom w:val="0"/>
      <w:divBdr>
        <w:top w:val="none" w:sz="0" w:space="0" w:color="auto"/>
        <w:left w:val="none" w:sz="0" w:space="0" w:color="auto"/>
        <w:bottom w:val="none" w:sz="0" w:space="0" w:color="auto"/>
        <w:right w:val="none" w:sz="0" w:space="0" w:color="auto"/>
      </w:divBdr>
    </w:div>
    <w:div w:id="1582178831">
      <w:bodyDiv w:val="1"/>
      <w:marLeft w:val="0"/>
      <w:marRight w:val="0"/>
      <w:marTop w:val="0"/>
      <w:marBottom w:val="0"/>
      <w:divBdr>
        <w:top w:val="none" w:sz="0" w:space="0" w:color="auto"/>
        <w:left w:val="none" w:sz="0" w:space="0" w:color="auto"/>
        <w:bottom w:val="none" w:sz="0" w:space="0" w:color="auto"/>
        <w:right w:val="none" w:sz="0" w:space="0" w:color="auto"/>
      </w:divBdr>
    </w:div>
    <w:div w:id="1585529090">
      <w:bodyDiv w:val="1"/>
      <w:marLeft w:val="0"/>
      <w:marRight w:val="0"/>
      <w:marTop w:val="0"/>
      <w:marBottom w:val="0"/>
      <w:divBdr>
        <w:top w:val="none" w:sz="0" w:space="0" w:color="auto"/>
        <w:left w:val="none" w:sz="0" w:space="0" w:color="auto"/>
        <w:bottom w:val="none" w:sz="0" w:space="0" w:color="auto"/>
        <w:right w:val="none" w:sz="0" w:space="0" w:color="auto"/>
      </w:divBdr>
    </w:div>
    <w:div w:id="1589532565">
      <w:bodyDiv w:val="1"/>
      <w:marLeft w:val="0"/>
      <w:marRight w:val="0"/>
      <w:marTop w:val="0"/>
      <w:marBottom w:val="0"/>
      <w:divBdr>
        <w:top w:val="none" w:sz="0" w:space="0" w:color="auto"/>
        <w:left w:val="none" w:sz="0" w:space="0" w:color="auto"/>
        <w:bottom w:val="none" w:sz="0" w:space="0" w:color="auto"/>
        <w:right w:val="none" w:sz="0" w:space="0" w:color="auto"/>
      </w:divBdr>
    </w:div>
    <w:div w:id="1623918451">
      <w:bodyDiv w:val="1"/>
      <w:marLeft w:val="0"/>
      <w:marRight w:val="0"/>
      <w:marTop w:val="0"/>
      <w:marBottom w:val="0"/>
      <w:divBdr>
        <w:top w:val="none" w:sz="0" w:space="0" w:color="auto"/>
        <w:left w:val="none" w:sz="0" w:space="0" w:color="auto"/>
        <w:bottom w:val="none" w:sz="0" w:space="0" w:color="auto"/>
        <w:right w:val="none" w:sz="0" w:space="0" w:color="auto"/>
      </w:divBdr>
    </w:div>
    <w:div w:id="1657151693">
      <w:bodyDiv w:val="1"/>
      <w:marLeft w:val="0"/>
      <w:marRight w:val="0"/>
      <w:marTop w:val="0"/>
      <w:marBottom w:val="0"/>
      <w:divBdr>
        <w:top w:val="none" w:sz="0" w:space="0" w:color="auto"/>
        <w:left w:val="none" w:sz="0" w:space="0" w:color="auto"/>
        <w:bottom w:val="none" w:sz="0" w:space="0" w:color="auto"/>
        <w:right w:val="none" w:sz="0" w:space="0" w:color="auto"/>
      </w:divBdr>
      <w:divsChild>
        <w:div w:id="722027294">
          <w:marLeft w:val="0"/>
          <w:marRight w:val="0"/>
          <w:marTop w:val="0"/>
          <w:marBottom w:val="0"/>
          <w:divBdr>
            <w:top w:val="none" w:sz="0" w:space="0" w:color="auto"/>
            <w:left w:val="none" w:sz="0" w:space="0" w:color="auto"/>
            <w:bottom w:val="none" w:sz="0" w:space="0" w:color="auto"/>
            <w:right w:val="none" w:sz="0" w:space="0" w:color="auto"/>
          </w:divBdr>
        </w:div>
        <w:div w:id="1978299503">
          <w:marLeft w:val="0"/>
          <w:marRight w:val="0"/>
          <w:marTop w:val="0"/>
          <w:marBottom w:val="0"/>
          <w:divBdr>
            <w:top w:val="none" w:sz="0" w:space="0" w:color="auto"/>
            <w:left w:val="none" w:sz="0" w:space="0" w:color="auto"/>
            <w:bottom w:val="none" w:sz="0" w:space="0" w:color="auto"/>
            <w:right w:val="none" w:sz="0" w:space="0" w:color="auto"/>
          </w:divBdr>
        </w:div>
      </w:divsChild>
    </w:div>
    <w:div w:id="1674065846">
      <w:bodyDiv w:val="1"/>
      <w:marLeft w:val="0"/>
      <w:marRight w:val="0"/>
      <w:marTop w:val="0"/>
      <w:marBottom w:val="0"/>
      <w:divBdr>
        <w:top w:val="none" w:sz="0" w:space="0" w:color="auto"/>
        <w:left w:val="none" w:sz="0" w:space="0" w:color="auto"/>
        <w:bottom w:val="none" w:sz="0" w:space="0" w:color="auto"/>
        <w:right w:val="none" w:sz="0" w:space="0" w:color="auto"/>
      </w:divBdr>
      <w:divsChild>
        <w:div w:id="224075357">
          <w:marLeft w:val="0"/>
          <w:marRight w:val="0"/>
          <w:marTop w:val="0"/>
          <w:marBottom w:val="0"/>
          <w:divBdr>
            <w:top w:val="none" w:sz="0" w:space="0" w:color="auto"/>
            <w:left w:val="none" w:sz="0" w:space="0" w:color="auto"/>
            <w:bottom w:val="none" w:sz="0" w:space="0" w:color="auto"/>
            <w:right w:val="none" w:sz="0" w:space="0" w:color="auto"/>
          </w:divBdr>
          <w:divsChild>
            <w:div w:id="215512606">
              <w:marLeft w:val="0"/>
              <w:marRight w:val="0"/>
              <w:marTop w:val="0"/>
              <w:marBottom w:val="0"/>
              <w:divBdr>
                <w:top w:val="single" w:sz="6" w:space="0" w:color="CCCCCC"/>
                <w:left w:val="none" w:sz="0" w:space="0" w:color="CCCCCC"/>
                <w:bottom w:val="single" w:sz="6" w:space="0" w:color="CCCCCC"/>
                <w:right w:val="none" w:sz="0" w:space="8" w:color="CCCCCC"/>
              </w:divBdr>
              <w:divsChild>
                <w:div w:id="754060379">
                  <w:marLeft w:val="45"/>
                  <w:marRight w:val="75"/>
                  <w:marTop w:val="0"/>
                  <w:marBottom w:val="0"/>
                  <w:divBdr>
                    <w:top w:val="none" w:sz="0" w:space="0" w:color="auto"/>
                    <w:left w:val="none" w:sz="0" w:space="0" w:color="auto"/>
                    <w:bottom w:val="none" w:sz="0" w:space="0" w:color="auto"/>
                    <w:right w:val="none" w:sz="0" w:space="0" w:color="auto"/>
                  </w:divBdr>
                </w:div>
                <w:div w:id="1853641928">
                  <w:marLeft w:val="225"/>
                  <w:marRight w:val="0"/>
                  <w:marTop w:val="0"/>
                  <w:marBottom w:val="0"/>
                  <w:divBdr>
                    <w:top w:val="none" w:sz="0" w:space="0" w:color="auto"/>
                    <w:left w:val="none" w:sz="0" w:space="0" w:color="auto"/>
                    <w:bottom w:val="none" w:sz="0" w:space="0" w:color="auto"/>
                    <w:right w:val="none" w:sz="0" w:space="0" w:color="auto"/>
                  </w:divBdr>
                </w:div>
              </w:divsChild>
            </w:div>
            <w:div w:id="898134378">
              <w:marLeft w:val="0"/>
              <w:marRight w:val="150"/>
              <w:marTop w:val="0"/>
              <w:marBottom w:val="0"/>
              <w:divBdr>
                <w:top w:val="none" w:sz="0" w:space="0" w:color="auto"/>
                <w:left w:val="none" w:sz="0" w:space="0" w:color="auto"/>
                <w:bottom w:val="none" w:sz="0" w:space="0" w:color="auto"/>
                <w:right w:val="none" w:sz="0" w:space="0" w:color="auto"/>
              </w:divBdr>
              <w:divsChild>
                <w:div w:id="1077283792">
                  <w:marLeft w:val="0"/>
                  <w:marRight w:val="0"/>
                  <w:marTop w:val="0"/>
                  <w:marBottom w:val="0"/>
                  <w:divBdr>
                    <w:top w:val="none" w:sz="0" w:space="0" w:color="auto"/>
                    <w:left w:val="none" w:sz="0" w:space="0" w:color="auto"/>
                    <w:bottom w:val="none" w:sz="0" w:space="0" w:color="auto"/>
                    <w:right w:val="none" w:sz="0" w:space="0" w:color="auto"/>
                  </w:divBdr>
                  <w:divsChild>
                    <w:div w:id="42889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43943">
      <w:bodyDiv w:val="1"/>
      <w:marLeft w:val="0"/>
      <w:marRight w:val="0"/>
      <w:marTop w:val="0"/>
      <w:marBottom w:val="0"/>
      <w:divBdr>
        <w:top w:val="none" w:sz="0" w:space="0" w:color="auto"/>
        <w:left w:val="none" w:sz="0" w:space="0" w:color="auto"/>
        <w:bottom w:val="none" w:sz="0" w:space="0" w:color="auto"/>
        <w:right w:val="none" w:sz="0" w:space="0" w:color="auto"/>
      </w:divBdr>
    </w:div>
    <w:div w:id="1728799310">
      <w:bodyDiv w:val="1"/>
      <w:marLeft w:val="0"/>
      <w:marRight w:val="0"/>
      <w:marTop w:val="0"/>
      <w:marBottom w:val="0"/>
      <w:divBdr>
        <w:top w:val="none" w:sz="0" w:space="0" w:color="auto"/>
        <w:left w:val="none" w:sz="0" w:space="0" w:color="auto"/>
        <w:bottom w:val="none" w:sz="0" w:space="0" w:color="auto"/>
        <w:right w:val="none" w:sz="0" w:space="0" w:color="auto"/>
      </w:divBdr>
    </w:div>
    <w:div w:id="1825857640">
      <w:bodyDiv w:val="1"/>
      <w:marLeft w:val="0"/>
      <w:marRight w:val="0"/>
      <w:marTop w:val="0"/>
      <w:marBottom w:val="0"/>
      <w:divBdr>
        <w:top w:val="none" w:sz="0" w:space="0" w:color="auto"/>
        <w:left w:val="none" w:sz="0" w:space="0" w:color="auto"/>
        <w:bottom w:val="none" w:sz="0" w:space="0" w:color="auto"/>
        <w:right w:val="none" w:sz="0" w:space="0" w:color="auto"/>
      </w:divBdr>
    </w:div>
    <w:div w:id="1965699200">
      <w:bodyDiv w:val="1"/>
      <w:marLeft w:val="0"/>
      <w:marRight w:val="0"/>
      <w:marTop w:val="0"/>
      <w:marBottom w:val="0"/>
      <w:divBdr>
        <w:top w:val="none" w:sz="0" w:space="0" w:color="auto"/>
        <w:left w:val="none" w:sz="0" w:space="0" w:color="auto"/>
        <w:bottom w:val="none" w:sz="0" w:space="0" w:color="auto"/>
        <w:right w:val="none" w:sz="0" w:space="0" w:color="auto"/>
      </w:divBdr>
    </w:div>
    <w:div w:id="2031829658">
      <w:bodyDiv w:val="1"/>
      <w:marLeft w:val="0"/>
      <w:marRight w:val="0"/>
      <w:marTop w:val="0"/>
      <w:marBottom w:val="0"/>
      <w:divBdr>
        <w:top w:val="none" w:sz="0" w:space="0" w:color="auto"/>
        <w:left w:val="none" w:sz="0" w:space="0" w:color="auto"/>
        <w:bottom w:val="none" w:sz="0" w:space="0" w:color="auto"/>
        <w:right w:val="none" w:sz="0" w:space="0" w:color="auto"/>
      </w:divBdr>
      <w:divsChild>
        <w:div w:id="164980379">
          <w:marLeft w:val="0"/>
          <w:marRight w:val="0"/>
          <w:marTop w:val="0"/>
          <w:marBottom w:val="0"/>
          <w:divBdr>
            <w:top w:val="none" w:sz="0" w:space="0" w:color="auto"/>
            <w:left w:val="none" w:sz="0" w:space="0" w:color="auto"/>
            <w:bottom w:val="none" w:sz="0" w:space="0" w:color="auto"/>
            <w:right w:val="none" w:sz="0" w:space="0" w:color="auto"/>
          </w:divBdr>
          <w:divsChild>
            <w:div w:id="20748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9349">
      <w:bodyDiv w:val="1"/>
      <w:marLeft w:val="0"/>
      <w:marRight w:val="0"/>
      <w:marTop w:val="0"/>
      <w:marBottom w:val="0"/>
      <w:divBdr>
        <w:top w:val="none" w:sz="0" w:space="0" w:color="auto"/>
        <w:left w:val="none" w:sz="0" w:space="0" w:color="auto"/>
        <w:bottom w:val="none" w:sz="0" w:space="0" w:color="auto"/>
        <w:right w:val="none" w:sz="0" w:space="0" w:color="auto"/>
      </w:divBdr>
    </w:div>
    <w:div w:id="2069185806">
      <w:bodyDiv w:val="1"/>
      <w:marLeft w:val="0"/>
      <w:marRight w:val="0"/>
      <w:marTop w:val="0"/>
      <w:marBottom w:val="0"/>
      <w:divBdr>
        <w:top w:val="none" w:sz="0" w:space="0" w:color="auto"/>
        <w:left w:val="none" w:sz="0" w:space="0" w:color="auto"/>
        <w:bottom w:val="none" w:sz="0" w:space="0" w:color="auto"/>
        <w:right w:val="none" w:sz="0" w:space="0" w:color="auto"/>
      </w:divBdr>
    </w:div>
    <w:div w:id="2080666919">
      <w:bodyDiv w:val="1"/>
      <w:marLeft w:val="0"/>
      <w:marRight w:val="0"/>
      <w:marTop w:val="0"/>
      <w:marBottom w:val="0"/>
      <w:divBdr>
        <w:top w:val="none" w:sz="0" w:space="0" w:color="auto"/>
        <w:left w:val="none" w:sz="0" w:space="0" w:color="auto"/>
        <w:bottom w:val="none" w:sz="0" w:space="0" w:color="auto"/>
        <w:right w:val="none" w:sz="0" w:space="0" w:color="auto"/>
      </w:divBdr>
      <w:divsChild>
        <w:div w:id="224146739">
          <w:marLeft w:val="0"/>
          <w:marRight w:val="0"/>
          <w:marTop w:val="0"/>
          <w:marBottom w:val="0"/>
          <w:divBdr>
            <w:top w:val="none" w:sz="0" w:space="0" w:color="auto"/>
            <w:left w:val="none" w:sz="0" w:space="0" w:color="auto"/>
            <w:bottom w:val="none" w:sz="0" w:space="0" w:color="auto"/>
            <w:right w:val="none" w:sz="0" w:space="0" w:color="auto"/>
          </w:divBdr>
          <w:divsChild>
            <w:div w:id="1362439155">
              <w:marLeft w:val="0"/>
              <w:marRight w:val="0"/>
              <w:marTop w:val="0"/>
              <w:marBottom w:val="0"/>
              <w:divBdr>
                <w:top w:val="single" w:sz="6" w:space="0" w:color="CCCCCC"/>
                <w:left w:val="none" w:sz="0" w:space="0" w:color="CCCCCC"/>
                <w:bottom w:val="single" w:sz="6" w:space="0" w:color="CCCCCC"/>
                <w:right w:val="none" w:sz="0" w:space="8" w:color="CCCCCC"/>
              </w:divBdr>
              <w:divsChild>
                <w:div w:id="153106187">
                  <w:marLeft w:val="225"/>
                  <w:marRight w:val="0"/>
                  <w:marTop w:val="0"/>
                  <w:marBottom w:val="0"/>
                  <w:divBdr>
                    <w:top w:val="none" w:sz="0" w:space="0" w:color="auto"/>
                    <w:left w:val="none" w:sz="0" w:space="0" w:color="auto"/>
                    <w:bottom w:val="none" w:sz="0" w:space="0" w:color="auto"/>
                    <w:right w:val="none" w:sz="0" w:space="0" w:color="auto"/>
                  </w:divBdr>
                </w:div>
                <w:div w:id="732242481">
                  <w:marLeft w:val="45"/>
                  <w:marRight w:val="75"/>
                  <w:marTop w:val="0"/>
                  <w:marBottom w:val="0"/>
                  <w:divBdr>
                    <w:top w:val="none" w:sz="0" w:space="0" w:color="auto"/>
                    <w:left w:val="none" w:sz="0" w:space="0" w:color="auto"/>
                    <w:bottom w:val="none" w:sz="0" w:space="0" w:color="auto"/>
                    <w:right w:val="none" w:sz="0" w:space="0" w:color="auto"/>
                  </w:divBdr>
                </w:div>
              </w:divsChild>
            </w:div>
            <w:div w:id="1950116888">
              <w:marLeft w:val="0"/>
              <w:marRight w:val="150"/>
              <w:marTop w:val="0"/>
              <w:marBottom w:val="0"/>
              <w:divBdr>
                <w:top w:val="none" w:sz="0" w:space="0" w:color="auto"/>
                <w:left w:val="none" w:sz="0" w:space="0" w:color="auto"/>
                <w:bottom w:val="none" w:sz="0" w:space="0" w:color="auto"/>
                <w:right w:val="none" w:sz="0" w:space="0" w:color="auto"/>
              </w:divBdr>
              <w:divsChild>
                <w:div w:id="560336857">
                  <w:marLeft w:val="0"/>
                  <w:marRight w:val="0"/>
                  <w:marTop w:val="0"/>
                  <w:marBottom w:val="0"/>
                  <w:divBdr>
                    <w:top w:val="none" w:sz="0" w:space="0" w:color="auto"/>
                    <w:left w:val="none" w:sz="0" w:space="0" w:color="auto"/>
                    <w:bottom w:val="none" w:sz="0" w:space="0" w:color="auto"/>
                    <w:right w:val="none" w:sz="0" w:space="0" w:color="auto"/>
                  </w:divBdr>
                  <w:divsChild>
                    <w:div w:id="4322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950128">
      <w:bodyDiv w:val="1"/>
      <w:marLeft w:val="0"/>
      <w:marRight w:val="0"/>
      <w:marTop w:val="0"/>
      <w:marBottom w:val="0"/>
      <w:divBdr>
        <w:top w:val="none" w:sz="0" w:space="0" w:color="auto"/>
        <w:left w:val="none" w:sz="0" w:space="0" w:color="auto"/>
        <w:bottom w:val="none" w:sz="0" w:space="0" w:color="auto"/>
        <w:right w:val="none" w:sz="0" w:space="0" w:color="auto"/>
      </w:divBdr>
    </w:div>
    <w:div w:id="2122801350">
      <w:bodyDiv w:val="1"/>
      <w:marLeft w:val="0"/>
      <w:marRight w:val="0"/>
      <w:marTop w:val="0"/>
      <w:marBottom w:val="0"/>
      <w:divBdr>
        <w:top w:val="none" w:sz="0" w:space="0" w:color="auto"/>
        <w:left w:val="none" w:sz="0" w:space="0" w:color="auto"/>
        <w:bottom w:val="none" w:sz="0" w:space="0" w:color="auto"/>
        <w:right w:val="none" w:sz="0" w:space="0" w:color="auto"/>
      </w:divBdr>
      <w:divsChild>
        <w:div w:id="161821429">
          <w:marLeft w:val="0"/>
          <w:marRight w:val="0"/>
          <w:marTop w:val="0"/>
          <w:marBottom w:val="0"/>
          <w:divBdr>
            <w:top w:val="none" w:sz="0" w:space="0" w:color="auto"/>
            <w:left w:val="none" w:sz="0" w:space="0" w:color="auto"/>
            <w:bottom w:val="none" w:sz="0" w:space="0" w:color="auto"/>
            <w:right w:val="none" w:sz="0" w:space="0" w:color="auto"/>
          </w:divBdr>
        </w:div>
        <w:div w:id="2046830775">
          <w:marLeft w:val="0"/>
          <w:marRight w:val="0"/>
          <w:marTop w:val="0"/>
          <w:marBottom w:val="0"/>
          <w:divBdr>
            <w:top w:val="none" w:sz="0" w:space="0" w:color="auto"/>
            <w:left w:val="none" w:sz="0" w:space="0" w:color="auto"/>
            <w:bottom w:val="none" w:sz="0" w:space="0" w:color="auto"/>
            <w:right w:val="none" w:sz="0" w:space="0" w:color="auto"/>
          </w:divBdr>
        </w:div>
      </w:divsChild>
    </w:div>
    <w:div w:id="2138641989">
      <w:bodyDiv w:val="1"/>
      <w:marLeft w:val="0"/>
      <w:marRight w:val="0"/>
      <w:marTop w:val="0"/>
      <w:marBottom w:val="0"/>
      <w:divBdr>
        <w:top w:val="none" w:sz="0" w:space="0" w:color="auto"/>
        <w:left w:val="none" w:sz="0" w:space="0" w:color="auto"/>
        <w:bottom w:val="none" w:sz="0" w:space="0" w:color="auto"/>
        <w:right w:val="none" w:sz="0" w:space="0" w:color="auto"/>
      </w:divBdr>
      <w:divsChild>
        <w:div w:id="80303133">
          <w:marLeft w:val="0"/>
          <w:marRight w:val="0"/>
          <w:marTop w:val="0"/>
          <w:marBottom w:val="0"/>
          <w:divBdr>
            <w:top w:val="none" w:sz="0" w:space="0" w:color="auto"/>
            <w:left w:val="none" w:sz="0" w:space="0" w:color="auto"/>
            <w:bottom w:val="none" w:sz="0" w:space="0" w:color="auto"/>
            <w:right w:val="none" w:sz="0" w:space="0" w:color="auto"/>
          </w:divBdr>
          <w:divsChild>
            <w:div w:id="1972516331">
              <w:marLeft w:val="0"/>
              <w:marRight w:val="0"/>
              <w:marTop w:val="0"/>
              <w:marBottom w:val="0"/>
              <w:divBdr>
                <w:top w:val="none" w:sz="0" w:space="0" w:color="auto"/>
                <w:left w:val="none" w:sz="0" w:space="0" w:color="auto"/>
                <w:bottom w:val="none" w:sz="0" w:space="0" w:color="auto"/>
                <w:right w:val="none" w:sz="0" w:space="0" w:color="auto"/>
              </w:divBdr>
              <w:divsChild>
                <w:div w:id="1904638657">
                  <w:marLeft w:val="0"/>
                  <w:marRight w:val="0"/>
                  <w:marTop w:val="0"/>
                  <w:marBottom w:val="0"/>
                  <w:divBdr>
                    <w:top w:val="none" w:sz="0" w:space="0" w:color="auto"/>
                    <w:left w:val="none" w:sz="0" w:space="0" w:color="auto"/>
                    <w:bottom w:val="none" w:sz="0" w:space="0" w:color="auto"/>
                    <w:right w:val="none" w:sz="0" w:space="0" w:color="auto"/>
                  </w:divBdr>
                  <w:divsChild>
                    <w:div w:id="11796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jksoverheid.nl/documenten/kamerstukken/2018/11/26/kamerbrief-voortgang-uitwerking-maatregelen-werken-als-zelfstandige"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oek.officielebekendmakingen.nl/stcrt-2018-68656.html?zoekcriteria=%3fzkt%3dUitgebreid%26pst%3dStaatscourant%26dpr%3dAfgelopenWeek%26spd%3d20181229%26epd%3d20181229%26sdt%3dDatumPublicatie%26org%3dMinisterie%2bvan%2bFinanci%25c3%25abn%2b(MINFIN)%26orgt%3dministerie%26planId%3d%26pnr%3d1%26rpp%3d10&amp;resultIndex=3&amp;sorttype=1&amp;sortorder=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itspraken.rechtspraak.nl/inziendocument?id=ECLI:NL:HR:2018:220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7C4A43803F5D48AD6D8C29AB0AB2D1" ma:contentTypeVersion="9" ma:contentTypeDescription="Een nieuw document maken." ma:contentTypeScope="" ma:versionID="f66a114e5ed3efb8d34c5175081bebf9">
  <xsd:schema xmlns:xsd="http://www.w3.org/2001/XMLSchema" xmlns:xs="http://www.w3.org/2001/XMLSchema" xmlns:p="http://schemas.microsoft.com/office/2006/metadata/properties" xmlns:ns2="d6ecc771-7e4a-4548-a41d-7fa87a87738e" xmlns:ns3="f27c8fec-43d7-455e-896e-f62fc47ca562" targetNamespace="http://schemas.microsoft.com/office/2006/metadata/properties" ma:root="true" ma:fieldsID="e89a1942f9356dff22317aa75df8ade0" ns2:_="" ns3:_="">
    <xsd:import namespace="d6ecc771-7e4a-4548-a41d-7fa87a87738e"/>
    <xsd:import namespace="f27c8fec-43d7-455e-896e-f62fc47ca56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cc771-7e4a-4548-a41d-7fa87a87738e"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27c8fec-43d7-455e-896e-f62fc47ca56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702AB-C087-4FE0-8176-F33DFEE0B42B}">
  <ds:schemaRefs>
    <ds:schemaRef ds:uri="http://schemas.microsoft.com/sharepoint/v3/contenttype/forms"/>
  </ds:schemaRefs>
</ds:datastoreItem>
</file>

<file path=customXml/itemProps2.xml><?xml version="1.0" encoding="utf-8"?>
<ds:datastoreItem xmlns:ds="http://schemas.openxmlformats.org/officeDocument/2006/customXml" ds:itemID="{DD06773D-D5C3-4082-B6DD-B8BD7AAF0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cc771-7e4a-4548-a41d-7fa87a87738e"/>
    <ds:schemaRef ds:uri="f27c8fec-43d7-455e-896e-f62fc47ca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A40B69-ECB2-428A-A826-4B5A4BD54592}">
  <ds:schemaRefs>
    <ds:schemaRef ds:uri="http://www.w3.org/XML/1998/namespace"/>
    <ds:schemaRef ds:uri="http://purl.org/dc/terms/"/>
    <ds:schemaRef ds:uri="http://schemas.microsoft.com/office/infopath/2007/PartnerControls"/>
    <ds:schemaRef ds:uri="http://schemas.microsoft.com/office/2006/documentManagement/types"/>
    <ds:schemaRef ds:uri="http://purl.org/dc/dcmitype/"/>
    <ds:schemaRef ds:uri="http://purl.org/dc/elements/1.1/"/>
    <ds:schemaRef ds:uri="d6ecc771-7e4a-4548-a41d-7fa87a87738e"/>
    <ds:schemaRef ds:uri="http://schemas.microsoft.com/office/2006/metadata/properties"/>
    <ds:schemaRef ds:uri="f27c8fec-43d7-455e-896e-f62fc47ca562"/>
    <ds:schemaRef ds:uri="http://schemas.openxmlformats.org/package/2006/metadata/core-properties"/>
  </ds:schemaRefs>
</ds:datastoreItem>
</file>

<file path=customXml/itemProps4.xml><?xml version="1.0" encoding="utf-8"?>
<ds:datastoreItem xmlns:ds="http://schemas.openxmlformats.org/officeDocument/2006/customXml" ds:itemID="{16F6F9B0-9663-4B95-B204-F5523ABF6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12886</Words>
  <Characters>70524</Characters>
  <Application>Microsoft Office Word</Application>
  <DocSecurity>4</DocSecurity>
  <Lines>587</Lines>
  <Paragraphs>166</Paragraphs>
  <ScaleCrop>false</ScaleCrop>
  <HeadingPairs>
    <vt:vector size="2" baseType="variant">
      <vt:variant>
        <vt:lpstr>Titel</vt:lpstr>
      </vt:variant>
      <vt:variant>
        <vt:i4>1</vt:i4>
      </vt:variant>
    </vt:vector>
  </HeadingPairs>
  <TitlesOfParts>
    <vt:vector size="1" baseType="lpstr">
      <vt:lpstr>Special Lonen 2019</vt:lpstr>
    </vt:vector>
  </TitlesOfParts>
  <Company>Fiscaal voor u</Company>
  <LinksUpToDate>false</LinksUpToDate>
  <CharactersWithSpaces>83244</CharactersWithSpaces>
  <SharedDoc>false</SharedDoc>
  <HyperlinkBase/>
  <HLinks>
    <vt:vector size="126" baseType="variant">
      <vt:variant>
        <vt:i4>1769525</vt:i4>
      </vt:variant>
      <vt:variant>
        <vt:i4>122</vt:i4>
      </vt:variant>
      <vt:variant>
        <vt:i4>0</vt:i4>
      </vt:variant>
      <vt:variant>
        <vt:i4>5</vt:i4>
      </vt:variant>
      <vt:variant>
        <vt:lpwstr/>
      </vt:variant>
      <vt:variant>
        <vt:lpwstr>_Toc499717955</vt:lpwstr>
      </vt:variant>
      <vt:variant>
        <vt:i4>1769525</vt:i4>
      </vt:variant>
      <vt:variant>
        <vt:i4>116</vt:i4>
      </vt:variant>
      <vt:variant>
        <vt:i4>0</vt:i4>
      </vt:variant>
      <vt:variant>
        <vt:i4>5</vt:i4>
      </vt:variant>
      <vt:variant>
        <vt:lpwstr/>
      </vt:variant>
      <vt:variant>
        <vt:lpwstr>_Toc499717954</vt:lpwstr>
      </vt:variant>
      <vt:variant>
        <vt:i4>1769525</vt:i4>
      </vt:variant>
      <vt:variant>
        <vt:i4>110</vt:i4>
      </vt:variant>
      <vt:variant>
        <vt:i4>0</vt:i4>
      </vt:variant>
      <vt:variant>
        <vt:i4>5</vt:i4>
      </vt:variant>
      <vt:variant>
        <vt:lpwstr/>
      </vt:variant>
      <vt:variant>
        <vt:lpwstr>_Toc499717953</vt:lpwstr>
      </vt:variant>
      <vt:variant>
        <vt:i4>1769525</vt:i4>
      </vt:variant>
      <vt:variant>
        <vt:i4>104</vt:i4>
      </vt:variant>
      <vt:variant>
        <vt:i4>0</vt:i4>
      </vt:variant>
      <vt:variant>
        <vt:i4>5</vt:i4>
      </vt:variant>
      <vt:variant>
        <vt:lpwstr/>
      </vt:variant>
      <vt:variant>
        <vt:lpwstr>_Toc499717952</vt:lpwstr>
      </vt:variant>
      <vt:variant>
        <vt:i4>1769525</vt:i4>
      </vt:variant>
      <vt:variant>
        <vt:i4>98</vt:i4>
      </vt:variant>
      <vt:variant>
        <vt:i4>0</vt:i4>
      </vt:variant>
      <vt:variant>
        <vt:i4>5</vt:i4>
      </vt:variant>
      <vt:variant>
        <vt:lpwstr/>
      </vt:variant>
      <vt:variant>
        <vt:lpwstr>_Toc499717951</vt:lpwstr>
      </vt:variant>
      <vt:variant>
        <vt:i4>1769525</vt:i4>
      </vt:variant>
      <vt:variant>
        <vt:i4>92</vt:i4>
      </vt:variant>
      <vt:variant>
        <vt:i4>0</vt:i4>
      </vt:variant>
      <vt:variant>
        <vt:i4>5</vt:i4>
      </vt:variant>
      <vt:variant>
        <vt:lpwstr/>
      </vt:variant>
      <vt:variant>
        <vt:lpwstr>_Toc499717950</vt:lpwstr>
      </vt:variant>
      <vt:variant>
        <vt:i4>1703989</vt:i4>
      </vt:variant>
      <vt:variant>
        <vt:i4>86</vt:i4>
      </vt:variant>
      <vt:variant>
        <vt:i4>0</vt:i4>
      </vt:variant>
      <vt:variant>
        <vt:i4>5</vt:i4>
      </vt:variant>
      <vt:variant>
        <vt:lpwstr/>
      </vt:variant>
      <vt:variant>
        <vt:lpwstr>_Toc499717949</vt:lpwstr>
      </vt:variant>
      <vt:variant>
        <vt:i4>1703989</vt:i4>
      </vt:variant>
      <vt:variant>
        <vt:i4>80</vt:i4>
      </vt:variant>
      <vt:variant>
        <vt:i4>0</vt:i4>
      </vt:variant>
      <vt:variant>
        <vt:i4>5</vt:i4>
      </vt:variant>
      <vt:variant>
        <vt:lpwstr/>
      </vt:variant>
      <vt:variant>
        <vt:lpwstr>_Toc499717948</vt:lpwstr>
      </vt:variant>
      <vt:variant>
        <vt:i4>1703989</vt:i4>
      </vt:variant>
      <vt:variant>
        <vt:i4>74</vt:i4>
      </vt:variant>
      <vt:variant>
        <vt:i4>0</vt:i4>
      </vt:variant>
      <vt:variant>
        <vt:i4>5</vt:i4>
      </vt:variant>
      <vt:variant>
        <vt:lpwstr/>
      </vt:variant>
      <vt:variant>
        <vt:lpwstr>_Toc499717947</vt:lpwstr>
      </vt:variant>
      <vt:variant>
        <vt:i4>1703989</vt:i4>
      </vt:variant>
      <vt:variant>
        <vt:i4>68</vt:i4>
      </vt:variant>
      <vt:variant>
        <vt:i4>0</vt:i4>
      </vt:variant>
      <vt:variant>
        <vt:i4>5</vt:i4>
      </vt:variant>
      <vt:variant>
        <vt:lpwstr/>
      </vt:variant>
      <vt:variant>
        <vt:lpwstr>_Toc499717946</vt:lpwstr>
      </vt:variant>
      <vt:variant>
        <vt:i4>1703989</vt:i4>
      </vt:variant>
      <vt:variant>
        <vt:i4>62</vt:i4>
      </vt:variant>
      <vt:variant>
        <vt:i4>0</vt:i4>
      </vt:variant>
      <vt:variant>
        <vt:i4>5</vt:i4>
      </vt:variant>
      <vt:variant>
        <vt:lpwstr/>
      </vt:variant>
      <vt:variant>
        <vt:lpwstr>_Toc499717945</vt:lpwstr>
      </vt:variant>
      <vt:variant>
        <vt:i4>1703989</vt:i4>
      </vt:variant>
      <vt:variant>
        <vt:i4>56</vt:i4>
      </vt:variant>
      <vt:variant>
        <vt:i4>0</vt:i4>
      </vt:variant>
      <vt:variant>
        <vt:i4>5</vt:i4>
      </vt:variant>
      <vt:variant>
        <vt:lpwstr/>
      </vt:variant>
      <vt:variant>
        <vt:lpwstr>_Toc499717944</vt:lpwstr>
      </vt:variant>
      <vt:variant>
        <vt:i4>1703989</vt:i4>
      </vt:variant>
      <vt:variant>
        <vt:i4>50</vt:i4>
      </vt:variant>
      <vt:variant>
        <vt:i4>0</vt:i4>
      </vt:variant>
      <vt:variant>
        <vt:i4>5</vt:i4>
      </vt:variant>
      <vt:variant>
        <vt:lpwstr/>
      </vt:variant>
      <vt:variant>
        <vt:lpwstr>_Toc499717943</vt:lpwstr>
      </vt:variant>
      <vt:variant>
        <vt:i4>1703989</vt:i4>
      </vt:variant>
      <vt:variant>
        <vt:i4>44</vt:i4>
      </vt:variant>
      <vt:variant>
        <vt:i4>0</vt:i4>
      </vt:variant>
      <vt:variant>
        <vt:i4>5</vt:i4>
      </vt:variant>
      <vt:variant>
        <vt:lpwstr/>
      </vt:variant>
      <vt:variant>
        <vt:lpwstr>_Toc499717942</vt:lpwstr>
      </vt:variant>
      <vt:variant>
        <vt:i4>1703989</vt:i4>
      </vt:variant>
      <vt:variant>
        <vt:i4>38</vt:i4>
      </vt:variant>
      <vt:variant>
        <vt:i4>0</vt:i4>
      </vt:variant>
      <vt:variant>
        <vt:i4>5</vt:i4>
      </vt:variant>
      <vt:variant>
        <vt:lpwstr/>
      </vt:variant>
      <vt:variant>
        <vt:lpwstr>_Toc499717941</vt:lpwstr>
      </vt:variant>
      <vt:variant>
        <vt:i4>1703989</vt:i4>
      </vt:variant>
      <vt:variant>
        <vt:i4>32</vt:i4>
      </vt:variant>
      <vt:variant>
        <vt:i4>0</vt:i4>
      </vt:variant>
      <vt:variant>
        <vt:i4>5</vt:i4>
      </vt:variant>
      <vt:variant>
        <vt:lpwstr/>
      </vt:variant>
      <vt:variant>
        <vt:lpwstr>_Toc499717940</vt:lpwstr>
      </vt:variant>
      <vt:variant>
        <vt:i4>1900597</vt:i4>
      </vt:variant>
      <vt:variant>
        <vt:i4>26</vt:i4>
      </vt:variant>
      <vt:variant>
        <vt:i4>0</vt:i4>
      </vt:variant>
      <vt:variant>
        <vt:i4>5</vt:i4>
      </vt:variant>
      <vt:variant>
        <vt:lpwstr/>
      </vt:variant>
      <vt:variant>
        <vt:lpwstr>_Toc499717939</vt:lpwstr>
      </vt:variant>
      <vt:variant>
        <vt:i4>1900597</vt:i4>
      </vt:variant>
      <vt:variant>
        <vt:i4>20</vt:i4>
      </vt:variant>
      <vt:variant>
        <vt:i4>0</vt:i4>
      </vt:variant>
      <vt:variant>
        <vt:i4>5</vt:i4>
      </vt:variant>
      <vt:variant>
        <vt:lpwstr/>
      </vt:variant>
      <vt:variant>
        <vt:lpwstr>_Toc499717938</vt:lpwstr>
      </vt:variant>
      <vt:variant>
        <vt:i4>1900597</vt:i4>
      </vt:variant>
      <vt:variant>
        <vt:i4>14</vt:i4>
      </vt:variant>
      <vt:variant>
        <vt:i4>0</vt:i4>
      </vt:variant>
      <vt:variant>
        <vt:i4>5</vt:i4>
      </vt:variant>
      <vt:variant>
        <vt:lpwstr/>
      </vt:variant>
      <vt:variant>
        <vt:lpwstr>_Toc499717937</vt:lpwstr>
      </vt:variant>
      <vt:variant>
        <vt:i4>1900597</vt:i4>
      </vt:variant>
      <vt:variant>
        <vt:i4>8</vt:i4>
      </vt:variant>
      <vt:variant>
        <vt:i4>0</vt:i4>
      </vt:variant>
      <vt:variant>
        <vt:i4>5</vt:i4>
      </vt:variant>
      <vt:variant>
        <vt:lpwstr/>
      </vt:variant>
      <vt:variant>
        <vt:lpwstr>_Toc499717936</vt:lpwstr>
      </vt:variant>
      <vt:variant>
        <vt:i4>1900597</vt:i4>
      </vt:variant>
      <vt:variant>
        <vt:i4>2</vt:i4>
      </vt:variant>
      <vt:variant>
        <vt:i4>0</vt:i4>
      </vt:variant>
      <vt:variant>
        <vt:i4>5</vt:i4>
      </vt:variant>
      <vt:variant>
        <vt:lpwstr/>
      </vt:variant>
      <vt:variant>
        <vt:lpwstr>_Toc499717935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Wages Special 2019</dc:title>
  <dc:creator>Marit Muller</dc:creator>
  <cp:lastModifiedBy>Jennifer van Schijndel | SRA</cp:lastModifiedBy>
  <cp:revision>2</cp:revision>
  <cp:lastPrinted>2018-01-05T16:05:00Z</cp:lastPrinted>
  <dcterms:created xsi:type="dcterms:W3CDTF">2019-01-23T11:35:00Z</dcterms:created>
  <dcterms:modified xsi:type="dcterms:W3CDTF">2019-01-23T11:35:00Z</dcterms:modified>
  <cp:category>Nieuwsbrief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0x0101009D7C4A43803F5D48AD6D8C29AB0AB2D1</vt:lpwstr>
  </property>
</Properties>
</file>